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EB234" w14:textId="77777777" w:rsidR="008B3CAC" w:rsidRPr="008B3CAC" w:rsidRDefault="008B3CAC" w:rsidP="00BA7EA3">
      <w:pPr>
        <w:pStyle w:val="Default"/>
        <w:numPr>
          <w:ilvl w:val="0"/>
          <w:numId w:val="1"/>
        </w:numPr>
        <w:spacing w:before="240" w:line="276" w:lineRule="auto"/>
        <w:ind w:left="417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INFORMÁCIE O ÚČTOVNEJ JEDNOTKE </w:t>
      </w:r>
    </w:p>
    <w:p w14:paraId="00E74E95" w14:textId="77777777" w:rsidR="008B3CAC" w:rsidRPr="008B3CAC" w:rsidRDefault="008B3CAC" w:rsidP="00BA7EA3">
      <w:pPr>
        <w:pStyle w:val="Default"/>
        <w:numPr>
          <w:ilvl w:val="0"/>
          <w:numId w:val="4"/>
        </w:numPr>
        <w:spacing w:before="240" w:line="276" w:lineRule="auto"/>
        <w:ind w:left="426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Založenie spoločnosti </w:t>
      </w:r>
    </w:p>
    <w:p w14:paraId="44BE6DDD" w14:textId="77777777" w:rsidR="008B3CAC" w:rsidRPr="008B3CAC" w:rsidRDefault="008B3CAC" w:rsidP="00BA7EA3">
      <w:pPr>
        <w:pStyle w:val="Default"/>
        <w:spacing w:line="276" w:lineRule="auto"/>
        <w:ind w:left="426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Spoločnosť </w:t>
      </w:r>
      <w:proofErr w:type="spellStart"/>
      <w:r>
        <w:rPr>
          <w:sz w:val="22"/>
          <w:szCs w:val="22"/>
        </w:rPr>
        <w:t>LUK.art</w:t>
      </w:r>
      <w:proofErr w:type="spellEnd"/>
      <w:r w:rsidRPr="008B3CAC">
        <w:rPr>
          <w:sz w:val="22"/>
          <w:szCs w:val="22"/>
        </w:rPr>
        <w:t xml:space="preserve">, </w:t>
      </w:r>
      <w:proofErr w:type="spellStart"/>
      <w:r w:rsidRPr="008B3CAC">
        <w:rPr>
          <w:sz w:val="22"/>
          <w:szCs w:val="22"/>
        </w:rPr>
        <w:t>s.r.o</w:t>
      </w:r>
      <w:proofErr w:type="spellEnd"/>
      <w:r w:rsidRPr="008B3CAC">
        <w:rPr>
          <w:sz w:val="22"/>
          <w:szCs w:val="22"/>
        </w:rPr>
        <w:t>.</w:t>
      </w:r>
      <w:r w:rsidR="00824B0F">
        <w:rPr>
          <w:sz w:val="22"/>
          <w:szCs w:val="22"/>
        </w:rPr>
        <w:t xml:space="preserve"> </w:t>
      </w:r>
      <w:r w:rsidRPr="008B3CAC">
        <w:rPr>
          <w:sz w:val="22"/>
          <w:szCs w:val="22"/>
        </w:rPr>
        <w:t xml:space="preserve">(ďalej len Spoločnosť), bola založená </w:t>
      </w:r>
      <w:r w:rsidR="0027326C">
        <w:rPr>
          <w:sz w:val="22"/>
          <w:szCs w:val="22"/>
        </w:rPr>
        <w:t>12</w:t>
      </w:r>
      <w:r>
        <w:rPr>
          <w:sz w:val="22"/>
          <w:szCs w:val="22"/>
        </w:rPr>
        <w:t>.0</w:t>
      </w:r>
      <w:r w:rsidR="0027326C">
        <w:rPr>
          <w:sz w:val="22"/>
          <w:szCs w:val="22"/>
        </w:rPr>
        <w:t>5</w:t>
      </w:r>
      <w:r>
        <w:rPr>
          <w:sz w:val="22"/>
          <w:szCs w:val="22"/>
        </w:rPr>
        <w:t>.2010</w:t>
      </w:r>
      <w:r w:rsidRPr="008B3CAC">
        <w:rPr>
          <w:sz w:val="22"/>
          <w:szCs w:val="22"/>
        </w:rPr>
        <w:t xml:space="preserve"> a do obc</w:t>
      </w:r>
      <w:r>
        <w:rPr>
          <w:sz w:val="22"/>
          <w:szCs w:val="22"/>
        </w:rPr>
        <w:t>hodného registra bola zapísaná 01.06</w:t>
      </w:r>
      <w:r w:rsidRPr="008B3CAC">
        <w:rPr>
          <w:sz w:val="22"/>
          <w:szCs w:val="22"/>
        </w:rPr>
        <w:t>.20</w:t>
      </w:r>
      <w:r>
        <w:rPr>
          <w:sz w:val="22"/>
          <w:szCs w:val="22"/>
        </w:rPr>
        <w:t>10</w:t>
      </w:r>
      <w:r w:rsidRPr="008B3CAC">
        <w:rPr>
          <w:sz w:val="22"/>
          <w:szCs w:val="22"/>
        </w:rPr>
        <w:t xml:space="preserve"> (Obchodný register Okresného súdu Bratislava I v Bratislave, oddiel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Sro</w:t>
      </w:r>
      <w:proofErr w:type="spellEnd"/>
      <w:r w:rsidRPr="008B3CAC">
        <w:rPr>
          <w:sz w:val="22"/>
          <w:szCs w:val="22"/>
        </w:rPr>
        <w:t xml:space="preserve">, vložka 65451/B). </w:t>
      </w:r>
    </w:p>
    <w:p w14:paraId="588998EB" w14:textId="77777777" w:rsidR="008B3CAC" w:rsidRDefault="008B3CAC" w:rsidP="00BA7EA3">
      <w:pPr>
        <w:pStyle w:val="Default"/>
        <w:numPr>
          <w:ilvl w:val="0"/>
          <w:numId w:val="4"/>
        </w:numPr>
        <w:spacing w:before="240" w:line="276" w:lineRule="auto"/>
        <w:ind w:left="426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Hlavnými činnosťami Spoločnosti sú: </w:t>
      </w:r>
    </w:p>
    <w:p w14:paraId="31BC4850" w14:textId="77777777" w:rsidR="008B3CAC" w:rsidRPr="008B3CAC" w:rsidRDefault="008B3CAC" w:rsidP="00BA7EA3">
      <w:pPr>
        <w:pStyle w:val="Default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odevná výroba </w:t>
      </w:r>
    </w:p>
    <w:p w14:paraId="1F2EEFD8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kúpa tovaru na účely jeho predaja konečnému spotrebiteľovi (maloobchod) alebo iným prevádzkovateľom živnosti (veľkoobchod) </w:t>
      </w:r>
    </w:p>
    <w:p w14:paraId="66B3EF95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sprostredkovateľská činnosť v oblasti obchodu </w:t>
      </w:r>
    </w:p>
    <w:p w14:paraId="1FFB1739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sprostredkovateľská činnosť v oblasti služieb </w:t>
      </w:r>
    </w:p>
    <w:p w14:paraId="7EB6B55A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sprostredkovateľská činnosť v oblasti výroby </w:t>
      </w:r>
    </w:p>
    <w:p w14:paraId="4258411F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vydavateľská činnosť </w:t>
      </w:r>
    </w:p>
    <w:p w14:paraId="4EC70CD1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prenájom nehnuteľností spojený s poskytovaním iných než základných služieb spojených s prenájmom </w:t>
      </w:r>
    </w:p>
    <w:p w14:paraId="45437D80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prenájom hnuteľných vecí </w:t>
      </w:r>
    </w:p>
    <w:p w14:paraId="49326D98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činnosť podnikateľských, organizačných a ekonomických poradcov </w:t>
      </w:r>
    </w:p>
    <w:p w14:paraId="2EA32EBF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prevádzkovanie kultúrnych, spoločenských a zábavných zariadení </w:t>
      </w:r>
    </w:p>
    <w:p w14:paraId="454516A6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organizovanie kultúrnych a iných spoločenských podujatí </w:t>
      </w:r>
    </w:p>
    <w:p w14:paraId="0682C02A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reklamné a marketingové služby </w:t>
      </w:r>
    </w:p>
    <w:p w14:paraId="6112C746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fotografické služby </w:t>
      </w:r>
    </w:p>
    <w:p w14:paraId="2873B53A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služby súvisiace so skrášľovaním tela </w:t>
      </w:r>
    </w:p>
    <w:p w14:paraId="79FC4204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služby súvisiace s produkciou filmov a videozáznamov </w:t>
      </w:r>
    </w:p>
    <w:p w14:paraId="5D7D8C63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ozvučovanie a osvetľovanie kultúrnych a spoločenských podujatí </w:t>
      </w:r>
    </w:p>
    <w:p w14:paraId="347F9266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prevádzkovanie zariadení slúžiacich na regeneráciu a rekondíciu </w:t>
      </w:r>
    </w:p>
    <w:p w14:paraId="1D202421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vykonávanie mimoškolskej vzdelávacej činnosti </w:t>
      </w:r>
    </w:p>
    <w:p w14:paraId="7516CDFE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poskytovanie obslužných služieb pri kultúrnych a iných spoločenských podujatiach </w:t>
      </w:r>
    </w:p>
    <w:p w14:paraId="06E97879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vyučovanie tanca. </w:t>
      </w:r>
    </w:p>
    <w:p w14:paraId="45BF5C59" w14:textId="77777777" w:rsidR="008B3CAC" w:rsidRPr="008B3CAC" w:rsidRDefault="008B3CAC" w:rsidP="00BA7EA3">
      <w:pPr>
        <w:pStyle w:val="Default"/>
        <w:numPr>
          <w:ilvl w:val="0"/>
          <w:numId w:val="4"/>
        </w:numPr>
        <w:spacing w:before="240" w:line="276" w:lineRule="auto"/>
        <w:ind w:left="426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Údaje o neobmedzenom ručení </w:t>
      </w:r>
    </w:p>
    <w:p w14:paraId="5946AA7B" w14:textId="77777777" w:rsidR="008B3CAC" w:rsidRPr="008B3CAC" w:rsidRDefault="008B3CAC" w:rsidP="00BA7EA3">
      <w:pPr>
        <w:pStyle w:val="Default"/>
        <w:spacing w:line="276" w:lineRule="auto"/>
        <w:ind w:left="426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Spoločnosť nie je neobmedzene ručiacim spoločníkom v iných spoločnostiach podľa § 56 ods. 5 Obchodného zákonníka. </w:t>
      </w:r>
    </w:p>
    <w:p w14:paraId="07071CF5" w14:textId="77777777" w:rsidR="008B3CAC" w:rsidRPr="008B3CAC" w:rsidRDefault="008B3CAC" w:rsidP="00BA7EA3">
      <w:pPr>
        <w:pStyle w:val="Default"/>
        <w:numPr>
          <w:ilvl w:val="0"/>
          <w:numId w:val="4"/>
        </w:numPr>
        <w:spacing w:before="240" w:line="276" w:lineRule="auto"/>
        <w:ind w:left="426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Právny dôvod na zostavenie účtovnej závierky </w:t>
      </w:r>
    </w:p>
    <w:p w14:paraId="36EEA88A" w14:textId="0DB33D69" w:rsidR="008B3CAC" w:rsidRPr="008B3CAC" w:rsidRDefault="008B3CAC" w:rsidP="00BA7EA3">
      <w:pPr>
        <w:pStyle w:val="Default"/>
        <w:spacing w:line="276" w:lineRule="auto"/>
        <w:ind w:left="360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Účtovná závierka Spoločnosti k 31. decembru </w:t>
      </w:r>
      <w:r w:rsidR="00D25D6E">
        <w:rPr>
          <w:sz w:val="22"/>
          <w:szCs w:val="22"/>
        </w:rPr>
        <w:t>20</w:t>
      </w:r>
      <w:r w:rsidR="00EC38FD">
        <w:rPr>
          <w:sz w:val="22"/>
          <w:szCs w:val="22"/>
        </w:rPr>
        <w:t>2</w:t>
      </w:r>
      <w:r w:rsidR="00405EFA">
        <w:rPr>
          <w:sz w:val="22"/>
          <w:szCs w:val="22"/>
        </w:rPr>
        <w:t>1</w:t>
      </w:r>
      <w:r w:rsidRPr="008B3CAC">
        <w:rPr>
          <w:sz w:val="22"/>
          <w:szCs w:val="22"/>
        </w:rPr>
        <w:t xml:space="preserve"> je zostavená ako riadna účtovná závierka podľa § 17 ods. 6 zákona NR SR č. 431/2002 Z. z. o účtovníctve za účtovné obdobie od 1. januára </w:t>
      </w:r>
      <w:r w:rsidR="00D25D6E">
        <w:rPr>
          <w:sz w:val="22"/>
          <w:szCs w:val="22"/>
        </w:rPr>
        <w:t>20</w:t>
      </w:r>
      <w:r w:rsidR="00EC38FD">
        <w:rPr>
          <w:sz w:val="22"/>
          <w:szCs w:val="22"/>
        </w:rPr>
        <w:t>2</w:t>
      </w:r>
      <w:r w:rsidR="00405EFA">
        <w:rPr>
          <w:sz w:val="22"/>
          <w:szCs w:val="22"/>
        </w:rPr>
        <w:t>1</w:t>
      </w:r>
      <w:r w:rsidRPr="008B3CAC">
        <w:rPr>
          <w:sz w:val="22"/>
          <w:szCs w:val="22"/>
        </w:rPr>
        <w:t xml:space="preserve"> do 31. decembra </w:t>
      </w:r>
      <w:r w:rsidR="00D25D6E">
        <w:rPr>
          <w:sz w:val="22"/>
          <w:szCs w:val="22"/>
        </w:rPr>
        <w:t>20</w:t>
      </w:r>
      <w:r w:rsidR="00405EFA">
        <w:rPr>
          <w:sz w:val="22"/>
          <w:szCs w:val="22"/>
        </w:rPr>
        <w:t>21</w:t>
      </w:r>
      <w:r w:rsidRPr="008B3CAC">
        <w:rPr>
          <w:sz w:val="22"/>
          <w:szCs w:val="22"/>
        </w:rPr>
        <w:t xml:space="preserve">. </w:t>
      </w:r>
    </w:p>
    <w:p w14:paraId="7CC47F2F" w14:textId="77777777" w:rsidR="008B3CAC" w:rsidRPr="008B3CAC" w:rsidRDefault="008B3CAC" w:rsidP="00BA7EA3">
      <w:pPr>
        <w:pStyle w:val="Default"/>
        <w:numPr>
          <w:ilvl w:val="0"/>
          <w:numId w:val="1"/>
        </w:numPr>
        <w:spacing w:before="240" w:line="276" w:lineRule="auto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INFORMÁCIE O ÚČTOVNÝCH ZÁSADÁCH A ÚČTOVNÝCH METÓDACH </w:t>
      </w:r>
    </w:p>
    <w:p w14:paraId="1950321A" w14:textId="77777777" w:rsidR="008B3CAC" w:rsidRPr="008B3CAC" w:rsidRDefault="008B3CAC" w:rsidP="00BA7EA3">
      <w:pPr>
        <w:pStyle w:val="Default"/>
        <w:spacing w:before="240" w:line="276" w:lineRule="auto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(a) Východiská pre zostavenie účtovnej závierky </w:t>
      </w:r>
    </w:p>
    <w:p w14:paraId="349EC505" w14:textId="77777777" w:rsidR="008B3CAC" w:rsidRPr="008B3CAC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>Účtovná závierka bola zostavená za predpokladu nepretržitého trvania Spoločnosti (</w:t>
      </w:r>
      <w:proofErr w:type="spellStart"/>
      <w:r w:rsidRPr="008B3CAC">
        <w:rPr>
          <w:sz w:val="22"/>
          <w:szCs w:val="22"/>
        </w:rPr>
        <w:t>going</w:t>
      </w:r>
      <w:proofErr w:type="spellEnd"/>
      <w:r w:rsidRPr="008B3CAC">
        <w:rPr>
          <w:sz w:val="22"/>
          <w:szCs w:val="22"/>
        </w:rPr>
        <w:t xml:space="preserve"> </w:t>
      </w:r>
      <w:proofErr w:type="spellStart"/>
      <w:r w:rsidRPr="008B3CAC">
        <w:rPr>
          <w:sz w:val="22"/>
          <w:szCs w:val="22"/>
        </w:rPr>
        <w:t>concern</w:t>
      </w:r>
      <w:proofErr w:type="spellEnd"/>
      <w:r w:rsidRPr="008B3CAC">
        <w:rPr>
          <w:sz w:val="22"/>
          <w:szCs w:val="22"/>
        </w:rPr>
        <w:t xml:space="preserve">). </w:t>
      </w:r>
    </w:p>
    <w:p w14:paraId="0B98396A" w14:textId="77777777" w:rsidR="00EC38FD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>Účtovné metódy a všeobecné účtovné zásady boli účtovnou jednotkou konzistentne aplikované s premietnutím zmien do vykázania predchádzajúceho obdobia na porovnanie.</w:t>
      </w:r>
    </w:p>
    <w:p w14:paraId="7A6C2FE2" w14:textId="77777777" w:rsidR="008B3CAC" w:rsidRPr="008B3CAC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lastRenderedPageBreak/>
        <w:t xml:space="preserve">(b) Dlhodobý nehmotný majetok a dlhodobý hmotný majetok </w:t>
      </w:r>
    </w:p>
    <w:p w14:paraId="2375F3B4" w14:textId="77777777" w:rsidR="008B3CAC" w:rsidRPr="008B3CAC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7F130AF1" w14:textId="77777777" w:rsidR="001E67B4" w:rsidRDefault="001E67B4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1897B57E" w14:textId="77777777" w:rsidR="001E67B4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>Súčasťou obstarávacej ceny dlhodobého hmotného majetku od 1. januára 2003 nie sú úroky z cudzích zdrojov ani realizované kurzové rozdiely, ktoré vznikli do momentu uvedenia dlhodobého majetku do používania.</w:t>
      </w:r>
    </w:p>
    <w:p w14:paraId="0F1A52A8" w14:textId="77777777" w:rsidR="001E67B4" w:rsidRDefault="001E67B4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7FE1AD20" w14:textId="77777777" w:rsidR="008B3CAC" w:rsidRPr="008B3CAC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Súčasťou obstarávacej ceny dlhodobého nehmotného majetku nie sú od 1. júla 2010 úroky z cudzích zdrojov, ktoré vznikli do momentu zaradenia dlhodobého nehmotného majetku do používania. </w:t>
      </w:r>
    </w:p>
    <w:p w14:paraId="0FBBAA60" w14:textId="77777777" w:rsidR="008B3CAC" w:rsidRPr="008B3CAC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2D83E132" w14:textId="77777777" w:rsidR="001E67B4" w:rsidRDefault="001E67B4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3762F71C" w14:textId="77777777" w:rsidR="008B3CAC" w:rsidRPr="008B3CAC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Náklady na výskum sa neaktivujú, účtujú sa do nákladov účtovného obdobia, v ktorom vznikli. Náklady na vývoj sa účtujú do obdobia, v ktorom vznikli, ale tie náklady na vývoj, ktoré sa vzťahujú na jasne definovaný výrobok alebo 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 </w:t>
      </w:r>
    </w:p>
    <w:p w14:paraId="6AAEACA2" w14:textId="77777777" w:rsidR="001E67B4" w:rsidRDefault="001E67B4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4A21BD49" w14:textId="77777777" w:rsidR="008B3CAC" w:rsidRPr="008B3CAC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Aktivované náklady na vývoj sa odpisujú počas maximálne 5 rokov, a to v tých účtovných obdobiach, v ktorých sa očakáva predaj produktu alebo využívanie procesu. Ak sa zníži ich hodnota, odpisujú sa na sumu, ktorá je pravdepodobná, že sa získa späť z budúcich ekonomických úžitkov. </w:t>
      </w:r>
    </w:p>
    <w:p w14:paraId="0B676BB8" w14:textId="77777777" w:rsidR="001E67B4" w:rsidRDefault="001E67B4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99C2F4A" w14:textId="77777777" w:rsidR="005C4E5F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17CEDB43" w14:textId="77777777" w:rsidR="00A371C5" w:rsidRDefault="00A371C5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75BE67B6" w14:textId="77777777" w:rsidR="001E67B4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(c)</w:t>
      </w:r>
      <w:r>
        <w:rPr>
          <w:b/>
          <w:sz w:val="22"/>
          <w:szCs w:val="22"/>
        </w:rPr>
        <w:t xml:space="preserve"> </w:t>
      </w:r>
      <w:r w:rsidR="001E67B4" w:rsidRPr="00A371C5">
        <w:rPr>
          <w:b/>
          <w:sz w:val="22"/>
          <w:szCs w:val="22"/>
        </w:rPr>
        <w:t>Zásoby</w:t>
      </w:r>
    </w:p>
    <w:p w14:paraId="249DB12C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Zásoby sa oceňujú nižšou z nasledujúcich hodnôt: obstarávacou cenou (nakupované zásoby) alebo vlastnými nákladmi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(zásoby vytvorené vlastnou činnosťou) alebo čistou realizačnou hodnotou.</w:t>
      </w:r>
    </w:p>
    <w:p w14:paraId="50A2A8CB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Obstarávacia cena zahŕňa cenu zásob a náklady súvisiace s obstaraním (clo, prepravu, poistné, provízie, skonto a pod.).</w:t>
      </w:r>
    </w:p>
    <w:p w14:paraId="0B325C59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Úroky z cudzích zdrojov nie sú súčasťou obstarávacej ceny. Nakupované zásoby sa oceňujú váženým aritmetickým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priemerom z obstarávacích cien.</w:t>
      </w:r>
    </w:p>
    <w:p w14:paraId="260D8BB0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Vlastné náklady zahŕňajú priame náklady (priamy materiál, priame mzdy a ostatné priame náklady) a časť nepriamych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nákladov bezprostredne súvisiacich s vytvorením zásob vlastnou činnosťou (výrobná réžia). Výrobná réžia sa do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vlastných nákladov zahŕňa v závislosti od stupňa rozpracovanosti týchto zásob. Správna réžia a odbytové náklady nie sú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súčasťou vlastných nákladov. Súčasťou vlastných nákladov nie sú úroky z cudzích zdrojov.</w:t>
      </w:r>
    </w:p>
    <w:p w14:paraId="70B4B21B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Čistá realizačná hodnota je predpokladaná predajná cena znížená o predpokladané náklady na ich dokončenie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a o predpokladané náklady súvisiace s ich predajom.</w:t>
      </w:r>
    </w:p>
    <w:p w14:paraId="5F21A779" w14:textId="77777777" w:rsidR="00A371C5" w:rsidRPr="00A371C5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Zníženie hodnoty zásob sa upravuje vytvorením opravnej položky.</w:t>
      </w:r>
    </w:p>
    <w:p w14:paraId="34904D50" w14:textId="46CAD105" w:rsidR="000009D7" w:rsidRDefault="000009D7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</w:p>
    <w:p w14:paraId="6DC17A37" w14:textId="77777777" w:rsidR="00405EFA" w:rsidRDefault="00405EFA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</w:p>
    <w:p w14:paraId="1EF2C437" w14:textId="77777777" w:rsidR="001E67B4" w:rsidRPr="00A371C5" w:rsidRDefault="001E67B4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lastRenderedPageBreak/>
        <w:t>(d) Pohľadávky</w:t>
      </w:r>
    </w:p>
    <w:p w14:paraId="625E36C3" w14:textId="77777777" w:rsidR="001E67B4" w:rsidRPr="001E67B4" w:rsidRDefault="001E67B4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1E67B4">
        <w:rPr>
          <w:sz w:val="22"/>
          <w:szCs w:val="22"/>
        </w:rPr>
        <w:t>Pohľadávky pri ich vzniku sa oceňujú ich menovitou hodnotou; postúpené pohľadávky a pohľadávky nadobudnuté</w:t>
      </w:r>
      <w:r w:rsidR="00A371C5">
        <w:rPr>
          <w:sz w:val="22"/>
          <w:szCs w:val="22"/>
        </w:rPr>
        <w:t xml:space="preserve"> </w:t>
      </w:r>
      <w:r w:rsidRPr="001E67B4">
        <w:rPr>
          <w:sz w:val="22"/>
          <w:szCs w:val="22"/>
        </w:rPr>
        <w:t>vkladom do základného imania sa oceňujú obstarávacou cenou vrátane nákladov súvisiacich s obstaraním. Toto ocenenie</w:t>
      </w:r>
      <w:r w:rsidR="00A371C5">
        <w:rPr>
          <w:sz w:val="22"/>
          <w:szCs w:val="22"/>
        </w:rPr>
        <w:t xml:space="preserve"> </w:t>
      </w:r>
      <w:r w:rsidRPr="001E67B4">
        <w:rPr>
          <w:sz w:val="22"/>
          <w:szCs w:val="22"/>
        </w:rPr>
        <w:t>sa znižuje o pochybné a nevymožiteľné pohľadávky.</w:t>
      </w:r>
    </w:p>
    <w:p w14:paraId="5367CD4D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503BE37B" w14:textId="77777777" w:rsidR="001E67B4" w:rsidRPr="00A371C5" w:rsidRDefault="001E67B4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(e) Peňažné prostriedky a ceniny</w:t>
      </w:r>
    </w:p>
    <w:p w14:paraId="2492BDBA" w14:textId="77777777" w:rsidR="001E67B4" w:rsidRPr="001E67B4" w:rsidRDefault="001E67B4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1E67B4">
        <w:rPr>
          <w:sz w:val="22"/>
          <w:szCs w:val="22"/>
        </w:rPr>
        <w:t>Peňažné prostriedky a ceniny sa oceňujú ich menovitou hodnotou. Zníženie ich hodnoty sa vyjadruje opravnou položkou.</w:t>
      </w:r>
    </w:p>
    <w:p w14:paraId="2C854C75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10D2EDB6" w14:textId="77777777" w:rsidR="001E67B4" w:rsidRPr="00A371C5" w:rsidRDefault="001E67B4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(f) Náklady budúcich období a príjmy budúcich období</w:t>
      </w:r>
    </w:p>
    <w:p w14:paraId="06F6245B" w14:textId="77777777" w:rsidR="00BA7EA3" w:rsidRDefault="001E67B4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1E67B4">
        <w:rPr>
          <w:sz w:val="22"/>
          <w:szCs w:val="22"/>
        </w:rPr>
        <w:t>Náklady budúcich období a príjmy budúcich období sa vykazujú vo výške, ktorá je potrebná na dodržanie zásady vecnej</w:t>
      </w:r>
      <w:r w:rsidR="00A371C5">
        <w:rPr>
          <w:sz w:val="22"/>
          <w:szCs w:val="22"/>
        </w:rPr>
        <w:t xml:space="preserve"> </w:t>
      </w:r>
      <w:r w:rsidRPr="001E67B4">
        <w:rPr>
          <w:sz w:val="22"/>
          <w:szCs w:val="22"/>
        </w:rPr>
        <w:t>a časovej súvislosti s účtovným obdobím</w:t>
      </w:r>
      <w:r w:rsidR="00A371C5">
        <w:rPr>
          <w:sz w:val="22"/>
          <w:szCs w:val="22"/>
        </w:rPr>
        <w:t>.</w:t>
      </w:r>
    </w:p>
    <w:p w14:paraId="2BDD643E" w14:textId="77777777" w:rsidR="00BA7EA3" w:rsidRDefault="00BA7EA3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675B664D" w14:textId="77777777" w:rsidR="00A371C5" w:rsidRPr="00BA7EA3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b/>
          <w:sz w:val="22"/>
          <w:szCs w:val="22"/>
        </w:rPr>
        <w:t>(g) Rezervy</w:t>
      </w:r>
    </w:p>
    <w:p w14:paraId="387098A0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Rezervy sú záväzky s neurčitým časovým vymedzením alebo výškou; tvoria sa na krytie známych rizík alebo strát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z podnikania. Oceňujú sa v očakávanej výške záväzku.</w:t>
      </w:r>
    </w:p>
    <w:p w14:paraId="529C073E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46CEBC8D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(h) Záväzky</w:t>
      </w:r>
    </w:p>
    <w:p w14:paraId="04243DB3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Záväzky pri ich vzniku sa oceňujú menovitou hodnotou. Záväzky pri ich prevzatí sa oceňujú obstarávacou cenou.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Ak sa pri inventarizácii zistí, že suma záväzkov je iná ako ich výška v účtovníctve, uvedú sa záväzky v</w:t>
      </w:r>
      <w:r>
        <w:rPr>
          <w:sz w:val="22"/>
          <w:szCs w:val="22"/>
        </w:rPr>
        <w:t> </w:t>
      </w:r>
      <w:r w:rsidRPr="00A371C5">
        <w:rPr>
          <w:sz w:val="22"/>
          <w:szCs w:val="22"/>
        </w:rPr>
        <w:t>účtovníctve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a v účtovnej závierke v tomto zistenom ocenení.</w:t>
      </w:r>
    </w:p>
    <w:p w14:paraId="7D5FB2A6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5B55741A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(i) Výdavky budúcich období a výnosy budúcich období</w:t>
      </w:r>
    </w:p>
    <w:p w14:paraId="7853F590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Výdavky budúcich období a výnosy budúcich období sa vykazujú vo výške, ktorá je potrebná na dodržanie zásady vecnej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a časovej súvislosti s účtovným obdobím.</w:t>
      </w:r>
    </w:p>
    <w:p w14:paraId="480099A3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5A12D3A9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(j) Prenájom (lízing)</w:t>
      </w:r>
    </w:p>
    <w:p w14:paraId="1F4EE53F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Operatívny prenájom. Majetok prenajatý na základe operatívneho prenájmu vykazuje ako svoj majetok jeho vlastník, nie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nájomca.</w:t>
      </w:r>
    </w:p>
    <w:p w14:paraId="30BD561D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Finančný prenájom (s kúpnou opciou; bez kúpnej opcie je považovaný za operatívny prenájom). Majetok prenajatý na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základe zmluvy uzatvorenej do 31. decembra 2003 vykazuje ako svoj majetok jeho vlastník, nie nájomca. Majetok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prenajatý na základe zmluvy uzatvorenej 1. januára 2004 a neskôr vykazuje ako svoj majetok jeho nájomca, nie vlastník.</w:t>
      </w:r>
    </w:p>
    <w:p w14:paraId="6A9D6129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32A55ECD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(k) Cudzia mena</w:t>
      </w:r>
    </w:p>
    <w:p w14:paraId="0D32B073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Majetok a záväzky vyjadrené v cudzej mene sa ku dňu uskutočnenia účtovného prípadu prepočítavajú na menu euro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referenčným výmenným kurzom určeným a vyhláseným Európskou centrálnou bankou alebo Národnou bankou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Slovenska v deň predchádzajúci dňu uskutočnenia účtovného prípadu.</w:t>
      </w:r>
    </w:p>
    <w:p w14:paraId="6CA7D450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7D88E52A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Majetok a záväzky vyjadrené v cudzej mene (okrem prijatých a poskytnutých preddavkov) sa ku dňu, ku ktorému sa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zostavuje účtovná závierka, prepočítavajú na menu euro referenčným výmenným kurzom určeným a</w:t>
      </w:r>
      <w:r>
        <w:rPr>
          <w:sz w:val="22"/>
          <w:szCs w:val="22"/>
        </w:rPr>
        <w:t> </w:t>
      </w:r>
      <w:r w:rsidRPr="00A371C5">
        <w:rPr>
          <w:sz w:val="22"/>
          <w:szCs w:val="22"/>
        </w:rPr>
        <w:t>vyhláseným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Európskou centrálnou bankou alebo Národnou bankou Slovenska v deň, ku ktorému sa zostavuje účtovná závierka,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a účtujú sa s vplyvom na výsledok hospodárenia.</w:t>
      </w:r>
    </w:p>
    <w:p w14:paraId="07CC6FE0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Prijaté a poskytnuté preddavky v cudzej mene prostredníctvom účtu vedeného v tejto cudzej mene sa prepočítavajú na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menu euro referenčným výmenným kurzom určeným a vyhláseným Európskou centrálnou bankou alebo Národnou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bankou Slovenska v deň predchádzajúci dňu uskutočnenia účtovného prípadu.</w:t>
      </w:r>
    </w:p>
    <w:p w14:paraId="48ECA257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391CC5C3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lastRenderedPageBreak/>
        <w:t>Prijaté a poskytnuté preddavky v cudzej mene na účet zriadený v eurách a z účtu zriadeného v eurách sa prepočítavajú na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menu euro kurzom, za ktorý boli tieto hodnoty nakúpené alebo predané.</w:t>
      </w:r>
    </w:p>
    <w:p w14:paraId="1FDBA1BC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Prijaté a poskytnuté preddavky sa ku dňu, ku ktorému sa zostavuje účtovná závierka, na menu euro už neprepočítavajú.</w:t>
      </w:r>
    </w:p>
    <w:p w14:paraId="47D85F3F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52CAC555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(l) Výnosy</w:t>
      </w:r>
    </w:p>
    <w:p w14:paraId="480138BA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Tržby za vlastné výkony a tovar neobsahujú daň z pridanej hodnoty. Sú tiež znížené o zľavy a zrážky (rabaty, bonusy,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skontá, dobropisy a pod.), bez ohľadu na to, či zákazník mal vopred na zľavu nárok, alebo či ide o dodatočne uznanú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zľavu.</w:t>
      </w:r>
    </w:p>
    <w:p w14:paraId="71EA1228" w14:textId="77777777" w:rsidR="00BA7EA3" w:rsidRDefault="00BA7EA3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3BC77986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(m) Daň z príjmov</w:t>
      </w:r>
    </w:p>
    <w:p w14:paraId="6E8DE038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Náklad na daň z príjmov sa počíta pomocou platnej daňovej sadzby z účtovného zisku upraveného o trvalé alebo dočasne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daňovo neuznateľné náklady a nezdaňované výnosy.</w:t>
      </w:r>
    </w:p>
    <w:p w14:paraId="53DFBCAD" w14:textId="77777777" w:rsidR="00A371C5" w:rsidRPr="00EC38FD" w:rsidRDefault="00A371C5" w:rsidP="00BA7EA3">
      <w:pPr>
        <w:pStyle w:val="Default"/>
        <w:spacing w:line="276" w:lineRule="auto"/>
        <w:jc w:val="both"/>
        <w:rPr>
          <w:sz w:val="28"/>
          <w:szCs w:val="28"/>
        </w:rPr>
      </w:pPr>
    </w:p>
    <w:p w14:paraId="49562E43" w14:textId="77777777" w:rsidR="00A371C5" w:rsidRPr="00EC38FD" w:rsidRDefault="00A371C5" w:rsidP="00BA7EA3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C38FD">
        <w:rPr>
          <w:b/>
          <w:bCs/>
          <w:sz w:val="22"/>
          <w:szCs w:val="22"/>
        </w:rPr>
        <w:t xml:space="preserve">INFORMÁCIE O ÚDAJOCH NA PODSÚVAHOVÝCH ÚČTOCH </w:t>
      </w:r>
    </w:p>
    <w:p w14:paraId="0A398C05" w14:textId="65241B38" w:rsidR="00A371C5" w:rsidRPr="00EC38FD" w:rsidRDefault="00A371C5" w:rsidP="00BA7EA3">
      <w:pPr>
        <w:pStyle w:val="Default"/>
        <w:spacing w:line="276" w:lineRule="auto"/>
        <w:ind w:firstLine="360"/>
        <w:jc w:val="both"/>
        <w:rPr>
          <w:sz w:val="22"/>
          <w:szCs w:val="22"/>
        </w:rPr>
      </w:pPr>
      <w:r w:rsidRPr="00EC38FD">
        <w:rPr>
          <w:sz w:val="22"/>
          <w:szCs w:val="22"/>
        </w:rPr>
        <w:t>Spoločnosť k 31.12.</w:t>
      </w:r>
      <w:r w:rsidR="00D25D6E" w:rsidRPr="00EC38FD">
        <w:rPr>
          <w:sz w:val="22"/>
          <w:szCs w:val="22"/>
        </w:rPr>
        <w:t>20</w:t>
      </w:r>
      <w:r w:rsidR="00405EFA">
        <w:rPr>
          <w:sz w:val="22"/>
          <w:szCs w:val="22"/>
        </w:rPr>
        <w:t>21</w:t>
      </w:r>
      <w:r w:rsidRPr="00EC38FD">
        <w:rPr>
          <w:sz w:val="22"/>
          <w:szCs w:val="22"/>
        </w:rPr>
        <w:t xml:space="preserve"> a ani za bezprostredne predchádzajúce obdobie neeviduje žiadne podsúvahové účty. </w:t>
      </w:r>
    </w:p>
    <w:p w14:paraId="5CBD60D3" w14:textId="77777777" w:rsidR="00A371C5" w:rsidRPr="00EC38FD" w:rsidRDefault="00A371C5" w:rsidP="00BA7EA3">
      <w:pPr>
        <w:pStyle w:val="Default"/>
        <w:spacing w:line="276" w:lineRule="auto"/>
        <w:ind w:firstLine="360"/>
        <w:jc w:val="both"/>
        <w:rPr>
          <w:sz w:val="22"/>
          <w:szCs w:val="22"/>
        </w:rPr>
      </w:pPr>
    </w:p>
    <w:p w14:paraId="683863A7" w14:textId="77777777" w:rsidR="00A371C5" w:rsidRPr="00EC38FD" w:rsidRDefault="00A371C5" w:rsidP="00BA7EA3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C38FD">
        <w:rPr>
          <w:b/>
          <w:bCs/>
          <w:sz w:val="22"/>
          <w:szCs w:val="22"/>
        </w:rPr>
        <w:t xml:space="preserve">INFORMÁCIE O INÝCH AKTÍVACH A INÝCH PASÍVACH </w:t>
      </w:r>
    </w:p>
    <w:p w14:paraId="5653F82D" w14:textId="26F51504" w:rsidR="00A371C5" w:rsidRPr="00EC38FD" w:rsidRDefault="00A371C5" w:rsidP="00BA7EA3">
      <w:pPr>
        <w:pStyle w:val="Default"/>
        <w:spacing w:line="276" w:lineRule="auto"/>
        <w:ind w:firstLine="360"/>
        <w:jc w:val="both"/>
        <w:rPr>
          <w:sz w:val="22"/>
          <w:szCs w:val="22"/>
        </w:rPr>
      </w:pPr>
      <w:r w:rsidRPr="00EC38FD">
        <w:rPr>
          <w:sz w:val="22"/>
          <w:szCs w:val="22"/>
        </w:rPr>
        <w:t>Spoločnosť k 31.12.</w:t>
      </w:r>
      <w:r w:rsidR="00D25D6E" w:rsidRPr="00EC38FD">
        <w:rPr>
          <w:sz w:val="22"/>
          <w:szCs w:val="22"/>
        </w:rPr>
        <w:t>20</w:t>
      </w:r>
      <w:r w:rsidR="00405EFA">
        <w:rPr>
          <w:sz w:val="22"/>
          <w:szCs w:val="22"/>
        </w:rPr>
        <w:t>21</w:t>
      </w:r>
      <w:r w:rsidRPr="00EC38FD">
        <w:rPr>
          <w:sz w:val="22"/>
          <w:szCs w:val="22"/>
        </w:rPr>
        <w:t xml:space="preserve"> a ani za bezprostredne predchádzajúce obdobie neeviduje žiadne iné aktíva a iné pasíva.</w:t>
      </w:r>
    </w:p>
    <w:p w14:paraId="6E64AF83" w14:textId="77777777" w:rsidR="00A371C5" w:rsidRPr="00EC38FD" w:rsidRDefault="00A371C5" w:rsidP="00BA7EA3">
      <w:pPr>
        <w:pStyle w:val="Default"/>
        <w:spacing w:line="276" w:lineRule="auto"/>
        <w:ind w:firstLine="360"/>
        <w:jc w:val="both"/>
        <w:rPr>
          <w:sz w:val="22"/>
          <w:szCs w:val="22"/>
        </w:rPr>
      </w:pPr>
      <w:r w:rsidRPr="00EC38FD">
        <w:rPr>
          <w:sz w:val="22"/>
          <w:szCs w:val="22"/>
        </w:rPr>
        <w:t xml:space="preserve"> </w:t>
      </w:r>
    </w:p>
    <w:p w14:paraId="27AE1446" w14:textId="77777777" w:rsidR="00A371C5" w:rsidRPr="00EC38FD" w:rsidRDefault="00A371C5" w:rsidP="00BA7EA3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C38FD">
        <w:rPr>
          <w:b/>
          <w:bCs/>
          <w:sz w:val="22"/>
          <w:szCs w:val="22"/>
        </w:rPr>
        <w:t xml:space="preserve">INFORMÁCIE O SKUTOČNOSTIACH, KTORÉ NASTALI PO DNI, KU KTORÉMU SA ZOSTAVUJE ÚČTOVNÁ ZÁVIERKA, DO DŇA ZOSTAVENIA ÚČTOVNEJ ZÁVIERKY </w:t>
      </w:r>
    </w:p>
    <w:p w14:paraId="5C4C999E" w14:textId="1C423DCB" w:rsidR="00A371C5" w:rsidRPr="00EC38FD" w:rsidRDefault="00A371C5" w:rsidP="00BA7EA3">
      <w:pPr>
        <w:pStyle w:val="Default"/>
        <w:spacing w:line="276" w:lineRule="auto"/>
        <w:ind w:left="360"/>
        <w:jc w:val="both"/>
        <w:rPr>
          <w:sz w:val="28"/>
          <w:szCs w:val="28"/>
        </w:rPr>
      </w:pPr>
      <w:r w:rsidRPr="00EC38FD">
        <w:rPr>
          <w:sz w:val="22"/>
          <w:szCs w:val="22"/>
        </w:rPr>
        <w:t xml:space="preserve">Po 31. decembri </w:t>
      </w:r>
      <w:r w:rsidR="00D25D6E" w:rsidRPr="00EC38FD">
        <w:rPr>
          <w:sz w:val="22"/>
          <w:szCs w:val="22"/>
        </w:rPr>
        <w:t>20</w:t>
      </w:r>
      <w:r w:rsidR="00405EFA">
        <w:rPr>
          <w:sz w:val="22"/>
          <w:szCs w:val="22"/>
        </w:rPr>
        <w:t>21</w:t>
      </w:r>
      <w:bookmarkStart w:id="0" w:name="_GoBack"/>
      <w:bookmarkEnd w:id="0"/>
      <w:r w:rsidRPr="00EC38FD">
        <w:rPr>
          <w:sz w:val="22"/>
          <w:szCs w:val="22"/>
        </w:rPr>
        <w:t xml:space="preserve"> nenastali žiadne udalosti majúce významný vplyv na verné zobrazenie skutočností, ktoré sú predmetom účtovníctva.</w:t>
      </w:r>
    </w:p>
    <w:sectPr w:rsidR="00A371C5" w:rsidRPr="00EC38FD" w:rsidSect="00A371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D5E6C" w14:textId="77777777" w:rsidR="00486C44" w:rsidRDefault="00486C44" w:rsidP="008B3CAC">
      <w:pPr>
        <w:spacing w:after="0" w:line="240" w:lineRule="auto"/>
      </w:pPr>
      <w:r>
        <w:separator/>
      </w:r>
    </w:p>
  </w:endnote>
  <w:endnote w:type="continuationSeparator" w:id="0">
    <w:p w14:paraId="08154871" w14:textId="77777777" w:rsidR="00486C44" w:rsidRDefault="00486C44" w:rsidP="008B3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F3B2ED" w14:textId="77777777" w:rsidR="00486C44" w:rsidRDefault="00486C44" w:rsidP="008B3CAC">
      <w:pPr>
        <w:spacing w:after="0" w:line="240" w:lineRule="auto"/>
      </w:pPr>
      <w:r>
        <w:separator/>
      </w:r>
    </w:p>
  </w:footnote>
  <w:footnote w:type="continuationSeparator" w:id="0">
    <w:p w14:paraId="090C56F8" w14:textId="77777777" w:rsidR="00486C44" w:rsidRDefault="00486C44" w:rsidP="008B3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99AF7" w14:textId="77777777" w:rsidR="008B3CAC" w:rsidRPr="008B3CAC" w:rsidRDefault="008B3CAC" w:rsidP="008B3CAC">
    <w:pPr>
      <w:pStyle w:val="Hlavika"/>
      <w:rPr>
        <w:rFonts w:ascii="Times New Roman" w:hAnsi="Times New Roman" w:cs="Times New Roman"/>
        <w:b/>
        <w:bCs/>
        <w:sz w:val="20"/>
        <w:szCs w:val="20"/>
      </w:rPr>
    </w:pPr>
    <w:proofErr w:type="spellStart"/>
    <w:r w:rsidRPr="008B3CAC">
      <w:rPr>
        <w:rFonts w:ascii="Times New Roman" w:hAnsi="Times New Roman" w:cs="Times New Roman"/>
        <w:b/>
        <w:bCs/>
        <w:sz w:val="20"/>
        <w:szCs w:val="20"/>
      </w:rPr>
      <w:t>LUK.art</w:t>
    </w:r>
    <w:proofErr w:type="spellEnd"/>
    <w:r w:rsidRPr="008B3CAC">
      <w:rPr>
        <w:rFonts w:ascii="Times New Roman" w:hAnsi="Times New Roman" w:cs="Times New Roman"/>
        <w:b/>
        <w:bCs/>
        <w:sz w:val="20"/>
        <w:szCs w:val="20"/>
      </w:rPr>
      <w:t xml:space="preserve">, s.ro. </w:t>
    </w:r>
  </w:p>
  <w:p w14:paraId="357AE2D4" w14:textId="77777777" w:rsidR="008B3CAC" w:rsidRPr="008B3CAC" w:rsidRDefault="008B3CAC" w:rsidP="008B3CAC">
    <w:pPr>
      <w:pStyle w:val="Hlavika"/>
      <w:rPr>
        <w:rFonts w:ascii="Times New Roman" w:hAnsi="Times New Roman" w:cs="Times New Roman"/>
        <w:b/>
        <w:bCs/>
        <w:sz w:val="20"/>
        <w:szCs w:val="20"/>
      </w:rPr>
    </w:pPr>
    <w:r w:rsidRPr="008B3CAC">
      <w:rPr>
        <w:rFonts w:ascii="Times New Roman" w:hAnsi="Times New Roman" w:cs="Times New Roman"/>
        <w:b/>
        <w:bCs/>
        <w:sz w:val="20"/>
        <w:szCs w:val="20"/>
      </w:rPr>
      <w:t xml:space="preserve">Poznámky </w:t>
    </w:r>
    <w:proofErr w:type="spellStart"/>
    <w:r w:rsidRPr="008B3CAC">
      <w:rPr>
        <w:rFonts w:ascii="Times New Roman" w:hAnsi="Times New Roman" w:cs="Times New Roman"/>
        <w:b/>
        <w:bCs/>
        <w:sz w:val="20"/>
        <w:szCs w:val="20"/>
      </w:rPr>
      <w:t>Úč</w:t>
    </w:r>
    <w:proofErr w:type="spellEnd"/>
    <w:r w:rsidRPr="008B3CAC">
      <w:rPr>
        <w:rFonts w:ascii="Times New Roman" w:hAnsi="Times New Roman" w:cs="Times New Roman"/>
        <w:b/>
        <w:bCs/>
        <w:sz w:val="20"/>
        <w:szCs w:val="20"/>
      </w:rPr>
      <w:t xml:space="preserve"> MÚJ</w:t>
    </w:r>
    <w:r w:rsidRPr="008B3CAC">
      <w:rPr>
        <w:rFonts w:ascii="Times New Roman" w:hAnsi="Times New Roman" w:cs="Times New Roman"/>
        <w:b/>
        <w:bCs/>
        <w:sz w:val="20"/>
        <w:szCs w:val="20"/>
      </w:rPr>
      <w:tab/>
    </w:r>
    <w:r w:rsidRPr="008B3CAC">
      <w:rPr>
        <w:rFonts w:ascii="Times New Roman" w:hAnsi="Times New Roman" w:cs="Times New Roman"/>
        <w:b/>
        <w:bCs/>
        <w:sz w:val="20"/>
        <w:szCs w:val="20"/>
      </w:rPr>
      <w:tab/>
      <w:t xml:space="preserve">IČO: 45578842 </w:t>
    </w:r>
  </w:p>
  <w:p w14:paraId="465CA479" w14:textId="553FC667" w:rsidR="008B3CAC" w:rsidRPr="008B3CAC" w:rsidRDefault="008B3CAC" w:rsidP="008B3CAC">
    <w:pPr>
      <w:pStyle w:val="Hlavika"/>
      <w:rPr>
        <w:rFonts w:ascii="Times New Roman" w:hAnsi="Times New Roman" w:cs="Times New Roman"/>
        <w:sz w:val="20"/>
        <w:szCs w:val="20"/>
      </w:rPr>
    </w:pPr>
    <w:r w:rsidRPr="008B3CAC">
      <w:rPr>
        <w:rFonts w:ascii="Times New Roman" w:hAnsi="Times New Roman" w:cs="Times New Roman"/>
        <w:sz w:val="20"/>
        <w:szCs w:val="20"/>
      </w:rPr>
      <w:t xml:space="preserve">individuálnej účtovnej závierky zostavenej k 31. decembru </w:t>
    </w:r>
    <w:r w:rsidR="00D25D6E">
      <w:rPr>
        <w:rFonts w:ascii="Times New Roman" w:hAnsi="Times New Roman" w:cs="Times New Roman"/>
        <w:sz w:val="20"/>
        <w:szCs w:val="20"/>
      </w:rPr>
      <w:t>20</w:t>
    </w:r>
    <w:r w:rsidR="00405EFA">
      <w:rPr>
        <w:rFonts w:ascii="Times New Roman" w:hAnsi="Times New Roman" w:cs="Times New Roman"/>
        <w:sz w:val="20"/>
        <w:szCs w:val="20"/>
      </w:rPr>
      <w:t>21</w:t>
    </w:r>
    <w:r w:rsidRPr="008B3CAC">
      <w:rPr>
        <w:rFonts w:ascii="Times New Roman" w:hAnsi="Times New Roman" w:cs="Times New Roman"/>
        <w:sz w:val="20"/>
        <w:szCs w:val="20"/>
      </w:rPr>
      <w:t xml:space="preserve"> </w:t>
    </w:r>
    <w:r w:rsidRPr="008B3CAC">
      <w:rPr>
        <w:rFonts w:ascii="Times New Roman" w:hAnsi="Times New Roman" w:cs="Times New Roman"/>
        <w:sz w:val="20"/>
        <w:szCs w:val="20"/>
      </w:rPr>
      <w:tab/>
    </w:r>
    <w:r w:rsidRPr="008B3CAC">
      <w:rPr>
        <w:rFonts w:ascii="Times New Roman" w:hAnsi="Times New Roman" w:cs="Times New Roman"/>
        <w:b/>
        <w:bCs/>
        <w:sz w:val="20"/>
        <w:szCs w:val="20"/>
      </w:rPr>
      <w:t>DIČO: 2023047543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596F"/>
    <w:multiLevelType w:val="hybridMultilevel"/>
    <w:tmpl w:val="8B40825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696C"/>
    <w:multiLevelType w:val="hybridMultilevel"/>
    <w:tmpl w:val="32703F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C52D7"/>
    <w:multiLevelType w:val="hybridMultilevel"/>
    <w:tmpl w:val="6EE27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42C99"/>
    <w:multiLevelType w:val="hybridMultilevel"/>
    <w:tmpl w:val="877C3AD0"/>
    <w:lvl w:ilvl="0" w:tplc="DA8008AA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5C0314"/>
    <w:multiLevelType w:val="hybridMultilevel"/>
    <w:tmpl w:val="73F6427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A7789"/>
    <w:multiLevelType w:val="hybridMultilevel"/>
    <w:tmpl w:val="261A37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D6C63"/>
    <w:multiLevelType w:val="hybridMultilevel"/>
    <w:tmpl w:val="DBB07B9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A6CB7"/>
    <w:multiLevelType w:val="hybridMultilevel"/>
    <w:tmpl w:val="951E1F76"/>
    <w:lvl w:ilvl="0" w:tplc="B41C26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E1B46"/>
    <w:multiLevelType w:val="hybridMultilevel"/>
    <w:tmpl w:val="FA66E00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1594C"/>
    <w:multiLevelType w:val="hybridMultilevel"/>
    <w:tmpl w:val="EDD008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10447F"/>
    <w:multiLevelType w:val="hybridMultilevel"/>
    <w:tmpl w:val="F312C0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70331A"/>
    <w:multiLevelType w:val="hybridMultilevel"/>
    <w:tmpl w:val="634E1D88"/>
    <w:lvl w:ilvl="0" w:tplc="528295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13E41"/>
    <w:multiLevelType w:val="hybridMultilevel"/>
    <w:tmpl w:val="08B8E60E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11"/>
  </w:num>
  <w:num w:numId="6">
    <w:abstractNumId w:val="9"/>
  </w:num>
  <w:num w:numId="7">
    <w:abstractNumId w:val="5"/>
  </w:num>
  <w:num w:numId="8">
    <w:abstractNumId w:val="2"/>
  </w:num>
  <w:num w:numId="9">
    <w:abstractNumId w:val="10"/>
  </w:num>
  <w:num w:numId="10">
    <w:abstractNumId w:val="1"/>
  </w:num>
  <w:num w:numId="11">
    <w:abstractNumId w:val="8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E87"/>
    <w:rsid w:val="000009D7"/>
    <w:rsid w:val="001E67B4"/>
    <w:rsid w:val="0027326C"/>
    <w:rsid w:val="0037202C"/>
    <w:rsid w:val="003A1E87"/>
    <w:rsid w:val="00405EFA"/>
    <w:rsid w:val="00486C44"/>
    <w:rsid w:val="00586CD4"/>
    <w:rsid w:val="005C4E5F"/>
    <w:rsid w:val="006F6D98"/>
    <w:rsid w:val="007C743C"/>
    <w:rsid w:val="00824B0F"/>
    <w:rsid w:val="008B3CAC"/>
    <w:rsid w:val="00A371C5"/>
    <w:rsid w:val="00AD70DE"/>
    <w:rsid w:val="00B4247F"/>
    <w:rsid w:val="00BA7EA3"/>
    <w:rsid w:val="00C7629E"/>
    <w:rsid w:val="00D25D6E"/>
    <w:rsid w:val="00D566B9"/>
    <w:rsid w:val="00EB39E9"/>
    <w:rsid w:val="00EC1454"/>
    <w:rsid w:val="00EC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561FE"/>
  <w15:chartTrackingRefBased/>
  <w15:docId w15:val="{0237ADE2-DCFC-4990-8782-793ABDB92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B3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8B3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B3CAC"/>
  </w:style>
  <w:style w:type="paragraph" w:styleId="Pta">
    <w:name w:val="footer"/>
    <w:basedOn w:val="Normlny"/>
    <w:link w:val="PtaChar"/>
    <w:uiPriority w:val="99"/>
    <w:unhideWhenUsed/>
    <w:rsid w:val="008B3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B3CAC"/>
  </w:style>
  <w:style w:type="table" w:styleId="Mriekatabuky">
    <w:name w:val="Table Grid"/>
    <w:basedOn w:val="Normlnatabuka"/>
    <w:uiPriority w:val="39"/>
    <w:rsid w:val="001E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yajntabuka2">
    <w:name w:val="Plain Table 2"/>
    <w:basedOn w:val="Normlnatabuka"/>
    <w:uiPriority w:val="42"/>
    <w:rsid w:val="001E67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8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g.richnavska@gmail.com</cp:lastModifiedBy>
  <cp:revision>10</cp:revision>
  <dcterms:created xsi:type="dcterms:W3CDTF">2018-06-24T11:45:00Z</dcterms:created>
  <dcterms:modified xsi:type="dcterms:W3CDTF">2022-06-29T18:56:00Z</dcterms:modified>
</cp:coreProperties>
</file>