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P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eastAsia="ar-SA"/>
        </w:rPr>
      </w:pPr>
      <w:r w:rsidRPr="00DE75A8">
        <w:rPr>
          <w:rFonts w:ascii="Times New Roman" w:eastAsia="Times New Roman" w:hAnsi="Times New Roman"/>
          <w:b/>
          <w:sz w:val="40"/>
          <w:szCs w:val="40"/>
          <w:lang w:eastAsia="ar-SA"/>
        </w:rPr>
        <w:t>VÝROČNÁ SPRÁVA</w:t>
      </w:r>
    </w:p>
    <w:p w:rsidR="00DE75A8" w:rsidRPr="00DE75A8" w:rsidRDefault="00A55074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40"/>
          <w:szCs w:val="40"/>
          <w:lang w:eastAsia="ar-SA"/>
        </w:rPr>
      </w:pPr>
      <w:r>
        <w:rPr>
          <w:rFonts w:ascii="Times New Roman" w:eastAsia="Times New Roman" w:hAnsi="Times New Roman"/>
          <w:b/>
          <w:sz w:val="40"/>
          <w:szCs w:val="40"/>
          <w:lang w:eastAsia="ar-SA"/>
        </w:rPr>
        <w:t>ROK 2021</w:t>
      </w:r>
    </w:p>
    <w:p w:rsidR="00DE75A8" w:rsidRDefault="00DE75A8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180689" w:rsidP="00E13ACE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>
        <w:rPr>
          <w:noProof/>
          <w:lang w:eastAsia="sk-SK"/>
        </w:rPr>
        <w:drawing>
          <wp:inline distT="0" distB="0" distL="0" distR="0">
            <wp:extent cx="1571625" cy="1981200"/>
            <wp:effectExtent l="19050" t="0" r="9525" b="0"/>
            <wp:docPr id="1" name="Obrázok 1" descr="Obec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Vyšná Olšav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DE75A8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</w:p>
    <w:p w:rsidR="00DE75A8" w:rsidRDefault="00AA25C9" w:rsidP="00DE75A8">
      <w:pPr>
        <w:suppressAutoHyphens/>
        <w:spacing w:after="0" w:line="240" w:lineRule="auto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>
        <w:rPr>
          <w:rFonts w:ascii="Times New Roman" w:eastAsia="Times New Roman" w:hAnsi="Times New Roman"/>
          <w:b/>
          <w:sz w:val="32"/>
          <w:szCs w:val="32"/>
          <w:lang w:eastAsia="ar-SA"/>
        </w:rPr>
        <w:t>MÁJ</w:t>
      </w:r>
      <w:r w:rsidR="00A55074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2022</w:t>
      </w:r>
    </w:p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/>
          <w:b/>
          <w:sz w:val="32"/>
          <w:szCs w:val="32"/>
          <w:lang w:eastAsia="ar-SA"/>
        </w:rPr>
        <w:lastRenderedPageBreak/>
        <w:t>Výročná sprá</w:t>
      </w:r>
      <w:r w:rsidR="00692F34">
        <w:rPr>
          <w:rFonts w:ascii="Times New Roman" w:eastAsia="Times New Roman" w:hAnsi="Times New Roman"/>
          <w:b/>
          <w:sz w:val="32"/>
          <w:szCs w:val="32"/>
          <w:lang w:eastAsia="ar-SA"/>
        </w:rPr>
        <w:t>va o hosp</w:t>
      </w:r>
      <w:r w:rsidR="001361BE">
        <w:rPr>
          <w:rFonts w:ascii="Times New Roman" w:eastAsia="Times New Roman" w:hAnsi="Times New Roman"/>
          <w:b/>
          <w:sz w:val="32"/>
          <w:szCs w:val="32"/>
          <w:lang w:eastAsia="ar-SA"/>
        </w:rPr>
        <w:t>odárení obce Vyšná Olšava</w:t>
      </w:r>
      <w:r w:rsidR="00A55074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za rok 2021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07163C">
        <w:rPr>
          <w:rFonts w:ascii="Times New Roman" w:eastAsia="Times New Roman" w:hAnsi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Obec  </w:t>
      </w:r>
      <w:r w:rsidR="001361BE">
        <w:rPr>
          <w:rFonts w:ascii="Times New Roman" w:eastAsia="Times New Roman" w:hAnsi="Times New Roman"/>
          <w:b/>
          <w:sz w:val="28"/>
          <w:szCs w:val="28"/>
          <w:lang w:eastAsia="ar-SA"/>
        </w:rPr>
        <w:t>Vyšná Olšava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/>
          <w:sz w:val="24"/>
          <w:szCs w:val="24"/>
          <w:lang w:eastAsia="ar-SA"/>
        </w:rPr>
        <w:t>Obecný úrad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 xml:space="preserve"> č. 182,  Vyšná Olšava,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Identifikačné číslo – IČO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ab/>
        <w:t>00 331 210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80534">
        <w:rPr>
          <w:rFonts w:ascii="Times New Roman" w:eastAsia="Times New Roman" w:hAnsi="Times New Roman"/>
          <w:sz w:val="24"/>
          <w:szCs w:val="24"/>
          <w:lang w:eastAsia="ar-SA"/>
        </w:rPr>
        <w:t>2020822617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>528048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           711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Pr="0007163C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Vedenie obce a poslanci </w:t>
      </w:r>
      <w:r w:rsidR="003A26AA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volebné obdobie 2018-2022</w:t>
      </w:r>
    </w:p>
    <w:tbl>
      <w:tblPr>
        <w:tblW w:w="0" w:type="auto"/>
        <w:tblLayout w:type="fixed"/>
        <w:tblLook w:val="0000"/>
      </w:tblPr>
      <w:tblGrid>
        <w:gridCol w:w="10220"/>
      </w:tblGrid>
      <w:tr w:rsidR="00CB0B3A" w:rsidRPr="005E229F" w:rsidTr="00DE49AC">
        <w:trPr>
          <w:trHeight w:val="1106"/>
        </w:trPr>
        <w:tc>
          <w:tcPr>
            <w:tcW w:w="10220" w:type="dxa"/>
          </w:tcPr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Kasarda Juraj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starosta obce</w:t>
            </w:r>
          </w:p>
          <w:p w:rsidR="00CB0B3A" w:rsidRPr="0007163C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:           Olčák Radovan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9F6246" w:rsidRPr="009F6246" w:rsidRDefault="00CB0B3A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:   </w:t>
            </w:r>
          </w:p>
          <w:p w:rsidR="00CB0B3A" w:rsidRPr="0007163C" w:rsidRDefault="009F6246" w:rsidP="00DE49A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počet komisií OZ</w:t>
            </w:r>
            <w:r w:rsidRPr="009F624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>: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           2</w:t>
            </w:r>
            <w:r w:rsidR="00CB0B3A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         </w:t>
            </w:r>
          </w:p>
        </w:tc>
      </w:tr>
    </w:tbl>
    <w:p w:rsidR="00CB0B3A" w:rsidRPr="0007163C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Default="00CB0B3A" w:rsidP="00CB0B3A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obecné zastupiteľstvo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- počet poslancov 7</w:t>
      </w:r>
    </w:p>
    <w:p w:rsidR="00CB0B3A" w:rsidRDefault="00CB0B3A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Olčák Radovan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Drabová Jana, Ing.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Legiň Matej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Novický Lukáš</w:t>
      </w:r>
    </w:p>
    <w:p w:rsidR="00CB0B3A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Perát JOzef</w:t>
      </w:r>
    </w:p>
    <w:p w:rsidR="00CB0B3A" w:rsidRDefault="00A55074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Mičo Jozef</w:t>
      </w:r>
    </w:p>
    <w:p w:rsidR="00CB0B3A" w:rsidRPr="00C510DE" w:rsidRDefault="00665160" w:rsidP="00CB0B3A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Vodila Stanislav, Ing.</w:t>
      </w:r>
      <w:r w:rsidR="00CB0B3A" w:rsidRPr="00C510DE">
        <w:rPr>
          <w:rFonts w:ascii="Times New Roman" w:eastAsia="Times New Roman" w:hAnsi="Times New Roman"/>
          <w:color w:val="FF0000"/>
          <w:sz w:val="24"/>
          <w:szCs w:val="24"/>
          <w:lang w:eastAsia="ar-SA"/>
        </w:rPr>
        <w:t xml:space="preserve">                                     </w:t>
      </w:r>
    </w:p>
    <w:p w:rsidR="00CB0B3A" w:rsidRPr="002B4AC0" w:rsidRDefault="00CB0B3A" w:rsidP="00CB0B3A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</w:p>
    <w:p w:rsidR="00CB0B3A" w:rsidRDefault="00CB0B3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B0B3A" w:rsidRDefault="00CB0B3A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Obec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857A3D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Počet  zamestnancov k 31.12.20</w:t>
      </w:r>
      <w:r w:rsidR="00E04DE3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2</w:t>
      </w:r>
      <w:r w:rsidR="00A55074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1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27</w:t>
      </w:r>
      <w:r w:rsidR="005153AD" w:rsidRPr="00AA6831"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/>
          <w:sz w:val="24"/>
          <w:szCs w:val="24"/>
          <w:lang w:eastAsia="ar-SA"/>
        </w:rPr>
        <w:t>1  - starosta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+ 2 riaditeľka ZŠ a riaditeľka MŠ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:  </w:t>
      </w:r>
    </w:p>
    <w:p w:rsidR="0007163C" w:rsidRPr="00183C37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>1</w:t>
      </w:r>
      <w:r w:rsidR="00613D09">
        <w:rPr>
          <w:rFonts w:ascii="Times New Roman" w:eastAsia="Times New Roman" w:hAnsi="Times New Roman"/>
          <w:sz w:val="24"/>
          <w:szCs w:val="24"/>
          <w:lang w:eastAsia="ar-SA"/>
        </w:rPr>
        <w:t>7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-  s prevahou duševnej práce</w:t>
      </w:r>
      <w:r w:rsidRPr="00183C37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                                              </w:t>
      </w:r>
      <w:r w:rsidRPr="00183C37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Cieľ predkladanej výročnej sprá</w:t>
      </w:r>
      <w:r w:rsidR="00DE4C4E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vy o hospodárení Obce Vyšná Olšava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lastRenderedPageBreak/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prehľad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príjmov a výdavkov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A55074">
        <w:rPr>
          <w:rFonts w:ascii="Times New Roman" w:eastAsia="Times New Roman" w:hAnsi="Times New Roman"/>
          <w:b/>
          <w:sz w:val="24"/>
          <w:szCs w:val="24"/>
          <w:lang w:eastAsia="ar-SA"/>
        </w:rPr>
        <w:t>1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ar-SA"/>
        </w:rPr>
        <w:t>História obce: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Obec je doložená z roku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Vrazn1"/>
          <w:rFonts w:ascii="Century Gothic" w:hAnsi="Century Gothic"/>
          <w:color w:val="554E38"/>
          <w:sz w:val="18"/>
          <w:szCs w:val="18"/>
        </w:rPr>
        <w:t>1382 ako Elsewa</w:t>
      </w:r>
      <w:r>
        <w:rPr>
          <w:rFonts w:ascii="Century Gothic" w:hAnsi="Century Gothic"/>
          <w:color w:val="554E38"/>
          <w:sz w:val="18"/>
          <w:szCs w:val="18"/>
        </w:rPr>
        <w:t>, neskôr ako Olsua (1391), Felsew Elswa (1394), Ilswa (1410), Felsew Olswa (1474), Wissní Olssawy (1808), Vyšná Oľšava (1920); po maďarsky Felsöolsva.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Style w:val="Vrazn1"/>
          <w:rFonts w:ascii="Century Gothic" w:hAnsi="Century Gothic"/>
          <w:color w:val="554E38"/>
          <w:sz w:val="18"/>
          <w:szCs w:val="18"/>
        </w:rPr>
        <w:t>Obec patrila panstvu Čičava, v roku 1493 panstvu Makovica, v 18. storočí Dessewffyovcom a iným.</w:t>
      </w:r>
      <w:r>
        <w:rPr>
          <w:rFonts w:ascii="Century Gothic" w:hAnsi="Century Gothic"/>
          <w:color w:val="554E38"/>
          <w:sz w:val="18"/>
          <w:szCs w:val="18"/>
        </w:rPr>
        <w:t>V roku 1493 mala z 11 usadlostí 8 opustených, v roku 1715 mala 34 opustených a 22 obývaných domácností, v roku 1787 mala obec 64 domov a 480 obyvateľov, v roku 1828 mala 56 domov a 449 obyvateľov.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Vrazn1"/>
          <w:rFonts w:ascii="Century Gothic" w:hAnsi="Century Gothic"/>
          <w:color w:val="554E38"/>
          <w:sz w:val="18"/>
          <w:szCs w:val="18"/>
        </w:rPr>
        <w:t>Zaoberali sa poľnohospodárstvom a drevorubačstvom.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Fonts w:ascii="Century Gothic" w:hAnsi="Century Gothic"/>
          <w:color w:val="554E38"/>
          <w:sz w:val="18"/>
          <w:szCs w:val="18"/>
        </w:rPr>
        <w:t>Začiatkom 20. storočia vlastnila tu majetky rodina Grustyinszkovcov.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Za I. ČSR sa zamestnanie obyvateľov nezmenilo. JRD založené v roku 1949 sa v roku 1957 rozpadlo, znovu bolo založené v roku 1960.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Vrazn1"/>
          <w:rFonts w:ascii="Century Gothic" w:hAnsi="Century Gothic"/>
          <w:color w:val="554E38"/>
          <w:sz w:val="18"/>
          <w:szCs w:val="18"/>
        </w:rPr>
        <w:t>Časť obyvateľov pracovala v priemyselných podnikoch v Stropkove.</w:t>
      </w:r>
    </w:p>
    <w:p w:rsidR="003305CA" w:rsidRDefault="003305CA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F9678F" w:rsidRDefault="00B257DB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Základné informácie</w:t>
      </w:r>
      <w:r w:rsidR="00074AE6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obce:</w:t>
      </w:r>
    </w:p>
    <w:tbl>
      <w:tblPr>
        <w:tblW w:w="0" w:type="auto"/>
        <w:tblCellSpacing w:w="22" w:type="dxa"/>
        <w:shd w:val="clear" w:color="auto" w:fill="F0EFEA"/>
        <w:tblCellMar>
          <w:left w:w="0" w:type="dxa"/>
          <w:right w:w="0" w:type="dxa"/>
        </w:tblCellMar>
        <w:tblLook w:val="04A0"/>
      </w:tblPr>
      <w:tblGrid>
        <w:gridCol w:w="2166"/>
        <w:gridCol w:w="1566"/>
      </w:tblGrid>
      <w:tr w:rsidR="00B257DB" w:rsidRPr="005E229F" w:rsidTr="00B257DB">
        <w:trPr>
          <w:tblCellSpacing w:w="22" w:type="dxa"/>
        </w:trPr>
        <w:tc>
          <w:tcPr>
            <w:tcW w:w="21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Samosprávny kraj:</w:t>
            </w:r>
          </w:p>
        </w:tc>
        <w:tc>
          <w:tcPr>
            <w:tcW w:w="15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Prešovský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Okres: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Stropkov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Región: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Ondava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IČO: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00331210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Počet obyvateľov: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607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Vrazn1"/>
                <w:rFonts w:ascii="Century Gothic" w:hAnsi="Century Gothic"/>
                <w:color w:val="554E38"/>
                <w:sz w:val="18"/>
                <w:szCs w:val="18"/>
              </w:rPr>
              <w:t>Rozloha: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1377 ha</w:t>
            </w:r>
          </w:p>
        </w:tc>
      </w:tr>
    </w:tbl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DE49AC" w:rsidRDefault="00180689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drawing>
          <wp:inline distT="0" distB="0" distL="0" distR="0">
            <wp:extent cx="1571625" cy="1981200"/>
            <wp:effectExtent l="19050" t="0" r="9525" b="0"/>
            <wp:docPr id="2" name="Obrázok 1" descr="Obec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Obec Vyšná Olšava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49AC" w:rsidRDefault="00DE49A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DE49AC" w:rsidRDefault="00180689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noProof/>
          <w:lang w:eastAsia="sk-SK"/>
        </w:rPr>
        <w:drawing>
          <wp:inline distT="0" distB="0" distL="0" distR="0">
            <wp:extent cx="5810250" cy="2667000"/>
            <wp:effectExtent l="19050" t="0" r="0" b="0"/>
            <wp:docPr id="3" name="Obrázok 2" descr="Výsledok vyhľadávania obrázkov pre dopyt vyšná olš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Výsledok vyhľadávania obrázkov pre dopyt vyšná olšava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266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1E7298" w:rsidRDefault="001E7298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viedla v roku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A55074">
        <w:rPr>
          <w:rFonts w:ascii="Times New Roman" w:eastAsia="Times New Roman" w:hAnsi="Times New Roman"/>
          <w:b/>
          <w:sz w:val="24"/>
          <w:szCs w:val="24"/>
          <w:lang w:eastAsia="ar-SA"/>
        </w:rPr>
        <w:t>1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účtovníctvo v rozsahu a spôsobom ustanoveným zákonom NR SR číslo 431/2002 Z.z.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takisto v plnom rozsahu rešpektovala rámcovú účtovú osnovu a postupy účtovania v znení Opatrenia MF SR zo 17.decembra 2008 č. MF/25189/2008-311 (FS 13/2008)a v znení Opatrenia MF SR z 96. decembra 2009 č. MF /24240/2009-31( FS 15/2009) záväzné 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BF04A6">
        <w:rPr>
          <w:rFonts w:ascii="Times New Roman" w:eastAsia="Times New Roman" w:hAnsi="Times New Roman"/>
          <w:sz w:val="24"/>
          <w:szCs w:val="24"/>
          <w:lang w:eastAsia="ar-SA"/>
        </w:rPr>
        <w:t xml:space="preserve"> zostavila za účtovný rok </w:t>
      </w:r>
      <w:r w:rsidR="00BF04A6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A55074">
        <w:rPr>
          <w:rFonts w:ascii="Times New Roman" w:eastAsia="Times New Roman" w:hAnsi="Times New Roman"/>
          <w:b/>
          <w:sz w:val="24"/>
          <w:szCs w:val="24"/>
          <w:lang w:eastAsia="ar-SA"/>
        </w:rPr>
        <w:t>1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riadnu účtovnú závierku </w:t>
      </w:r>
      <w:r w:rsidR="0007163C" w:rsidRPr="00D327F3">
        <w:rPr>
          <w:rFonts w:ascii="Times New Roman" w:eastAsia="Times New Roman" w:hAnsi="Times New Roman"/>
          <w:b/>
          <w:sz w:val="24"/>
          <w:szCs w:val="24"/>
          <w:lang w:eastAsia="ar-SA"/>
        </w:rPr>
        <w:t>k 31. 12. 20</w:t>
      </w:r>
      <w:r w:rsidR="00E04DE3">
        <w:rPr>
          <w:rFonts w:ascii="Times New Roman" w:eastAsia="Times New Roman" w:hAnsi="Times New Roman"/>
          <w:b/>
          <w:sz w:val="24"/>
          <w:szCs w:val="24"/>
          <w:lang w:eastAsia="ar-SA"/>
        </w:rPr>
        <w:t>2</w:t>
      </w:r>
      <w:r w:rsidR="00A55074">
        <w:rPr>
          <w:rFonts w:ascii="Times New Roman" w:eastAsia="Times New Roman" w:hAnsi="Times New Roman"/>
          <w:b/>
          <w:sz w:val="24"/>
          <w:szCs w:val="24"/>
          <w:lang w:eastAsia="ar-SA"/>
        </w:rPr>
        <w:t>1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, ktorá má v znení ustanovenia §16 zákona o účtovníctve štandardnú štruktúru</w:t>
      </w:r>
      <w:r w:rsidR="006A0001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</w:t>
      </w:r>
    </w:p>
    <w:tbl>
      <w:tblPr>
        <w:tblW w:w="740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480"/>
        <w:gridCol w:w="960"/>
        <w:gridCol w:w="960"/>
        <w:gridCol w:w="960"/>
        <w:gridCol w:w="1040"/>
      </w:tblGrid>
      <w:tr w:rsidR="00C51132" w:rsidRPr="00C51132" w:rsidTr="00C51132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A55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A55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A55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A55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A55074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  <w:r w:rsidR="00A55074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C51132" w:rsidRPr="00C51132" w:rsidRDefault="00C51132" w:rsidP="00837C0C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  <w:r w:rsidR="00E04DE3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837C0C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2 228 859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2 528 693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2 872 950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3 159 072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5 250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 dlhodobý 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2 101 669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2 401 503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2 745 760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3 031 882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121 940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81 344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91 679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83 147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69 064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zuct medzi subjektami VS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119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361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80 970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941 465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26BC1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!!!!!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NBO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2 310 203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2 620 372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2 956 096</w:t>
            </w:r>
          </w:p>
        </w:tc>
        <w:tc>
          <w:tcPr>
            <w:tcW w:w="10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3 228 136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409 860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427 574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530 324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539 332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nevysporiadaný HV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381 645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409 861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526 220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532 012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Výsledok hosp za účt obdobie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28 216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17 713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4 105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7 320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18 884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33 745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294 804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196 009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5 00</w:t>
            </w:r>
            <w:r w:rsidR="00C51132"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239 355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4 957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4 845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4 000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5 113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4 006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14 039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24 745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36 587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31 087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2 036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10 038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15 089</w:t>
            </w:r>
          </w:p>
        </w:tc>
      </w:tr>
      <w:tr w:rsidR="00C51132" w:rsidRPr="00C51132" w:rsidTr="00C51132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bankové úv</w:t>
            </w:r>
            <w:r w:rsid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e</w:t>
            </w: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837C0C" w:rsidP="00837C0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13 750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155 960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Časové rozlíšenie - VBO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1 881 458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2 159 053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E04DE3" w:rsidP="00837C0C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</w:t>
            </w:r>
            <w:r w:rsidR="00837C0C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130 968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2 492 795</w:t>
            </w:r>
          </w:p>
        </w:tc>
      </w:tr>
      <w:tr w:rsidR="00C51132" w:rsidRPr="00C51132" w:rsidTr="00C51132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C51132" w:rsidP="00C5113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5113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2 310 203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A55074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2 620 372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837C0C" w:rsidP="00E04DE3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2 956 097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C51132" w:rsidRPr="00C51132" w:rsidRDefault="001E14CE" w:rsidP="00C5113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3 228 136</w:t>
            </w:r>
          </w:p>
        </w:tc>
      </w:tr>
    </w:tbl>
    <w:p w:rsidR="00C510DE" w:rsidRDefault="00C510DE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Výkaz ziskov a strát </w:t>
      </w:r>
    </w:p>
    <w:tbl>
      <w:tblPr>
        <w:tblW w:w="740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480"/>
        <w:gridCol w:w="960"/>
        <w:gridCol w:w="960"/>
        <w:gridCol w:w="960"/>
        <w:gridCol w:w="1040"/>
      </w:tblGrid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Náklady a výnosy 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9427E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D9427E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2B667D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2B667D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2B667D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  <w:r w:rsidR="002B667D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2B667D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</w:t>
            </w:r>
            <w:r w:rsidR="009C0508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2B667D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D9427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454 092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601 553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667 591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1E14C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679 143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9427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73 203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74 360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91 003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E14C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79 812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9427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61 456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102 747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57 264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E14C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91 187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9427E" w:rsidP="00D942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275 203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368 221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448 821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E14C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434 671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9427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  <w:r w:rsidR="00D9427E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031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7 201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5 818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E14C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5 350</w:t>
            </w:r>
          </w:p>
        </w:tc>
      </w:tr>
      <w:tr w:rsidR="00D31C36" w:rsidRPr="00D31C36" w:rsidTr="00D31C36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9427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37 618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46 625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55 763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E14C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63 316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9427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1 234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1 425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2 237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E14C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3 650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2 236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9C050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6 462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1E14CE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934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EEF3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482 308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619 260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671 696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:rsidR="00D31C36" w:rsidRPr="00D31C36" w:rsidRDefault="006C5C20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686 463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44 736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51 126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50 673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6C5C20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53 966</w:t>
            </w:r>
          </w:p>
        </w:tc>
      </w:tr>
      <w:tr w:rsidR="00D31C36" w:rsidRPr="00D31C36" w:rsidTr="00D31C36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234 932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262 783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258 394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6C5C20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267 223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3 786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1 193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6C5C20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471</w:t>
            </w:r>
          </w:p>
        </w:tc>
      </w:tr>
      <w:tr w:rsidR="00D31C36" w:rsidRPr="00D31C36" w:rsidTr="00D31C36">
        <w:trPr>
          <w:trHeight w:val="51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9C0508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55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198 854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304 178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362 282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6C5C20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364 803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D31C36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D31C36" w:rsidRPr="00D31C36" w:rsidTr="00D31C36">
        <w:trPr>
          <w:trHeight w:val="270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BF1DE"/>
            <w:vAlign w:val="bottom"/>
            <w:hideMark/>
          </w:tcPr>
          <w:p w:rsidR="00D31C36" w:rsidRPr="00D31C36" w:rsidRDefault="00D31C36" w:rsidP="00D31C36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31C36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Výsledok hosp po zdanení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28 216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2B667D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17 727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2B667D" w:rsidP="009C050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4 105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BF1DE"/>
            <w:noWrap/>
            <w:vAlign w:val="bottom"/>
            <w:hideMark/>
          </w:tcPr>
          <w:p w:rsidR="00D31C36" w:rsidRPr="00D31C36" w:rsidRDefault="006C5C20" w:rsidP="00D31C36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7 320</w:t>
            </w:r>
          </w:p>
        </w:tc>
      </w:tr>
    </w:tbl>
    <w:p w:rsidR="0013225F" w:rsidRPr="009A7840" w:rsidRDefault="0013225F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ospodárenie obce </w:t>
      </w:r>
      <w:r w:rsidR="00501B93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Vyšná Olšava</w:t>
      </w: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</w:p>
    <w:tbl>
      <w:tblPr>
        <w:tblW w:w="758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3528"/>
        <w:gridCol w:w="1188"/>
        <w:gridCol w:w="955"/>
        <w:gridCol w:w="953"/>
        <w:gridCol w:w="956"/>
      </w:tblGrid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Rozpočet</w:t>
            </w: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86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6"/>
                <w:szCs w:val="16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sz w:val="16"/>
                <w:szCs w:val="16"/>
                <w:lang w:eastAsia="sk-SK"/>
              </w:rPr>
              <w:t>Bežné obdobie</w:t>
            </w:r>
          </w:p>
        </w:tc>
      </w:tr>
      <w:tr w:rsidR="00F52DB6" w:rsidRPr="00F52DB6" w:rsidTr="00F52DB6">
        <w:trPr>
          <w:trHeight w:val="450"/>
        </w:trPr>
        <w:tc>
          <w:tcPr>
            <w:tcW w:w="35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FIN 1-12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Minulé obdobie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schválený rozpočet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rozpočet po úprave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 xml:space="preserve">skutočnosť 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lastRenderedPageBreak/>
              <w:t>Bežné príjmy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A25C9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679 010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632 017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655 683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692 010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príjmy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výdavky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A25C9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664 995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632 017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655 683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664 995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Bežné výdavyk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HV  Bežný rozpočet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A25C9" w:rsidP="00AB2EA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44 351</w:t>
            </w:r>
          </w:p>
        </w:tc>
        <w:tc>
          <w:tcPr>
            <w:tcW w:w="9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27 015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príjmy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A25C9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239 355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239 00</w:t>
            </w:r>
            <w:r w:rsidR="00AB2EA8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  <w:r w:rsidR="00F52DB6"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239 00</w:t>
            </w:r>
            <w:r w:rsidR="00F52DB6"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173 588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príjmy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F52DB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výdavky (obce)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A25C9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301 376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239 000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239 000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344 288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Kapitálové výdavky RO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HV  Kapitálový rozpočet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5E117B" w:rsidP="00AA25C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</w:t>
            </w:r>
            <w:r w:rsidR="00AA25C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62</w:t>
            </w: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AA25C9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021</w:t>
            </w:r>
          </w:p>
        </w:tc>
        <w:tc>
          <w:tcPr>
            <w:tcW w:w="9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-170 700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HV Bežný + kapitálový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A25C9" w:rsidP="00AB2EA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- 17 670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7F5AFC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-</w:t>
            </w:r>
            <w:r w:rsidR="00AF6DAF">
              <w:rPr>
                <w:rFonts w:ascii="Times New Roman" w:eastAsia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143 685</w:t>
            </w:r>
          </w:p>
        </w:tc>
      </w:tr>
      <w:tr w:rsidR="00F52DB6" w:rsidRPr="00F52DB6" w:rsidTr="00F52DB6">
        <w:trPr>
          <w:trHeight w:val="300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 xml:space="preserve">Finančné operácie - príjmové 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A25C9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96 215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209 710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Finančné operácie - výdavkové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A25C9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  <w:r w:rsidR="00F52DB6"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5 00</w:t>
            </w:r>
            <w:r w:rsidR="00AB2EA8">
              <w:rPr>
                <w:rFonts w:ascii="Times New Roman" w:eastAsia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HV - Finančné operácie</w:t>
            </w:r>
          </w:p>
        </w:tc>
        <w:tc>
          <w:tcPr>
            <w:tcW w:w="1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96 215</w:t>
            </w:r>
          </w:p>
        </w:tc>
        <w:tc>
          <w:tcPr>
            <w:tcW w:w="95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C00000"/>
                <w:sz w:val="16"/>
                <w:szCs w:val="16"/>
                <w:lang w:eastAsia="sk-SK"/>
              </w:rPr>
              <w:t>204 710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Celkom príjmy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1 014 580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1 075 308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Celkom výdavky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936 035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16"/>
                <w:szCs w:val="16"/>
                <w:lang w:eastAsia="sk-SK"/>
              </w:rPr>
              <w:t>1 014 283</w:t>
            </w:r>
          </w:p>
        </w:tc>
      </w:tr>
      <w:tr w:rsidR="00F52DB6" w:rsidRPr="00F52DB6" w:rsidTr="00F52DB6">
        <w:trPr>
          <w:trHeight w:val="315"/>
        </w:trPr>
        <w:tc>
          <w:tcPr>
            <w:tcW w:w="352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 w:rsidRPr="00F52DB6"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HV CELKOM</w:t>
            </w:r>
          </w:p>
        </w:tc>
        <w:tc>
          <w:tcPr>
            <w:tcW w:w="11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78 545</w:t>
            </w:r>
          </w:p>
        </w:tc>
        <w:tc>
          <w:tcPr>
            <w:tcW w:w="95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F52DB6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2DB6" w:rsidRPr="00F52DB6" w:rsidRDefault="00AF6DAF" w:rsidP="00F52DB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i/>
                <w:iCs/>
                <w:color w:val="366092"/>
                <w:sz w:val="16"/>
                <w:szCs w:val="16"/>
                <w:lang w:eastAsia="sk-SK"/>
              </w:rPr>
              <w:t>61 025</w:t>
            </w:r>
          </w:p>
        </w:tc>
      </w:tr>
    </w:tbl>
    <w:p w:rsidR="00CF4A8A" w:rsidRDefault="00CF4A8A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D975CE" w:rsidRDefault="00D975CE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6821D8" w:rsidRPr="001A77EF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svoj rozpočet na rok 2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0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AF6DA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1</w:t>
      </w: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:rsidR="006821D8" w:rsidRPr="00060A1C" w:rsidRDefault="00D40F3A" w:rsidP="00AB2EA8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6"/>
          <w:szCs w:val="24"/>
          <w:lang w:eastAsia="ar-SA"/>
        </w:rPr>
      </w:pPr>
      <w:r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zala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schodok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z bežného a kapitálového hospodárenia v sume </w:t>
      </w:r>
      <w:r w:rsidR="007F5AF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-143 685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AB2EA8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€</w:t>
      </w:r>
      <w:r w:rsidR="007F5AF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 ktorý bol vysporiada</w:t>
      </w:r>
      <w:r w:rsidR="00572B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</w:t>
      </w:r>
      <w:r w:rsidR="007F5AF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ý výsledkom s finančných  operáci</w:t>
      </w:r>
      <w:r w:rsidR="00572B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i</w:t>
      </w:r>
      <w:r w:rsidR="00BC059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(prijatý krátkodobý bankový úver na kapitál výdavky).</w:t>
      </w:r>
    </w:p>
    <w:p w:rsidR="00D322DA" w:rsidRPr="00C230CB" w:rsidRDefault="0083410C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vykázala k 31.12.20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7F5AFC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1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zostatok peňažných prostriedkov n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a bankových účtov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852D21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 celkovej sume </w:t>
      </w:r>
      <w:r w:rsidR="00572B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66 307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€ a hotovosť v pokladne </w:t>
      </w:r>
      <w:r w:rsidR="00572B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2396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€, spolu to predstavuje čiastku </w:t>
      </w:r>
      <w:r w:rsidR="00572B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68 703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€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 je to o</w:t>
      </w:r>
      <w:r w:rsidR="00572B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14 324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€ menej ako v roku 20</w:t>
      </w:r>
      <w:r w:rsidR="00572BA3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 w:rsidR="00672FF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</w:t>
      </w:r>
    </w:p>
    <w:p w:rsidR="004B6667" w:rsidRDefault="004B666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)</w:t>
      </w:r>
    </w:p>
    <w:p w:rsidR="0007163C" w:rsidRPr="0007163C" w:rsidRDefault="001D3B9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 k 31.12.20</w:t>
      </w:r>
      <w:r w:rsidR="00672FF9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572BA3">
        <w:rPr>
          <w:rFonts w:ascii="Times New Roman" w:eastAsia="Times New Roman" w:hAnsi="Times New Roman"/>
          <w:sz w:val="24"/>
          <w:szCs w:val="24"/>
          <w:lang w:eastAsia="ar-SA"/>
        </w:rPr>
        <w:t>1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 xml:space="preserve">čerpala </w:t>
      </w:r>
      <w:r w:rsidR="00BC0599">
        <w:rPr>
          <w:rFonts w:ascii="Times New Roman" w:eastAsia="Times New Roman" w:hAnsi="Times New Roman"/>
          <w:sz w:val="24"/>
          <w:szCs w:val="24"/>
          <w:lang w:eastAsia="ar-SA"/>
        </w:rPr>
        <w:t xml:space="preserve">bankový úver v sume 142 210  € a </w:t>
      </w:r>
      <w:r w:rsidR="00672FF9">
        <w:rPr>
          <w:rFonts w:ascii="Times New Roman" w:eastAsia="Times New Roman" w:hAnsi="Times New Roman"/>
          <w:sz w:val="24"/>
          <w:szCs w:val="24"/>
          <w:lang w:eastAsia="ar-SA"/>
        </w:rPr>
        <w:t>návratnú finančnú výpomoc vo výške 13 750 €</w:t>
      </w:r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>.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                   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Podľa § 17 ods. 6 Zák.č. 583/2004 Z</w:t>
      </w:r>
      <w:r w:rsidR="00AC25EB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>-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60 % skutoč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>ných bežnýc</w:t>
      </w:r>
      <w:r w:rsidR="001D3B9C">
        <w:rPr>
          <w:rFonts w:ascii="Times New Roman" w:eastAsia="Times New Roman" w:hAnsi="Times New Roman"/>
          <w:sz w:val="24"/>
          <w:szCs w:val="24"/>
          <w:lang w:eastAsia="ar-SA"/>
        </w:rPr>
        <w:t>h príjmov za rok 20</w:t>
      </w:r>
      <w:r w:rsidR="00BC0599">
        <w:rPr>
          <w:rFonts w:ascii="Times New Roman" w:eastAsia="Times New Roman" w:hAnsi="Times New Roman"/>
          <w:sz w:val="24"/>
          <w:szCs w:val="24"/>
          <w:lang w:eastAsia="ar-SA"/>
        </w:rPr>
        <w:t>20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predstavuje sumu </w:t>
      </w:r>
      <w:r w:rsidR="00BC0599">
        <w:rPr>
          <w:rFonts w:ascii="Times New Roman" w:eastAsia="Times New Roman" w:hAnsi="Times New Roman"/>
          <w:b/>
          <w:sz w:val="24"/>
          <w:szCs w:val="24"/>
          <w:lang w:eastAsia="ar-SA"/>
        </w:rPr>
        <w:t>407</w:t>
      </w:r>
      <w:r w:rsidR="00CB7424" w:rsidRPr="002E0193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tis.</w:t>
      </w:r>
      <w:r w:rsidR="00F72CD2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  <w:r w:rsidR="00DF05CC">
        <w:rPr>
          <w:rFonts w:ascii="Times New Roman" w:eastAsia="Times New Roman" w:hAnsi="Times New Roman"/>
          <w:b/>
          <w:sz w:val="24"/>
          <w:szCs w:val="24"/>
          <w:lang w:eastAsia="ar-SA"/>
        </w:rPr>
        <w:t>EUR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C05E81" w:rsidRDefault="00C05E81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Predpokladaný budúci vývoj </w:t>
      </w:r>
    </w:p>
    <w:p w:rsidR="002A6A96" w:rsidRPr="00786FBF" w:rsidRDefault="00472BF0" w:rsidP="00786FBF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že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tzv. podielové dane v roku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AF6DA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budú </w:t>
      </w:r>
      <w:r w:rsidR="000239E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vy</w:t>
      </w:r>
      <w:r w:rsidR="004B6667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žšie</w:t>
      </w:r>
      <w:r w:rsidR="0016605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ako v 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rok</w:t>
      </w:r>
      <w:r w:rsidR="004449C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20</w:t>
      </w:r>
      <w:r w:rsidR="005061D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AF6DA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  dane </w:t>
      </w:r>
      <w:r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</w:t>
      </w:r>
      <w:r w:rsidR="004B6667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nehnuteľnosti</w:t>
      </w:r>
      <w:r w:rsidR="004B6667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bez zmeny</w:t>
      </w:r>
      <w:r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 Obe</w:t>
      </w:r>
      <w:r w:rsidR="002A6A96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c v rok</w:t>
      </w:r>
      <w:r w:rsidR="00CE228B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 20</w:t>
      </w:r>
      <w:r w:rsidR="005061DF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AF6DAF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  <w:r w:rsidR="00E800B9" w:rsidRPr="00786FB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neplánuje významné investície do majetku. </w:t>
      </w:r>
    </w:p>
    <w:p w:rsidR="00D43720" w:rsidRDefault="00D43720" w:rsidP="00C84F2F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Pr="006201CB" w:rsidRDefault="006201CB" w:rsidP="00C84F2F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Iné skutočnosti</w:t>
      </w:r>
    </w:p>
    <w:p w:rsidR="0007163C" w:rsidRDefault="00FE3606" w:rsidP="00C84F2F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v roku 2021</w:t>
      </w:r>
    </w:p>
    <w:p w:rsidR="00010A18" w:rsidRDefault="00010A18" w:rsidP="00C84F2F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C84F2F">
      <w:pPr>
        <w:suppressAutoHyphens/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nevykonávala podnikateľskú činnosť,</w:t>
      </w:r>
    </w:p>
    <w:p w:rsidR="0007163C" w:rsidRPr="0007163C" w:rsidRDefault="0007163C" w:rsidP="005061DF">
      <w:pPr>
        <w:suppressAutoHyphens/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4B6667" w:rsidRDefault="00864509" w:rsidP="0058121A">
      <w:pPr>
        <w:numPr>
          <w:ilvl w:val="0"/>
          <w:numId w:val="20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4B6667">
        <w:rPr>
          <w:rFonts w:ascii="Times New Roman" w:eastAsia="Times New Roman" w:hAnsi="Times New Roman"/>
          <w:sz w:val="24"/>
          <w:szCs w:val="24"/>
          <w:lang w:eastAsia="ar-SA"/>
        </w:rPr>
        <w:lastRenderedPageBreak/>
        <w:t xml:space="preserve"> v účtovnom roku 20</w:t>
      </w:r>
      <w:r w:rsidR="005061DF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9F6246">
        <w:rPr>
          <w:rFonts w:ascii="Times New Roman" w:eastAsia="Times New Roman" w:hAnsi="Times New Roman"/>
          <w:sz w:val="24"/>
          <w:szCs w:val="24"/>
          <w:lang w:eastAsia="ar-SA"/>
        </w:rPr>
        <w:t>1</w:t>
      </w:r>
      <w:r w:rsidR="00627DAB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nenadobudla  vlastné akcie, dočasné listy</w:t>
      </w:r>
      <w:r w:rsid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a nemala </w:t>
      </w:r>
      <w:r w:rsidR="00DE3EAA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 obchodný </w:t>
      </w:r>
      <w:r w:rsid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 </w:t>
      </w:r>
      <w:r w:rsidR="00DE3EAA" w:rsidRPr="004B6667">
        <w:rPr>
          <w:rFonts w:ascii="Times New Roman" w:eastAsia="Times New Roman" w:hAnsi="Times New Roman"/>
          <w:sz w:val="24"/>
          <w:szCs w:val="24"/>
          <w:lang w:eastAsia="ar-SA"/>
        </w:rPr>
        <w:t>podiel v obchodnej spoločnosti</w:t>
      </w:r>
      <w:r w:rsidR="00A05797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, ktorý </w:t>
      </w:r>
      <w:r w:rsidR="00E24DB3">
        <w:rPr>
          <w:rFonts w:ascii="Times New Roman" w:eastAsia="Times New Roman" w:hAnsi="Times New Roman"/>
          <w:sz w:val="24"/>
          <w:szCs w:val="24"/>
          <w:lang w:eastAsia="ar-SA"/>
        </w:rPr>
        <w:t>by mal byť</w:t>
      </w:r>
      <w:r w:rsidR="00A05797" w:rsidRPr="004B6667">
        <w:rPr>
          <w:rFonts w:ascii="Times New Roman" w:eastAsia="Times New Roman" w:hAnsi="Times New Roman"/>
          <w:sz w:val="24"/>
          <w:szCs w:val="24"/>
          <w:lang w:eastAsia="ar-SA"/>
        </w:rPr>
        <w:t xml:space="preserve"> vykázaný.</w:t>
      </w:r>
    </w:p>
    <w:p w:rsidR="00627DAB" w:rsidRDefault="00627DAB" w:rsidP="0058121A">
      <w:pPr>
        <w:numPr>
          <w:ilvl w:val="0"/>
          <w:numId w:val="20"/>
        </w:numP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  <w:r w:rsidR="00E24DB3">
        <w:rPr>
          <w:rFonts w:ascii="Times New Roman" w:eastAsia="Times New Roman" w:hAnsi="Times New Roman"/>
          <w:sz w:val="24"/>
          <w:szCs w:val="24"/>
          <w:lang w:eastAsia="ar-SA"/>
        </w:rPr>
        <w:t>.</w:t>
      </w:r>
    </w:p>
    <w:p w:rsidR="000239E9" w:rsidRPr="00C91CDA" w:rsidRDefault="000239E9" w:rsidP="000239E9">
      <w:pPr>
        <w:pStyle w:val="Bulletindent"/>
        <w:numPr>
          <w:ilvl w:val="0"/>
          <w:numId w:val="20"/>
        </w:numPr>
        <w:spacing w:line="240" w:lineRule="auto"/>
        <w:rPr>
          <w:rFonts w:ascii="Calibri" w:hAnsi="Calibri" w:cs="Calibri"/>
          <w:sz w:val="24"/>
          <w:szCs w:val="24"/>
          <w:lang w:val="sk-SK"/>
        </w:rPr>
      </w:pPr>
      <w:r>
        <w:rPr>
          <w:rFonts w:ascii="Calibri" w:hAnsi="Calibri" w:cs="Calibri"/>
          <w:sz w:val="24"/>
          <w:szCs w:val="24"/>
          <w:lang w:val="sk-SK"/>
        </w:rPr>
        <w:t xml:space="preserve">vedenie Obce </w:t>
      </w:r>
      <w:r w:rsidRPr="00C91CDA">
        <w:rPr>
          <w:rFonts w:ascii="Calibri" w:hAnsi="Calibri" w:cs="Calibri"/>
          <w:sz w:val="24"/>
          <w:szCs w:val="24"/>
          <w:lang w:val="sk-SK"/>
        </w:rPr>
        <w:t xml:space="preserve">eviduje </w:t>
      </w:r>
      <w:r>
        <w:rPr>
          <w:rFonts w:ascii="Calibri" w:hAnsi="Calibri" w:cs="Calibri"/>
          <w:sz w:val="24"/>
          <w:szCs w:val="24"/>
          <w:lang w:val="sk-SK"/>
        </w:rPr>
        <w:t xml:space="preserve">od roku marca 2020 </w:t>
      </w:r>
      <w:r w:rsidRPr="00C91CDA">
        <w:rPr>
          <w:rFonts w:ascii="Calibri" w:hAnsi="Calibri" w:cs="Calibri"/>
          <w:sz w:val="24"/>
          <w:szCs w:val="24"/>
          <w:lang w:val="sk-SK"/>
        </w:rPr>
        <w:t>správy t</w:t>
      </w:r>
      <w:r>
        <w:rPr>
          <w:rFonts w:ascii="Calibri" w:hAnsi="Calibri" w:cs="Calibri"/>
          <w:sz w:val="24"/>
          <w:szCs w:val="24"/>
          <w:lang w:val="sk-SK"/>
        </w:rPr>
        <w:t>y</w:t>
      </w:r>
      <w:r w:rsidRPr="00C91CDA">
        <w:rPr>
          <w:rFonts w:ascii="Calibri" w:hAnsi="Calibri" w:cs="Calibri"/>
          <w:sz w:val="24"/>
          <w:szCs w:val="24"/>
          <w:lang w:val="sk-SK"/>
        </w:rPr>
        <w:t xml:space="preserve">kajúce sa COVID -19 </w:t>
      </w:r>
      <w:r>
        <w:rPr>
          <w:rFonts w:ascii="Calibri" w:hAnsi="Calibri" w:cs="Calibri"/>
          <w:sz w:val="24"/>
          <w:szCs w:val="24"/>
          <w:lang w:val="sk-SK"/>
        </w:rPr>
        <w:t xml:space="preserve">  </w:t>
      </w:r>
      <w:r w:rsidRPr="00C91CDA">
        <w:rPr>
          <w:rFonts w:ascii="Calibri" w:hAnsi="Calibri" w:cs="Calibri"/>
          <w:sz w:val="24"/>
          <w:szCs w:val="24"/>
          <w:lang w:val="sk-SK"/>
        </w:rPr>
        <w:t>( Coronavirusu) a</w:t>
      </w:r>
      <w:r>
        <w:rPr>
          <w:rFonts w:ascii="Calibri" w:hAnsi="Calibri" w:cs="Calibri"/>
          <w:sz w:val="24"/>
          <w:szCs w:val="24"/>
          <w:lang w:val="sk-SK"/>
        </w:rPr>
        <w:t xml:space="preserve">  od marca 2022 </w:t>
      </w:r>
      <w:r w:rsidRPr="00C91CDA">
        <w:rPr>
          <w:rFonts w:ascii="Calibri" w:hAnsi="Calibri" w:cs="Calibri"/>
          <w:sz w:val="24"/>
          <w:szCs w:val="24"/>
          <w:lang w:val="sk-SK"/>
        </w:rPr>
        <w:t>vojenského konfliktu na Ukrajine. V čase zostavenia účtovnej závierky  COVID – 19</w:t>
      </w:r>
      <w:r>
        <w:rPr>
          <w:rFonts w:ascii="Calibri" w:hAnsi="Calibri" w:cs="Calibri"/>
          <w:sz w:val="24"/>
          <w:szCs w:val="24"/>
          <w:lang w:val="sk-SK"/>
        </w:rPr>
        <w:t xml:space="preserve"> mal značný </w:t>
      </w:r>
      <w:r w:rsidRPr="00C91CDA">
        <w:rPr>
          <w:rFonts w:ascii="Calibri" w:hAnsi="Calibri" w:cs="Calibri"/>
          <w:sz w:val="24"/>
          <w:szCs w:val="24"/>
          <w:lang w:val="sk-SK"/>
        </w:rPr>
        <w:t xml:space="preserve"> vplyv na svetový obchod, na firmy, ako aj jednotlivcov.</w:t>
      </w:r>
      <w:r>
        <w:rPr>
          <w:rFonts w:ascii="Calibri" w:hAnsi="Calibri" w:cs="Calibri"/>
          <w:sz w:val="24"/>
          <w:szCs w:val="24"/>
          <w:lang w:val="sk-SK"/>
        </w:rPr>
        <w:t xml:space="preserve"> </w:t>
      </w:r>
      <w:r w:rsidRPr="00C91CDA">
        <w:rPr>
          <w:rFonts w:ascii="Calibri" w:eastAsia="Calibri" w:hAnsi="Calibri" w:cs="Calibri"/>
          <w:sz w:val="24"/>
          <w:szCs w:val="24"/>
          <w:lang w:val="sk-SK"/>
        </w:rPr>
        <w:t xml:space="preserve">V súčasnosti nie je možné predvídať, ako dopadne situácia okolo vojenského konfliktu, preto vedenie </w:t>
      </w:r>
      <w:r>
        <w:rPr>
          <w:rFonts w:ascii="Calibri" w:eastAsia="Calibri" w:hAnsi="Calibri" w:cs="Calibri"/>
          <w:sz w:val="24"/>
          <w:szCs w:val="24"/>
          <w:lang w:val="sk-SK"/>
        </w:rPr>
        <w:t xml:space="preserve">Obce </w:t>
      </w:r>
      <w:r w:rsidRPr="00C91CDA">
        <w:rPr>
          <w:rFonts w:ascii="Calibri" w:eastAsia="Calibri" w:hAnsi="Calibri" w:cs="Calibri"/>
          <w:sz w:val="24"/>
          <w:szCs w:val="24"/>
          <w:lang w:val="sk-SK"/>
        </w:rPr>
        <w:t xml:space="preserve"> si nemyslí, že je možné poskytnúť kvantitatívne odhady potenciálneho vplyvu súčasnej situácie na celkovú činnosť </w:t>
      </w:r>
      <w:r>
        <w:rPr>
          <w:rFonts w:ascii="Calibri" w:eastAsia="Calibri" w:hAnsi="Calibri" w:cs="Calibri"/>
          <w:sz w:val="24"/>
          <w:szCs w:val="24"/>
          <w:lang w:val="sk-SK"/>
        </w:rPr>
        <w:t>Obce.</w:t>
      </w:r>
      <w:r w:rsidRPr="00C91CDA">
        <w:rPr>
          <w:rFonts w:ascii="Calibri" w:eastAsia="Calibri" w:hAnsi="Calibri" w:cs="Calibri"/>
          <w:sz w:val="24"/>
          <w:szCs w:val="24"/>
          <w:lang w:val="sk-SK"/>
        </w:rPr>
        <w:t xml:space="preserve"> Vedenie </w:t>
      </w:r>
      <w:r>
        <w:rPr>
          <w:rFonts w:ascii="Calibri" w:eastAsia="Calibri" w:hAnsi="Calibri" w:cs="Calibri"/>
          <w:sz w:val="24"/>
          <w:szCs w:val="24"/>
          <w:lang w:val="sk-SK"/>
        </w:rPr>
        <w:t>Obce</w:t>
      </w:r>
      <w:r w:rsidRPr="00C91CDA">
        <w:rPr>
          <w:rFonts w:ascii="Calibri" w:eastAsia="Calibri" w:hAnsi="Calibri" w:cs="Calibri"/>
          <w:sz w:val="24"/>
          <w:szCs w:val="24"/>
          <w:lang w:val="sk-SK"/>
        </w:rPr>
        <w:t xml:space="preserve"> bude pokračovať v monitorovaní potenciálneho dopadu, pričom podnikne všetky možné kroky na zmiernenie  negatívnych dopadov.</w:t>
      </w:r>
    </w:p>
    <w:p w:rsidR="000239E9" w:rsidRDefault="000239E9" w:rsidP="000239E9">
      <w:pPr>
        <w:suppressAutoHyphens/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80133" w:rsidRPr="00280133" w:rsidRDefault="00280133" w:rsidP="000239E9">
      <w:pPr>
        <w:pStyle w:val="Bulletindent"/>
        <w:numPr>
          <w:ilvl w:val="0"/>
          <w:numId w:val="0"/>
        </w:numPr>
        <w:spacing w:line="240" w:lineRule="auto"/>
        <w:ind w:left="547" w:hanging="360"/>
        <w:rPr>
          <w:rFonts w:cs="Calibri"/>
          <w:sz w:val="24"/>
          <w:szCs w:val="24"/>
          <w:lang w:eastAsia="cs-CZ"/>
        </w:rPr>
      </w:pPr>
      <w:r>
        <w:rPr>
          <w:sz w:val="24"/>
          <w:szCs w:val="24"/>
          <w:lang w:val="sk-SK" w:eastAsia="ar-SA"/>
        </w:rPr>
        <w:t xml:space="preserve">   </w:t>
      </w:r>
      <w:r w:rsidR="0058121A">
        <w:rPr>
          <w:sz w:val="24"/>
          <w:szCs w:val="24"/>
          <w:lang w:val="sk-SK" w:eastAsia="ar-SA"/>
        </w:rPr>
        <w:t xml:space="preserve">   </w:t>
      </w:r>
    </w:p>
    <w:p w:rsidR="00E24DB3" w:rsidRDefault="00E24DB3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80133" w:rsidRDefault="00280133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80133" w:rsidRPr="00DC785A" w:rsidRDefault="00280133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762539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864509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Prílohy: ÚZ 20</w:t>
      </w:r>
      <w:r w:rsidR="008C3B55">
        <w:rPr>
          <w:rFonts w:ascii="Times New Roman" w:eastAsia="Times New Roman" w:hAnsi="Times New Roman"/>
          <w:sz w:val="24"/>
          <w:szCs w:val="24"/>
          <w:lang w:eastAsia="ar-SA"/>
        </w:rPr>
        <w:t>21</w:t>
      </w:r>
    </w:p>
    <w:p w:rsidR="00627DAB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864509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Vyšná Olšava dňa: </w:t>
      </w:r>
      <w:r w:rsidR="0058121A">
        <w:rPr>
          <w:rFonts w:ascii="Times New Roman" w:eastAsia="Times New Roman" w:hAnsi="Times New Roman"/>
          <w:sz w:val="24"/>
          <w:szCs w:val="24"/>
          <w:lang w:eastAsia="ar-SA"/>
        </w:rPr>
        <w:t>15</w:t>
      </w:r>
      <w:r w:rsidR="000014E5">
        <w:rPr>
          <w:rFonts w:ascii="Times New Roman" w:eastAsia="Times New Roman" w:hAnsi="Times New Roman"/>
          <w:sz w:val="24"/>
          <w:szCs w:val="24"/>
          <w:lang w:eastAsia="ar-SA"/>
        </w:rPr>
        <w:t>.</w:t>
      </w:r>
      <w:r w:rsidR="000642E2">
        <w:rPr>
          <w:rFonts w:ascii="Times New Roman" w:eastAsia="Times New Roman" w:hAnsi="Times New Roman"/>
          <w:sz w:val="24"/>
          <w:szCs w:val="24"/>
          <w:lang w:eastAsia="ar-SA"/>
        </w:rPr>
        <w:t>5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.20</w:t>
      </w:r>
      <w:r w:rsidR="0058121A">
        <w:rPr>
          <w:rFonts w:ascii="Times New Roman" w:eastAsia="Times New Roman" w:hAnsi="Times New Roman"/>
          <w:sz w:val="24"/>
          <w:szCs w:val="24"/>
          <w:lang w:eastAsia="ar-SA"/>
        </w:rPr>
        <w:t>2</w:t>
      </w:r>
      <w:r w:rsidR="00FE3606">
        <w:rPr>
          <w:rFonts w:ascii="Times New Roman" w:eastAsia="Times New Roman" w:hAnsi="Times New Roman"/>
          <w:sz w:val="24"/>
          <w:szCs w:val="24"/>
          <w:lang w:eastAsia="ar-SA"/>
        </w:rPr>
        <w:t>2</w:t>
      </w:r>
    </w:p>
    <w:p w:rsidR="00627DAB" w:rsidRPr="0007163C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E4260" w:rsidRDefault="00627DAB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Starosta obce: Juraj Kasarda</w:t>
      </w: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E7551" w:rsidRDefault="004E7551" w:rsidP="00C84F2F">
      <w:pPr>
        <w:pBdr>
          <w:bottom w:val="single" w:sz="8" w:space="3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sectPr w:rsidR="004E7551" w:rsidSect="004E120C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1C9" w:rsidRDefault="00F771C9" w:rsidP="00DE75A8">
      <w:pPr>
        <w:spacing w:after="0" w:line="240" w:lineRule="auto"/>
      </w:pPr>
      <w:r>
        <w:separator/>
      </w:r>
    </w:p>
  </w:endnote>
  <w:endnote w:type="continuationSeparator" w:id="0">
    <w:p w:rsidR="00F771C9" w:rsidRDefault="00F771C9" w:rsidP="00DE75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1C9" w:rsidRDefault="00F771C9" w:rsidP="00DE75A8">
      <w:pPr>
        <w:spacing w:after="0" w:line="240" w:lineRule="auto"/>
      </w:pPr>
      <w:r>
        <w:separator/>
      </w:r>
    </w:p>
  </w:footnote>
  <w:footnote w:type="continuationSeparator" w:id="0">
    <w:p w:rsidR="00F771C9" w:rsidRDefault="00F771C9" w:rsidP="00DE75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4CE" w:rsidRPr="00DE75A8" w:rsidRDefault="001E14CE" w:rsidP="00DE75A8">
    <w:pPr>
      <w:pStyle w:val="Hlavika"/>
      <w:pBdr>
        <w:bottom w:val="single" w:sz="4" w:space="1" w:color="auto"/>
      </w:pBdr>
      <w:rPr>
        <w:b/>
        <w:bCs/>
      </w:rPr>
    </w:pPr>
    <w:r w:rsidRPr="00DE75A8">
      <w:rPr>
        <w:b/>
        <w:bCs/>
      </w:rPr>
      <w:t xml:space="preserve">Obec Vyšná Olšava   </w:t>
    </w:r>
    <w:r>
      <w:rPr>
        <w:b/>
        <w:bCs/>
      </w:rPr>
      <w:t xml:space="preserve">                                                                          Výročná správa 2021</w:t>
    </w:r>
  </w:p>
  <w:p w:rsidR="001E14CE" w:rsidRDefault="001E14C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/>
      </w:rPr>
    </w:lvl>
  </w:abstractNum>
  <w:abstractNum w:abstractNumId="3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5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6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7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8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9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1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2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3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4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8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3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4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5">
    <w:nsid w:val="048A4C98"/>
    <w:multiLevelType w:val="hybridMultilevel"/>
    <w:tmpl w:val="3EACD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E0963AF"/>
    <w:multiLevelType w:val="multilevel"/>
    <w:tmpl w:val="FFB8F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6012641B"/>
    <w:multiLevelType w:val="multilevel"/>
    <w:tmpl w:val="51E2A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6"/>
  </w:num>
  <w:num w:numId="25">
    <w:abstractNumId w:val="29"/>
  </w:num>
  <w:num w:numId="26">
    <w:abstractNumId w:val="32"/>
  </w:num>
  <w:num w:numId="27">
    <w:abstractNumId w:val="24"/>
  </w:num>
  <w:num w:numId="28">
    <w:abstractNumId w:val="27"/>
  </w:num>
  <w:num w:numId="29">
    <w:abstractNumId w:val="3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33"/>
  </w:num>
  <w:num w:numId="31">
    <w:abstractNumId w:val="30"/>
  </w:num>
  <w:num w:numId="32">
    <w:abstractNumId w:val="28"/>
  </w:num>
  <w:num w:numId="33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34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7163C"/>
    <w:rsid w:val="000014E5"/>
    <w:rsid w:val="00010A18"/>
    <w:rsid w:val="00014130"/>
    <w:rsid w:val="000209CC"/>
    <w:rsid w:val="000239E9"/>
    <w:rsid w:val="00030C0D"/>
    <w:rsid w:val="00035300"/>
    <w:rsid w:val="00052268"/>
    <w:rsid w:val="000539A8"/>
    <w:rsid w:val="00060A1C"/>
    <w:rsid w:val="000642E2"/>
    <w:rsid w:val="00064642"/>
    <w:rsid w:val="0007163C"/>
    <w:rsid w:val="00074AE6"/>
    <w:rsid w:val="00076A51"/>
    <w:rsid w:val="0008254F"/>
    <w:rsid w:val="0008775C"/>
    <w:rsid w:val="000A0770"/>
    <w:rsid w:val="000A12D4"/>
    <w:rsid w:val="000B23C5"/>
    <w:rsid w:val="000C62F3"/>
    <w:rsid w:val="000E70BB"/>
    <w:rsid w:val="000E77D9"/>
    <w:rsid w:val="000F224D"/>
    <w:rsid w:val="000F389B"/>
    <w:rsid w:val="000F39CA"/>
    <w:rsid w:val="00126BC1"/>
    <w:rsid w:val="0013225F"/>
    <w:rsid w:val="001361BE"/>
    <w:rsid w:val="00137492"/>
    <w:rsid w:val="00143B83"/>
    <w:rsid w:val="001447FA"/>
    <w:rsid w:val="00147A78"/>
    <w:rsid w:val="00150AC6"/>
    <w:rsid w:val="001602A7"/>
    <w:rsid w:val="00165861"/>
    <w:rsid w:val="00166055"/>
    <w:rsid w:val="00173EB8"/>
    <w:rsid w:val="00180689"/>
    <w:rsid w:val="0018388C"/>
    <w:rsid w:val="00183C37"/>
    <w:rsid w:val="00185996"/>
    <w:rsid w:val="001A77EF"/>
    <w:rsid w:val="001D1D7A"/>
    <w:rsid w:val="001D3B9C"/>
    <w:rsid w:val="001D591B"/>
    <w:rsid w:val="001D743F"/>
    <w:rsid w:val="001E14CE"/>
    <w:rsid w:val="001E7298"/>
    <w:rsid w:val="001E7322"/>
    <w:rsid w:val="001F1376"/>
    <w:rsid w:val="001F4ECD"/>
    <w:rsid w:val="00204D80"/>
    <w:rsid w:val="00205009"/>
    <w:rsid w:val="002145EE"/>
    <w:rsid w:val="00221BBD"/>
    <w:rsid w:val="00223DBB"/>
    <w:rsid w:val="00230ECD"/>
    <w:rsid w:val="00236F52"/>
    <w:rsid w:val="0025352A"/>
    <w:rsid w:val="00266A9F"/>
    <w:rsid w:val="00271662"/>
    <w:rsid w:val="00276609"/>
    <w:rsid w:val="00280133"/>
    <w:rsid w:val="00282D3B"/>
    <w:rsid w:val="002A4A41"/>
    <w:rsid w:val="002A6A96"/>
    <w:rsid w:val="002B4AC0"/>
    <w:rsid w:val="002B6581"/>
    <w:rsid w:val="002B667D"/>
    <w:rsid w:val="002C52BD"/>
    <w:rsid w:val="002E0193"/>
    <w:rsid w:val="00303B1F"/>
    <w:rsid w:val="00317480"/>
    <w:rsid w:val="00323E77"/>
    <w:rsid w:val="003305CA"/>
    <w:rsid w:val="00336237"/>
    <w:rsid w:val="003448E6"/>
    <w:rsid w:val="003459D7"/>
    <w:rsid w:val="00385AE9"/>
    <w:rsid w:val="00394C10"/>
    <w:rsid w:val="00396853"/>
    <w:rsid w:val="003A26AA"/>
    <w:rsid w:val="003A335B"/>
    <w:rsid w:val="003A45B7"/>
    <w:rsid w:val="003A4882"/>
    <w:rsid w:val="003B091A"/>
    <w:rsid w:val="003B55E1"/>
    <w:rsid w:val="003C4224"/>
    <w:rsid w:val="003D036E"/>
    <w:rsid w:val="003E229E"/>
    <w:rsid w:val="003F00FA"/>
    <w:rsid w:val="00403EB4"/>
    <w:rsid w:val="00405490"/>
    <w:rsid w:val="00430F7A"/>
    <w:rsid w:val="00435BF2"/>
    <w:rsid w:val="00442473"/>
    <w:rsid w:val="004449CA"/>
    <w:rsid w:val="00452552"/>
    <w:rsid w:val="00467EF1"/>
    <w:rsid w:val="00470500"/>
    <w:rsid w:val="00472809"/>
    <w:rsid w:val="00472BF0"/>
    <w:rsid w:val="0047475C"/>
    <w:rsid w:val="004807B5"/>
    <w:rsid w:val="0049548F"/>
    <w:rsid w:val="00497127"/>
    <w:rsid w:val="004A1A85"/>
    <w:rsid w:val="004B3C82"/>
    <w:rsid w:val="004B6667"/>
    <w:rsid w:val="004C06CF"/>
    <w:rsid w:val="004D2589"/>
    <w:rsid w:val="004D2980"/>
    <w:rsid w:val="004D39B6"/>
    <w:rsid w:val="004E120C"/>
    <w:rsid w:val="004E36CD"/>
    <w:rsid w:val="004E7551"/>
    <w:rsid w:val="004E7750"/>
    <w:rsid w:val="004F0AED"/>
    <w:rsid w:val="0050194A"/>
    <w:rsid w:val="00501B93"/>
    <w:rsid w:val="005061DF"/>
    <w:rsid w:val="005153AD"/>
    <w:rsid w:val="00526B61"/>
    <w:rsid w:val="0052783C"/>
    <w:rsid w:val="00533203"/>
    <w:rsid w:val="00554FD5"/>
    <w:rsid w:val="00562DBD"/>
    <w:rsid w:val="00567DBF"/>
    <w:rsid w:val="00572BA3"/>
    <w:rsid w:val="00577AD9"/>
    <w:rsid w:val="0058121A"/>
    <w:rsid w:val="005937DD"/>
    <w:rsid w:val="005A2882"/>
    <w:rsid w:val="005A7C71"/>
    <w:rsid w:val="005B37C0"/>
    <w:rsid w:val="005B4DD6"/>
    <w:rsid w:val="005B5B74"/>
    <w:rsid w:val="005C659B"/>
    <w:rsid w:val="005E117B"/>
    <w:rsid w:val="005E229F"/>
    <w:rsid w:val="005E6933"/>
    <w:rsid w:val="005F2416"/>
    <w:rsid w:val="00602627"/>
    <w:rsid w:val="00613D09"/>
    <w:rsid w:val="006201CB"/>
    <w:rsid w:val="00622A43"/>
    <w:rsid w:val="00627DAB"/>
    <w:rsid w:val="006304C2"/>
    <w:rsid w:val="00630C55"/>
    <w:rsid w:val="00653BD1"/>
    <w:rsid w:val="00656950"/>
    <w:rsid w:val="00665160"/>
    <w:rsid w:val="00672FF9"/>
    <w:rsid w:val="006821D8"/>
    <w:rsid w:val="00692F34"/>
    <w:rsid w:val="00695DB2"/>
    <w:rsid w:val="006A0001"/>
    <w:rsid w:val="006A5B55"/>
    <w:rsid w:val="006A7F2E"/>
    <w:rsid w:val="006C5C20"/>
    <w:rsid w:val="006D6C5F"/>
    <w:rsid w:val="006D6EDD"/>
    <w:rsid w:val="006F2BBE"/>
    <w:rsid w:val="006F6AE2"/>
    <w:rsid w:val="007072B9"/>
    <w:rsid w:val="0073020C"/>
    <w:rsid w:val="0073264F"/>
    <w:rsid w:val="007442FB"/>
    <w:rsid w:val="00762539"/>
    <w:rsid w:val="00767A76"/>
    <w:rsid w:val="007713DA"/>
    <w:rsid w:val="00776A2C"/>
    <w:rsid w:val="00786FBF"/>
    <w:rsid w:val="00787D24"/>
    <w:rsid w:val="00794CE0"/>
    <w:rsid w:val="00797AA0"/>
    <w:rsid w:val="007B5549"/>
    <w:rsid w:val="007C09E1"/>
    <w:rsid w:val="007D11D5"/>
    <w:rsid w:val="007D1399"/>
    <w:rsid w:val="007D1E8A"/>
    <w:rsid w:val="007D31E7"/>
    <w:rsid w:val="007D6481"/>
    <w:rsid w:val="007F5AFC"/>
    <w:rsid w:val="007F7FF6"/>
    <w:rsid w:val="00833826"/>
    <w:rsid w:val="0083410C"/>
    <w:rsid w:val="0083596F"/>
    <w:rsid w:val="00837C0C"/>
    <w:rsid w:val="00844000"/>
    <w:rsid w:val="00852D21"/>
    <w:rsid w:val="00855FCE"/>
    <w:rsid w:val="00857A3D"/>
    <w:rsid w:val="00864509"/>
    <w:rsid w:val="00867488"/>
    <w:rsid w:val="008A009B"/>
    <w:rsid w:val="008A495D"/>
    <w:rsid w:val="008B429A"/>
    <w:rsid w:val="008C0B8A"/>
    <w:rsid w:val="008C3B55"/>
    <w:rsid w:val="008D3C0E"/>
    <w:rsid w:val="00903BCB"/>
    <w:rsid w:val="00942B4C"/>
    <w:rsid w:val="00944AB7"/>
    <w:rsid w:val="009612D8"/>
    <w:rsid w:val="00971B0A"/>
    <w:rsid w:val="00975C3C"/>
    <w:rsid w:val="009839A1"/>
    <w:rsid w:val="00987935"/>
    <w:rsid w:val="009954A7"/>
    <w:rsid w:val="009A0214"/>
    <w:rsid w:val="009A0565"/>
    <w:rsid w:val="009A44F1"/>
    <w:rsid w:val="009A7840"/>
    <w:rsid w:val="009B26D3"/>
    <w:rsid w:val="009C0508"/>
    <w:rsid w:val="009C227E"/>
    <w:rsid w:val="009D3B45"/>
    <w:rsid w:val="009E5ED4"/>
    <w:rsid w:val="009F1E6F"/>
    <w:rsid w:val="009F3109"/>
    <w:rsid w:val="009F3C00"/>
    <w:rsid w:val="009F6246"/>
    <w:rsid w:val="00A03FEE"/>
    <w:rsid w:val="00A043D0"/>
    <w:rsid w:val="00A05797"/>
    <w:rsid w:val="00A10A6A"/>
    <w:rsid w:val="00A1373E"/>
    <w:rsid w:val="00A533CF"/>
    <w:rsid w:val="00A55074"/>
    <w:rsid w:val="00A737C1"/>
    <w:rsid w:val="00A81318"/>
    <w:rsid w:val="00A84766"/>
    <w:rsid w:val="00A87BED"/>
    <w:rsid w:val="00AA25C9"/>
    <w:rsid w:val="00AA6831"/>
    <w:rsid w:val="00AB2EA8"/>
    <w:rsid w:val="00AB4AFE"/>
    <w:rsid w:val="00AC25EB"/>
    <w:rsid w:val="00AD07D0"/>
    <w:rsid w:val="00AD0EAA"/>
    <w:rsid w:val="00AD5135"/>
    <w:rsid w:val="00AE5E3D"/>
    <w:rsid w:val="00AF0467"/>
    <w:rsid w:val="00AF6DAF"/>
    <w:rsid w:val="00B257DB"/>
    <w:rsid w:val="00B30FC2"/>
    <w:rsid w:val="00B431FE"/>
    <w:rsid w:val="00B5510E"/>
    <w:rsid w:val="00B56D06"/>
    <w:rsid w:val="00B66C27"/>
    <w:rsid w:val="00B85398"/>
    <w:rsid w:val="00BA7352"/>
    <w:rsid w:val="00BB0167"/>
    <w:rsid w:val="00BB6490"/>
    <w:rsid w:val="00BC0599"/>
    <w:rsid w:val="00BE638E"/>
    <w:rsid w:val="00BF04A6"/>
    <w:rsid w:val="00BF0F3B"/>
    <w:rsid w:val="00C010C8"/>
    <w:rsid w:val="00C05E81"/>
    <w:rsid w:val="00C147B4"/>
    <w:rsid w:val="00C16953"/>
    <w:rsid w:val="00C230CB"/>
    <w:rsid w:val="00C42AB2"/>
    <w:rsid w:val="00C510DE"/>
    <w:rsid w:val="00C51132"/>
    <w:rsid w:val="00C8445B"/>
    <w:rsid w:val="00C84F2F"/>
    <w:rsid w:val="00CB0B3A"/>
    <w:rsid w:val="00CB6EAE"/>
    <w:rsid w:val="00CB7424"/>
    <w:rsid w:val="00CC44D8"/>
    <w:rsid w:val="00CE228B"/>
    <w:rsid w:val="00CE4260"/>
    <w:rsid w:val="00CF129A"/>
    <w:rsid w:val="00CF4A8A"/>
    <w:rsid w:val="00D04F70"/>
    <w:rsid w:val="00D1557C"/>
    <w:rsid w:val="00D1713D"/>
    <w:rsid w:val="00D27DD9"/>
    <w:rsid w:val="00D31C36"/>
    <w:rsid w:val="00D322DA"/>
    <w:rsid w:val="00D327F3"/>
    <w:rsid w:val="00D40F3A"/>
    <w:rsid w:val="00D43720"/>
    <w:rsid w:val="00D452FF"/>
    <w:rsid w:val="00D47FA4"/>
    <w:rsid w:val="00D538C0"/>
    <w:rsid w:val="00D85823"/>
    <w:rsid w:val="00D913F3"/>
    <w:rsid w:val="00D922D8"/>
    <w:rsid w:val="00D9427E"/>
    <w:rsid w:val="00D9687F"/>
    <w:rsid w:val="00D975CE"/>
    <w:rsid w:val="00DB4E28"/>
    <w:rsid w:val="00DC1A92"/>
    <w:rsid w:val="00DC785A"/>
    <w:rsid w:val="00DE3EAA"/>
    <w:rsid w:val="00DE49AC"/>
    <w:rsid w:val="00DE4C4E"/>
    <w:rsid w:val="00DE6237"/>
    <w:rsid w:val="00DE75A8"/>
    <w:rsid w:val="00DF05CC"/>
    <w:rsid w:val="00DF13E2"/>
    <w:rsid w:val="00DF2DE1"/>
    <w:rsid w:val="00DF5F8D"/>
    <w:rsid w:val="00E0468C"/>
    <w:rsid w:val="00E04DE3"/>
    <w:rsid w:val="00E065DF"/>
    <w:rsid w:val="00E13ACE"/>
    <w:rsid w:val="00E24DB3"/>
    <w:rsid w:val="00E378AA"/>
    <w:rsid w:val="00E40C50"/>
    <w:rsid w:val="00E461ED"/>
    <w:rsid w:val="00E541BE"/>
    <w:rsid w:val="00E61EBD"/>
    <w:rsid w:val="00E6293F"/>
    <w:rsid w:val="00E77F7A"/>
    <w:rsid w:val="00E800B9"/>
    <w:rsid w:val="00E80534"/>
    <w:rsid w:val="00E914A1"/>
    <w:rsid w:val="00E92CFF"/>
    <w:rsid w:val="00E97E06"/>
    <w:rsid w:val="00EA3764"/>
    <w:rsid w:val="00EA7A59"/>
    <w:rsid w:val="00EB4240"/>
    <w:rsid w:val="00EB543F"/>
    <w:rsid w:val="00EC01B2"/>
    <w:rsid w:val="00EC37EE"/>
    <w:rsid w:val="00EE576C"/>
    <w:rsid w:val="00EE73BE"/>
    <w:rsid w:val="00EF02DA"/>
    <w:rsid w:val="00EF6657"/>
    <w:rsid w:val="00F00116"/>
    <w:rsid w:val="00F02591"/>
    <w:rsid w:val="00F52DB6"/>
    <w:rsid w:val="00F65735"/>
    <w:rsid w:val="00F71967"/>
    <w:rsid w:val="00F72CD2"/>
    <w:rsid w:val="00F732D4"/>
    <w:rsid w:val="00F76F6E"/>
    <w:rsid w:val="00F771C9"/>
    <w:rsid w:val="00F77D8C"/>
    <w:rsid w:val="00F83B72"/>
    <w:rsid w:val="00F8650E"/>
    <w:rsid w:val="00F94F64"/>
    <w:rsid w:val="00F9678F"/>
    <w:rsid w:val="00FA6FDC"/>
    <w:rsid w:val="00FB1D8F"/>
    <w:rsid w:val="00FB23B5"/>
    <w:rsid w:val="00FC32D7"/>
    <w:rsid w:val="00FC55FA"/>
    <w:rsid w:val="00FC6E3F"/>
    <w:rsid w:val="00FE275F"/>
    <w:rsid w:val="00FE3606"/>
    <w:rsid w:val="00FF7130"/>
    <w:rsid w:val="00FF7E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20C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3305C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ZkladntextChar">
    <w:name w:val="Základný text Char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HlavikaChar">
    <w:name w:val="Hlavička Char"/>
    <w:link w:val="Hlavik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taChar">
    <w:name w:val="Päta Char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Zkladntext2Char">
    <w:name w:val="Základný text 2 Char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customStyle="1" w:styleId="Vrazn1">
    <w:name w:val="Výrazný1"/>
    <w:uiPriority w:val="22"/>
    <w:qFormat/>
    <w:rsid w:val="00303B1F"/>
    <w:rPr>
      <w:b/>
      <w:bCs/>
    </w:rPr>
  </w:style>
  <w:style w:type="character" w:customStyle="1" w:styleId="Nadpis1Char">
    <w:name w:val="Nadpis 1 Char"/>
    <w:link w:val="Nadpis1"/>
    <w:uiPriority w:val="9"/>
    <w:rsid w:val="003305CA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le-converted-space">
    <w:name w:val="apple-converted-space"/>
    <w:basedOn w:val="Predvolenpsmoodseku"/>
    <w:rsid w:val="003305CA"/>
  </w:style>
  <w:style w:type="paragraph" w:customStyle="1" w:styleId="Bulletindent">
    <w:name w:val="Bullet indent"/>
    <w:basedOn w:val="Normlny"/>
    <w:rsid w:val="00280133"/>
    <w:pPr>
      <w:widowControl w:val="0"/>
      <w:numPr>
        <w:numId w:val="33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7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9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C3E2E6-A4FA-4221-AB00-61385EA1D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1527</Words>
  <Characters>8706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Uživateľ</cp:lastModifiedBy>
  <cp:revision>2</cp:revision>
  <cp:lastPrinted>2021-12-30T05:59:00Z</cp:lastPrinted>
  <dcterms:created xsi:type="dcterms:W3CDTF">2022-09-19T10:55:00Z</dcterms:created>
  <dcterms:modified xsi:type="dcterms:W3CDTF">2022-09-19T10:55:00Z</dcterms:modified>
</cp:coreProperties>
</file>