
<file path=[Content_Types].xml><?xml version="1.0" encoding="utf-8"?>
<Types xmlns="http://schemas.openxmlformats.org/package/2006/content-types">
  <Override PartName="/_rels/.rels" ContentType="application/vnd.openxmlformats-package.relationships+xml"/>
  <Override PartName="/word/_rels/header1.xml.rels" ContentType="application/vnd.openxmlformats-package.relationships+xml"/>
  <Override PartName="/word/_rels/header2.xml.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media/image7.jpeg" ContentType="image/jpeg"/>
  <Override PartName="/word/media/image6.jpeg" ContentType="image/jpeg"/>
  <Override PartName="/word/media/image5.png" ContentType="image/png"/>
  <Override PartName="/word/media/image4.png" ContentType="image/png"/>
  <Override PartName="/word/media/image3.png" ContentType="image/png"/>
  <Override PartName="/word/media/image2.jpeg" ContentType="image/jpeg"/>
  <Override PartName="/word/media/image1.jpeg" ContentType="image/jpeg"/>
  <Override PartName="/word/numbering.xml" ContentType="application/vnd.openxmlformats-officedocument.wordprocessingml.numbering+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Normal"/>
        <w:rPr>
          <w:sz w:val="26"/>
        </w:rPr>
      </w:pPr>
      <w:r>
        <w:rPr>
          <w:sz w:val="26"/>
        </w:rPr>
      </w:r>
    </w:p>
    <w:p>
      <w:pPr>
        <w:pStyle w:val="Normal"/>
        <w:jc w:val="center"/>
        <w:rPr>
          <w:b/>
          <w:sz w:val="32"/>
          <w:szCs w:val="32"/>
        </w:rPr>
      </w:pPr>
      <w:r>
        <w:rPr>
          <w:b/>
          <w:sz w:val="32"/>
          <w:szCs w:val="32"/>
        </w:rPr>
      </w:r>
    </w:p>
    <w:p>
      <w:pPr>
        <w:pStyle w:val="Normal"/>
        <w:jc w:val="center"/>
        <w:rPr>
          <w:b/>
          <w:sz w:val="32"/>
          <w:szCs w:val="32"/>
        </w:rPr>
      </w:pPr>
      <w:r>
        <w:rPr>
          <w:b/>
          <w:sz w:val="32"/>
          <w:szCs w:val="32"/>
        </w:rPr>
      </w:r>
    </w:p>
    <w:p>
      <w:pPr>
        <w:pStyle w:val="Normal"/>
        <w:jc w:val="center"/>
        <w:rPr>
          <w:b/>
          <w:sz w:val="32"/>
          <w:szCs w:val="32"/>
        </w:rPr>
      </w:pPr>
      <w:r>
        <w:rPr>
          <w:b/>
          <w:sz w:val="32"/>
          <w:szCs w:val="32"/>
        </w:rPr>
      </w:r>
    </w:p>
    <w:p>
      <w:pPr>
        <w:pStyle w:val="Normal"/>
        <w:jc w:val="center"/>
        <w:rPr>
          <w:b/>
          <w:sz w:val="32"/>
          <w:szCs w:val="32"/>
        </w:rPr>
      </w:pPr>
      <w:r>
        <w:rPr>
          <w:b/>
          <w:sz w:val="32"/>
          <w:szCs w:val="32"/>
        </w:rPr>
      </w:r>
    </w:p>
    <w:p>
      <w:pPr>
        <w:pStyle w:val="Normal"/>
        <w:jc w:val="center"/>
        <w:rPr>
          <w:b/>
          <w:sz w:val="32"/>
          <w:szCs w:val="32"/>
        </w:rPr>
      </w:pPr>
      <w:r>
        <w:rPr>
          <w:b/>
          <w:sz w:val="32"/>
          <w:szCs w:val="32"/>
        </w:rPr>
      </w:r>
    </w:p>
    <w:p>
      <w:pPr>
        <w:pStyle w:val="Normal"/>
        <w:jc w:val="center"/>
        <w:rPr>
          <w:b/>
          <w:sz w:val="36"/>
          <w:szCs w:val="36"/>
        </w:rPr>
      </w:pPr>
      <w:r>
        <w:rPr>
          <w:b/>
          <w:sz w:val="36"/>
          <w:szCs w:val="36"/>
        </w:rPr>
        <w:t>VÝROČNÁ SPRÁVA</w:t>
      </w:r>
    </w:p>
    <w:p>
      <w:pPr>
        <w:pStyle w:val="Normal"/>
        <w:jc w:val="center"/>
        <w:rPr>
          <w:b/>
          <w:sz w:val="36"/>
          <w:szCs w:val="36"/>
        </w:rPr>
      </w:pPr>
      <w:r>
        <w:rPr>
          <w:b/>
          <w:sz w:val="36"/>
          <w:szCs w:val="36"/>
        </w:rPr>
        <w:t>za rok 2021</w:t>
      </w:r>
    </w:p>
    <w:p>
      <w:pPr>
        <w:pStyle w:val="Normal"/>
        <w:jc w:val="center"/>
        <w:rPr>
          <w:b/>
          <w:sz w:val="32"/>
          <w:szCs w:val="32"/>
        </w:rPr>
      </w:pPr>
      <w:r>
        <w:rPr>
          <w:b/>
          <w:sz w:val="32"/>
          <w:szCs w:val="32"/>
        </w:rPr>
      </w:r>
    </w:p>
    <w:p>
      <w:pPr>
        <w:pStyle w:val="Normal"/>
        <w:jc w:val="center"/>
        <w:rPr>
          <w:b/>
          <w:sz w:val="32"/>
          <w:szCs w:val="32"/>
          <w:lang w:val="sk-SK" w:eastAsia="sk-SK"/>
        </w:rPr>
      </w:pPr>
      <w:r>
        <w:rPr>
          <w:b/>
          <w:sz w:val="32"/>
          <w:szCs w:val="32"/>
          <w:lang w:val="sk-SK" w:eastAsia="sk-SK"/>
        </w:rPr>
        <w:drawing>
          <wp:inline distT="0" distB="0" distL="0" distR="0">
            <wp:extent cx="3847465" cy="2590800"/>
            <wp:effectExtent l="0" t="0" r="0" b="0"/>
            <wp:docPr id="0"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
                    <pic:cNvPicPr>
                      <a:picLocks noChangeAspect="1" noChangeArrowheads="1"/>
                    </pic:cNvPicPr>
                  </pic:nvPicPr>
                  <pic:blipFill>
                    <a:blip r:embed="rId2"/>
                    <a:stretch>
                      <a:fillRect/>
                    </a:stretch>
                  </pic:blipFill>
                  <pic:spPr bwMode="auto">
                    <a:xfrm>
                      <a:off x="0" y="0"/>
                      <a:ext cx="3847465" cy="2590800"/>
                    </a:xfrm>
                    <a:prstGeom prst="rect">
                      <a:avLst/>
                    </a:prstGeom>
                    <a:noFill/>
                    <a:ln w="9525">
                      <a:noFill/>
                      <a:miter lim="800000"/>
                      <a:headEnd/>
                      <a:tailEnd/>
                    </a:ln>
                  </pic:spPr>
                </pic:pic>
              </a:graphicData>
            </a:graphic>
          </wp:inline>
        </w:drawing>
      </w:r>
    </w:p>
    <w:p>
      <w:pPr>
        <w:pStyle w:val="Normal"/>
        <w:jc w:val="center"/>
        <w:rPr>
          <w:b/>
          <w:sz w:val="32"/>
          <w:szCs w:val="32"/>
        </w:rPr>
      </w:pPr>
      <w:r>
        <w:rPr>
          <w:b/>
          <w:sz w:val="32"/>
          <w:szCs w:val="32"/>
        </w:rPr>
      </w:r>
    </w:p>
    <w:p>
      <w:pPr>
        <w:pStyle w:val="Normal"/>
        <w:jc w:val="center"/>
        <w:rPr>
          <w:b/>
          <w:sz w:val="32"/>
          <w:szCs w:val="32"/>
        </w:rPr>
      </w:pPr>
      <w:r>
        <w:rPr>
          <w:b/>
          <w:sz w:val="32"/>
          <w:szCs w:val="32"/>
        </w:rPr>
      </w:r>
    </w:p>
    <w:p>
      <w:pPr>
        <w:pStyle w:val="Normal"/>
        <w:jc w:val="center"/>
        <w:rPr>
          <w:b/>
          <w:sz w:val="32"/>
          <w:szCs w:val="32"/>
        </w:rPr>
      </w:pPr>
      <w:r>
        <w:rPr>
          <w:b/>
          <w:sz w:val="32"/>
          <w:szCs w:val="32"/>
        </w:rPr>
      </w:r>
    </w:p>
    <w:p>
      <w:pPr>
        <w:pStyle w:val="Normal"/>
        <w:rPr>
          <w:b/>
          <w:sz w:val="32"/>
          <w:szCs w:val="32"/>
        </w:rPr>
      </w:pPr>
      <w:r>
        <w:rPr>
          <w:b/>
          <w:sz w:val="32"/>
          <w:szCs w:val="32"/>
        </w:rPr>
        <w:t>AUGUST 2022</w:t>
      </w:r>
    </w:p>
    <w:p>
      <w:pPr>
        <w:pStyle w:val="Normal"/>
        <w:jc w:val="center"/>
        <w:rPr>
          <w:b/>
        </w:rPr>
      </w:pPr>
      <w:r>
        <w:rPr>
          <w:b/>
        </w:rPr>
      </w:r>
    </w:p>
    <w:p>
      <w:pPr>
        <w:pStyle w:val="Normal"/>
        <w:jc w:val="center"/>
        <w:rPr>
          <w:b/>
        </w:rPr>
      </w:pPr>
      <w:r>
        <w:rPr>
          <w:b/>
        </w:rPr>
      </w:r>
    </w:p>
    <w:p>
      <w:pPr>
        <w:pStyle w:val="Normal"/>
        <w:jc w:val="center"/>
        <w:rPr>
          <w:rFonts w:cs="Calibri" w:ascii="Calibri" w:hAnsi="Calibri"/>
          <w:b/>
        </w:rPr>
      </w:pPr>
      <w:r>
        <w:rPr>
          <w:rFonts w:cs="Calibri" w:ascii="Calibri" w:hAnsi="Calibri"/>
          <w:b/>
        </w:rPr>
        <w:t>VÝROČNÁ SPRÁVA</w:t>
      </w:r>
    </w:p>
    <w:p>
      <w:pPr>
        <w:pStyle w:val="Normal"/>
        <w:jc w:val="center"/>
        <w:rPr>
          <w:rFonts w:cs="Calibri" w:ascii="Calibri" w:hAnsi="Calibri"/>
          <w:b/>
        </w:rPr>
      </w:pPr>
      <w:r>
        <w:rPr>
          <w:rFonts w:cs="Calibri" w:ascii="Calibri" w:hAnsi="Calibri"/>
          <w:b/>
        </w:rPr>
        <w:t xml:space="preserve">SPOLOČNOSTI EKOPRIM istota stavby  s ručením obmedzeným </w:t>
      </w:r>
    </w:p>
    <w:p>
      <w:pPr>
        <w:pStyle w:val="Normal"/>
        <w:jc w:val="center"/>
        <w:rPr>
          <w:rFonts w:cs="Calibri" w:ascii="Calibri" w:hAnsi="Calibri"/>
          <w:b/>
        </w:rPr>
      </w:pPr>
      <w:r>
        <w:rPr>
          <w:rFonts w:cs="Calibri" w:ascii="Calibri" w:hAnsi="Calibri"/>
          <w:b/>
        </w:rPr>
        <w:t>za rok 2021</w:t>
      </w:r>
    </w:p>
    <w:p>
      <w:pPr>
        <w:pStyle w:val="Normal"/>
        <w:rPr>
          <w:rFonts w:cs="Calibri" w:ascii="Calibri" w:hAnsi="Calibri"/>
          <w:b/>
        </w:rPr>
      </w:pPr>
      <w:r>
        <w:rPr>
          <w:rFonts w:cs="Calibri" w:ascii="Calibri" w:hAnsi="Calibri"/>
          <w:b/>
        </w:rPr>
        <w:t>Identifikačné údaje spoločnosti:</w:t>
      </w:r>
    </w:p>
    <w:p>
      <w:pPr>
        <w:pStyle w:val="Normal"/>
        <w:jc w:val="both"/>
        <w:rPr>
          <w:rFonts w:cs="Calibri" w:ascii="Calibri" w:hAnsi="Calibri"/>
          <w:b/>
        </w:rPr>
      </w:pPr>
      <w:r>
        <w:rPr>
          <w:rFonts w:cs="Calibri" w:ascii="Calibri" w:hAnsi="Calibri"/>
          <w:b/>
        </w:rPr>
        <w:t>IČO: 50 812 068</w:t>
      </w:r>
    </w:p>
    <w:p>
      <w:pPr>
        <w:pStyle w:val="Normal"/>
        <w:jc w:val="both"/>
        <w:rPr>
          <w:rFonts w:cs="Calibri" w:ascii="Calibri" w:hAnsi="Calibri"/>
          <w:b/>
        </w:rPr>
      </w:pPr>
      <w:r>
        <w:rPr>
          <w:rFonts w:cs="Calibri" w:ascii="Calibri" w:hAnsi="Calibri"/>
          <w:b/>
        </w:rPr>
        <w:t>DIČ: 2120483134</w:t>
      </w:r>
    </w:p>
    <w:p>
      <w:pPr>
        <w:pStyle w:val="Normal"/>
        <w:jc w:val="both"/>
        <w:rPr>
          <w:rFonts w:cs="Calibri" w:ascii="Calibri" w:hAnsi="Calibri"/>
          <w:b/>
        </w:rPr>
      </w:pPr>
      <w:r>
        <w:rPr>
          <w:rFonts w:cs="Calibri" w:ascii="Calibri" w:hAnsi="Calibri"/>
          <w:b/>
        </w:rPr>
        <w:t>Sídlo spoločnosti: Strojnícka 17, 080 01 Prešov</w:t>
      </w:r>
    </w:p>
    <w:p>
      <w:pPr>
        <w:pStyle w:val="Normal"/>
        <w:jc w:val="both"/>
        <w:rPr>
          <w:rFonts w:cs="Calibri" w:ascii="Calibri" w:hAnsi="Calibri"/>
          <w:b/>
        </w:rPr>
      </w:pPr>
      <w:r>
        <w:rPr>
          <w:rFonts w:cs="Calibri" w:ascii="Calibri" w:hAnsi="Calibri"/>
          <w:b/>
        </w:rPr>
        <w:t>Profil spoločnosti</w:t>
      </w:r>
    </w:p>
    <w:p>
      <w:pPr>
        <w:pStyle w:val="Normal"/>
        <w:jc w:val="both"/>
        <w:rPr>
          <w:rFonts w:cs="Calibri" w:ascii="Calibri" w:hAnsi="Calibri"/>
        </w:rPr>
      </w:pPr>
      <w:r>
        <w:rPr>
          <w:rFonts w:cs="Calibri" w:ascii="Calibri" w:hAnsi="Calibri"/>
        </w:rPr>
        <w:t xml:space="preserve">Spoločnosť EKOPRIM istota stavby, s r.o. bola založená v roku 2017. </w:t>
      </w:r>
    </w:p>
    <w:p>
      <w:pPr>
        <w:pStyle w:val="Normal"/>
        <w:spacing w:lineRule="auto" w:line="240" w:before="280" w:after="280"/>
        <w:rPr>
          <w:rFonts w:eastAsia="Times New Roman" w:cs="Calibri" w:ascii="Calibri" w:hAnsi="Calibri"/>
          <w:b/>
          <w:bCs/>
          <w:lang w:eastAsia="sk-SK"/>
        </w:rPr>
      </w:pPr>
      <w:r>
        <w:rPr>
          <w:rFonts w:eastAsia="Times New Roman" w:cs="Calibri" w:ascii="Calibri" w:hAnsi="Calibri"/>
          <w:b/>
          <w:lang w:eastAsia="sk-SK"/>
        </w:rPr>
        <w:t>So</w:t>
      </w:r>
      <w:r>
        <w:rPr>
          <w:rFonts w:eastAsia="Times New Roman" w:cs="Calibri" w:ascii="Calibri" w:hAnsi="Calibri"/>
          <w:b/>
          <w:bCs/>
          <w:lang w:eastAsia="sk-SK"/>
        </w:rPr>
        <w:t>rtiment predaja</w:t>
      </w:r>
    </w:p>
    <w:p>
      <w:pPr>
        <w:pStyle w:val="Normal"/>
        <w:spacing w:lineRule="auto" w:line="240" w:before="0" w:after="0"/>
        <w:rPr>
          <w:rFonts w:eastAsia="Times New Roman" w:cs="Calibri" w:ascii="Calibri" w:hAnsi="Calibri"/>
          <w:lang w:eastAsia="sk-SK"/>
        </w:rPr>
      </w:pPr>
      <w:r>
        <w:rPr>
          <w:rFonts w:eastAsia="Times New Roman" w:cs="Calibri" w:ascii="Calibri" w:hAnsi="Calibri"/>
          <w:lang w:eastAsia="sk-SK"/>
        </w:rPr>
        <w:t>hutný materiál</w:t>
      </w:r>
    </w:p>
    <w:p>
      <w:pPr>
        <w:pStyle w:val="Normal"/>
        <w:spacing w:lineRule="auto" w:line="240" w:before="0" w:after="0"/>
        <w:rPr>
          <w:rFonts w:eastAsia="Times New Roman" w:cs="Calibri" w:ascii="Calibri" w:hAnsi="Calibri"/>
          <w:lang w:eastAsia="sk-SK"/>
        </w:rPr>
      </w:pPr>
      <w:r>
        <w:rPr>
          <w:rFonts w:eastAsia="Times New Roman" w:cs="Calibri" w:ascii="Calibri" w:hAnsi="Calibri"/>
          <w:lang w:eastAsia="sk-SK"/>
        </w:rPr>
        <w:t>železiarstvo</w:t>
      </w:r>
    </w:p>
    <w:p>
      <w:pPr>
        <w:pStyle w:val="Normal"/>
        <w:spacing w:lineRule="auto" w:line="240" w:before="0" w:after="0"/>
        <w:rPr>
          <w:rFonts w:eastAsia="Times New Roman" w:cs="Calibri" w:ascii="Calibri" w:hAnsi="Calibri"/>
          <w:lang w:eastAsia="sk-SK"/>
        </w:rPr>
      </w:pPr>
      <w:r>
        <w:rPr>
          <w:rFonts w:eastAsia="Times New Roman" w:cs="Calibri" w:ascii="Calibri" w:hAnsi="Calibri"/>
          <w:lang w:eastAsia="sk-SK"/>
        </w:rPr>
        <w:t>kúrenie , plyn, kanál, voda,</w:t>
      </w:r>
    </w:p>
    <w:p>
      <w:pPr>
        <w:pStyle w:val="Normal"/>
        <w:spacing w:lineRule="auto" w:line="240" w:before="0" w:after="0"/>
        <w:rPr>
          <w:rFonts w:eastAsia="Times New Roman" w:cs="Calibri" w:ascii="Calibri" w:hAnsi="Calibri"/>
          <w:lang w:eastAsia="sk-SK"/>
        </w:rPr>
      </w:pPr>
      <w:r>
        <w:rPr>
          <w:rFonts w:eastAsia="Times New Roman" w:cs="Calibri" w:ascii="Calibri" w:hAnsi="Calibri"/>
          <w:lang w:eastAsia="sk-SK"/>
        </w:rPr>
        <w:t>stavebniny – stavebný materiál</w:t>
      </w:r>
    </w:p>
    <w:p>
      <w:pPr>
        <w:pStyle w:val="Normal"/>
        <w:spacing w:lineRule="auto" w:line="240" w:before="0" w:after="0"/>
        <w:rPr>
          <w:rFonts w:eastAsia="Times New Roman" w:cs="Calibri" w:ascii="Calibri" w:hAnsi="Calibri"/>
          <w:lang w:eastAsia="sk-SK"/>
        </w:rPr>
      </w:pPr>
      <w:r>
        <w:rPr>
          <w:rFonts w:eastAsia="Times New Roman" w:cs="Calibri" w:ascii="Calibri" w:hAnsi="Calibri"/>
          <w:lang w:eastAsia="sk-SK"/>
        </w:rPr>
      </w:r>
    </w:p>
    <w:p>
      <w:pPr>
        <w:pStyle w:val="Normal"/>
        <w:spacing w:lineRule="auto" w:line="240" w:before="0" w:after="0"/>
        <w:rPr>
          <w:rFonts w:eastAsia="Times New Roman" w:cs="Calibri" w:ascii="Calibri" w:hAnsi="Calibri"/>
          <w:b/>
          <w:color w:val="000000"/>
          <w:lang w:eastAsia="sk-SK"/>
        </w:rPr>
      </w:pPr>
      <w:r>
        <w:rPr>
          <w:rFonts w:eastAsia="Times New Roman" w:cs="Calibri" w:ascii="Calibri" w:hAnsi="Calibri"/>
          <w:b/>
          <w:color w:val="000000"/>
          <w:lang w:eastAsia="sk-SK"/>
        </w:rPr>
        <w:t>Kamenné predajne</w:t>
      </w:r>
    </w:p>
    <w:p>
      <w:pPr>
        <w:pStyle w:val="Normal"/>
        <w:spacing w:lineRule="auto" w:line="240" w:before="0" w:after="0"/>
        <w:rPr>
          <w:rFonts w:cs="Calibri" w:ascii="Calibri" w:hAnsi="Calibri"/>
        </w:rPr>
      </w:pPr>
      <w:r>
        <w:rPr>
          <w:rFonts w:cs="Calibri" w:ascii="Calibri" w:hAnsi="Calibri"/>
        </w:rPr>
        <w:t>Strojnícka 17, Prešov</w:t>
      </w:r>
    </w:p>
    <w:p>
      <w:pPr>
        <w:pStyle w:val="Normal"/>
        <w:spacing w:lineRule="auto" w:line="240" w:before="0" w:after="0"/>
        <w:rPr>
          <w:rFonts w:cs="Calibri" w:ascii="Calibri" w:hAnsi="Calibri"/>
        </w:rPr>
      </w:pPr>
      <w:r>
        <w:rPr>
          <w:rFonts w:cs="Calibri" w:ascii="Calibri" w:hAnsi="Calibri"/>
        </w:rPr>
        <w:t>Levočská 11, Stará Ľubovňa</w:t>
      </w:r>
    </w:p>
    <w:p>
      <w:pPr>
        <w:pStyle w:val="Normal"/>
        <w:spacing w:lineRule="auto" w:line="240" w:before="0" w:after="0"/>
        <w:rPr>
          <w:rFonts w:cs="Calibri" w:ascii="Calibri" w:hAnsi="Calibri"/>
        </w:rPr>
      </w:pPr>
      <w:r>
        <w:rPr>
          <w:rFonts w:cs="Calibri" w:ascii="Calibri" w:hAnsi="Calibri"/>
        </w:rPr>
      </w:r>
    </w:p>
    <w:p>
      <w:pPr>
        <w:pStyle w:val="Normal"/>
        <w:spacing w:lineRule="auto" w:line="240" w:before="0" w:after="0"/>
        <w:rPr>
          <w:rFonts w:eastAsia="Times New Roman" w:cs="Calibri" w:ascii="Calibri" w:hAnsi="Calibri"/>
          <w:b/>
          <w:bCs/>
          <w:lang w:eastAsia="sk-SK"/>
        </w:rPr>
      </w:pPr>
      <w:r>
        <w:rPr>
          <w:rFonts w:eastAsia="Times New Roman" w:cs="Calibri" w:ascii="Calibri" w:hAnsi="Calibri"/>
          <w:b/>
          <w:bCs/>
          <w:lang w:eastAsia="sk-SK"/>
        </w:rPr>
        <w:t>O spoločnosti</w:t>
      </w:r>
    </w:p>
    <w:p>
      <w:pPr>
        <w:pStyle w:val="Normal"/>
        <w:spacing w:lineRule="auto" w:line="240" w:before="0" w:after="0"/>
        <w:rPr>
          <w:rFonts w:eastAsia="Times New Roman" w:cs="Calibri" w:ascii="Calibri" w:hAnsi="Calibri"/>
          <w:b/>
          <w:bCs/>
          <w:lang w:eastAsia="sk-SK"/>
        </w:rPr>
      </w:pPr>
      <w:r>
        <w:rPr>
          <w:rFonts w:eastAsia="Times New Roman" w:cs="Calibri" w:ascii="Calibri" w:hAnsi="Calibri"/>
          <w:b/>
          <w:bCs/>
          <w:lang w:eastAsia="sk-SK"/>
        </w:rPr>
      </w:r>
    </w:p>
    <w:p>
      <w:pPr>
        <w:pStyle w:val="Normal"/>
        <w:shd w:fill="FFFFFF" w:val="clear"/>
        <w:suppressAutoHyphens w:val="false"/>
        <w:spacing w:lineRule="atLeast" w:line="300" w:before="0" w:after="0"/>
        <w:jc w:val="both"/>
        <w:rPr>
          <w:rFonts w:eastAsia="Times New Roman" w:cs="Calibri" w:ascii="Calibri" w:hAnsi="Calibri"/>
          <w:b/>
          <w:bCs/>
          <w:color w:val="222222"/>
          <w:lang w:eastAsia="sk-SK"/>
        </w:rPr>
      </w:pPr>
      <w:r>
        <w:rPr>
          <w:rFonts w:eastAsia="Times New Roman" w:cs="Calibri" w:ascii="Calibri" w:hAnsi="Calibri"/>
          <w:b/>
          <w:bCs/>
          <w:color w:val="222222"/>
          <w:lang w:eastAsia="sk-SK"/>
        </w:rPr>
        <w:t>Spoločnosť je najkomplexnejším dodávateľom materiálov v celom spektre stavebníctva v Prešovskom kraji. Tovar dodávame pre rôzne druhy počnúc začiatkom až po ukončenie stavby.</w:t>
      </w:r>
    </w:p>
    <w:p>
      <w:pPr>
        <w:pStyle w:val="Normal"/>
        <w:shd w:fill="FFFFFF" w:val="clear"/>
        <w:suppressAutoHyphens w:val="false"/>
        <w:spacing w:lineRule="atLeast" w:line="315" w:before="0" w:after="0"/>
        <w:jc w:val="both"/>
        <w:rPr>
          <w:rFonts w:eastAsia="Times New Roman" w:cs="Calibri" w:ascii="Calibri" w:hAnsi="Calibri"/>
          <w:color w:val="A83824"/>
          <w:lang w:val="sk-SK" w:eastAsia="sk-SK"/>
        </w:rPr>
      </w:pPr>
      <w:r>
        <w:rPr>
          <w:rFonts w:eastAsia="Times New Roman" w:cs="Calibri" w:ascii="Calibri" w:hAnsi="Calibri"/>
          <w:color w:val="A83824"/>
          <w:lang w:val="sk-SK" w:eastAsia="sk-SK"/>
        </w:rPr>
        <w:drawing>
          <wp:inline distT="0" distB="0" distL="0" distR="0">
            <wp:extent cx="1905000" cy="1076325"/>
            <wp:effectExtent l="0" t="0" r="0" b="0"/>
            <wp:docPr id="1"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descr=""/>
                    <pic:cNvPicPr>
                      <a:picLocks noChangeAspect="1" noChangeArrowheads="1"/>
                    </pic:cNvPicPr>
                  </pic:nvPicPr>
                  <pic:blipFill>
                    <a:blip r:embed="rId3"/>
                    <a:stretch>
                      <a:fillRect/>
                    </a:stretch>
                  </pic:blipFill>
                  <pic:spPr bwMode="auto">
                    <a:xfrm>
                      <a:off x="0" y="0"/>
                      <a:ext cx="1905000" cy="1076325"/>
                    </a:xfrm>
                    <a:prstGeom prst="rect">
                      <a:avLst/>
                    </a:prstGeom>
                    <a:noFill/>
                    <a:ln w="9525">
                      <a:noFill/>
                      <a:miter lim="800000"/>
                      <a:headEnd/>
                      <a:tailEnd/>
                    </a:ln>
                  </pic:spPr>
                </pic:pic>
              </a:graphicData>
            </a:graphic>
          </wp:inline>
        </w:drawing>
      </w:r>
    </w:p>
    <w:p>
      <w:pPr>
        <w:pStyle w:val="Normal"/>
        <w:shd w:fill="FFFFFF" w:val="clear"/>
        <w:suppressAutoHyphens w:val="false"/>
        <w:spacing w:lineRule="atLeast" w:line="250" w:before="0" w:after="0"/>
        <w:jc w:val="both"/>
        <w:rPr>
          <w:rFonts w:eastAsia="Times New Roman" w:cs="Calibri" w:ascii="Calibri" w:hAnsi="Calibri"/>
          <w:b/>
          <w:bCs/>
          <w:color w:val="222222"/>
          <w:shd w:fill="FFFF00" w:val="clear"/>
          <w:lang w:eastAsia="sk-SK"/>
        </w:rPr>
      </w:pPr>
      <w:r>
        <w:rPr>
          <w:rFonts w:eastAsia="Times New Roman" w:cs="Calibri" w:ascii="Calibri" w:hAnsi="Calibri"/>
          <w:b/>
          <w:bCs/>
          <w:color w:val="222222"/>
          <w:shd w:fill="FFFF00" w:val="clear"/>
          <w:lang w:eastAsia="sk-SK"/>
        </w:rPr>
      </w:r>
    </w:p>
    <w:p>
      <w:pPr>
        <w:pStyle w:val="Normal"/>
        <w:shd w:fill="FFFFFF" w:val="clear"/>
        <w:suppressAutoHyphens w:val="false"/>
        <w:spacing w:lineRule="atLeast" w:line="250" w:before="0" w:after="0"/>
        <w:jc w:val="both"/>
        <w:rPr>
          <w:rFonts w:eastAsia="Times New Roman" w:cs="Helvetica" w:ascii="Helvetica" w:hAnsi="Helvetica"/>
          <w:b/>
          <w:bCs/>
          <w:color w:val="222222"/>
          <w:sz w:val="18"/>
          <w:szCs w:val="18"/>
          <w:lang w:eastAsia="sk-SK"/>
        </w:rPr>
      </w:pPr>
      <w:r>
        <w:rPr>
          <w:rFonts w:eastAsia="Times New Roman" w:cs="Helvetica" w:ascii="Helvetica" w:hAnsi="Helvetica"/>
          <w:b/>
          <w:bCs/>
          <w:color w:val="222222"/>
          <w:sz w:val="18"/>
          <w:szCs w:val="18"/>
          <w:lang w:eastAsia="sk-SK"/>
        </w:rPr>
        <w:t>STREDISKO STAVEBNINY</w:t>
      </w:r>
    </w:p>
    <w:p>
      <w:pPr>
        <w:pStyle w:val="Normal"/>
        <w:shd w:fill="FFFFFF" w:val="clear"/>
        <w:suppressAutoHyphens w:val="false"/>
        <w:spacing w:lineRule="atLeast" w:line="250" w:before="0" w:after="0"/>
        <w:jc w:val="both"/>
        <w:rPr>
          <w:rFonts w:eastAsia="Times New Roman" w:cs="Helvetica" w:ascii="Helvetica" w:hAnsi="Helvetica"/>
          <w:b/>
          <w:bCs/>
          <w:color w:val="222222"/>
          <w:sz w:val="18"/>
          <w:szCs w:val="18"/>
          <w:lang w:eastAsia="sk-SK"/>
        </w:rPr>
      </w:pPr>
      <w:r>
        <w:rPr>
          <w:rFonts w:eastAsia="Times New Roman" w:cs="Helvetica" w:ascii="Helvetica" w:hAnsi="Helvetica"/>
          <w:b/>
          <w:bCs/>
          <w:color w:val="222222"/>
          <w:sz w:val="18"/>
          <w:szCs w:val="18"/>
          <w:lang w:eastAsia="sk-SK"/>
        </w:rPr>
      </w:r>
    </w:p>
    <w:p>
      <w:pPr>
        <w:pStyle w:val="Normal"/>
        <w:shd w:fill="FFFFFF" w:val="clear"/>
        <w:suppressAutoHyphens w:val="false"/>
        <w:spacing w:lineRule="atLeast" w:line="250" w:before="0" w:after="0"/>
        <w:jc w:val="both"/>
        <w:rPr>
          <w:rFonts w:eastAsia="Times New Roman" w:cs="Calibri" w:ascii="Calibri" w:hAnsi="Calibri"/>
          <w:b/>
          <w:bCs/>
          <w:color w:val="222222"/>
          <w:lang w:eastAsia="sk-SK"/>
        </w:rPr>
      </w:pPr>
      <w:r>
        <w:rPr>
          <w:rFonts w:eastAsia="Times New Roman" w:cs="Calibri" w:ascii="Calibri" w:hAnsi="Calibri"/>
          <w:b/>
          <w:bCs/>
          <w:color w:val="222222"/>
          <w:lang w:eastAsia="sk-SK"/>
        </w:rPr>
        <w:t>Naša spoločnosť pôsobí na slovenskom trhu so stavebným materiálom takmer od svojho založenia. Svojich zákazníkov sa snaží osloviť nadštandardnou ponukou a službami, ktoré poskytuje v rámci svojich jednotlivých predajných miest. Sme dlhoročným členom a akcionárom Slovenskej obchodnej aliancie stavebnín – SOAS a.s. , ktorá reprezentuje jednu z najvýznamnejších a najväčších sietí predajcov stavebných materiálov, ktorí spoločným postupom a vzájomnou výmenou skúseností vytvárajú vyššiu kvalitu služieb pre svojich zákazníkov a obchodných partnerov. Ponúkame materiály tradičných hlavne slovenských výrobcov. Najväčšou devízou spoločnosti EKOPRIM istota stavby, s.r.o. je komplexnosť ponúkaných služieb pre stavebníka, ktorý v rámci jedného areálu môže zabezpečiť materiál na svoju stavbu "od základov až po strechu".</w:t>
      </w:r>
    </w:p>
    <w:p>
      <w:pPr>
        <w:pStyle w:val="Normal"/>
        <w:shd w:fill="FFFFFF" w:val="clear"/>
        <w:suppressAutoHyphens w:val="false"/>
        <w:spacing w:lineRule="atLeast" w:line="263" w:before="301" w:after="125"/>
        <w:rPr>
          <w:rFonts w:eastAsia="Times New Roman" w:cs="Calibri" w:ascii="Calibri" w:hAnsi="Calibri"/>
          <w:color w:val="222222"/>
          <w:lang w:eastAsia="sk-SK"/>
        </w:rPr>
      </w:pPr>
      <w:r>
        <w:rPr>
          <w:rFonts w:eastAsia="Times New Roman" w:cs="Calibri" w:ascii="Calibri" w:hAnsi="Calibri"/>
          <w:color w:val="222222"/>
          <w:lang w:eastAsia="sk-SK"/>
        </w:rPr>
        <w:t>Firma SOAS a.s. (Slovenská obchodná aliancia stavebnín) vznikla pred deviatimi rokmi ako prirodzený proces vo vývoji na trhu so stavebným materiálom. Myšlienka založiť spoločnosť, ktorá by zefektívnila nákup stavebných materiálov dozrievala niekoľko rokov. Strategickú úlohu pri vzniku firmy mali súčasní akcionári SOAS a.s. , ktorí v tejto oblasti pôsobia mnoho rokov.</w:t>
      </w:r>
    </w:p>
    <w:p>
      <w:pPr>
        <w:pStyle w:val="Normal"/>
        <w:shd w:fill="FFFFFF" w:val="clear"/>
        <w:suppressAutoHyphens w:val="false"/>
        <w:spacing w:lineRule="atLeast" w:line="263" w:before="0" w:after="0"/>
        <w:rPr>
          <w:rFonts w:eastAsia="Times New Roman" w:cs="Calibri" w:ascii="Calibri" w:hAnsi="Calibri"/>
          <w:color w:val="222222"/>
          <w:lang w:eastAsia="sk-SK"/>
        </w:rPr>
      </w:pPr>
      <w:r>
        <w:rPr>
          <w:rFonts w:eastAsia="Times New Roman" w:cs="Calibri" w:ascii="Calibri" w:hAnsi="Calibri"/>
          <w:color w:val="222222"/>
          <w:lang w:eastAsia="sk-SK"/>
        </w:rPr>
        <w:t>Od začiatku pôsobenia na trhu, sa SOAS a.s. dynamicky rozvíja. V roku 2006 sme mali 47 predajných miest, v roku 2007 to bolo 59 a v súčasnosti zastrešujeme nákup pre 66 obchodných jednotiek. Najsilnejšie máme pokryté Stredné a Východné Slovensko a preto sa v prvom rade snažíme rozšíriť naše pôsobenie aj na Západnom Slovensku. Našim dlhodobým cieľom je pokryť všetky regióny Slovenska.</w:t>
        <w:br/>
        <w:t>V súčasnosti máme viac ako sedemdesiat dodávateľov. Ďalších dodávateľov si vyberáme na základe analýzy jednotlivých komodít a podľa vývoja na trhu. Prioritou v našej stratégii je, aby sme v sezóne dostatočne pokryli dopyt a nemali sme problémy s dodávkou tovaru. Aj z tohto dôvodu máme na jednotlivé komodity viacerých dodávateľov.</w:t>
      </w:r>
    </w:p>
    <w:p>
      <w:pPr>
        <w:pStyle w:val="Normal"/>
        <w:shd w:fill="FFFFFF" w:val="clear"/>
        <w:suppressAutoHyphens w:val="false"/>
        <w:spacing w:lineRule="atLeast" w:line="263" w:before="301" w:after="125"/>
        <w:jc w:val="both"/>
        <w:rPr>
          <w:rFonts w:eastAsia="Times New Roman" w:cs="Calibri" w:ascii="Calibri" w:hAnsi="Calibri"/>
          <w:color w:val="222222"/>
          <w:lang w:eastAsia="sk-SK"/>
        </w:rPr>
      </w:pPr>
      <w:r>
        <w:rPr>
          <w:rFonts w:eastAsia="Times New Roman" w:cs="Calibri" w:ascii="Calibri" w:hAnsi="Calibri"/>
          <w:color w:val="222222"/>
          <w:lang w:eastAsia="sk-SK"/>
        </w:rPr>
        <w:t>V roku 2006 sme začali na Slovenský trh distribuovať výrobky v privátnom balení SOAS. V súčasnosti sa môžete stretnúť s logom SOAS a. s. na viac ako desiatich výrobkoch od firiem Saint-Gobain Construction Products, s.r.o. , divízia Weber Terranova, Polyform s.r.o. , ako aj Den Braven SK s.r.o. Hlavným dôvodom na uvedenie výrobkov pod značkou našej firmy je podpora značky SOAS, a tým aj posilnenie sily aliancie na trhu.</w:t>
      </w:r>
    </w:p>
    <w:p>
      <w:pPr>
        <w:pStyle w:val="Normal"/>
        <w:shd w:fill="FFFFFF" w:val="clear"/>
        <w:suppressAutoHyphens w:val="false"/>
        <w:spacing w:lineRule="atLeast" w:line="263" w:before="301" w:after="125"/>
        <w:jc w:val="both"/>
        <w:rPr>
          <w:rFonts w:eastAsia="Times New Roman" w:cs="Calibri" w:ascii="Calibri" w:hAnsi="Calibri"/>
          <w:color w:val="222222"/>
          <w:lang w:eastAsia="sk-SK"/>
        </w:rPr>
      </w:pPr>
      <w:r>
        <w:rPr>
          <w:rFonts w:eastAsia="Times New Roman" w:cs="Calibri" w:ascii="Calibri" w:hAnsi="Calibri"/>
          <w:color w:val="222222"/>
          <w:lang w:eastAsia="sk-SK"/>
        </w:rPr>
        <w:t>Z hľadiska počtu predajných miest je SOAS a.s. najväčší distribútor stavebného materiálu na Slovensku. Obchodní partneri oceňujú najmä nákupný servis a marketingovú podporu, ktorú im aliancia zabezpečuje. Každý z obchodných partnerov počas pôsobenia v SOASe neustále rastie a rozvíja sa. Členstvo v aliancii im prináša novú dimenziu rozvoja a dlhodobej prosperity. Tlak konkurencie v oblasti predaja stavebného materiálu neustále rastie a SOAS a.s. je pre mnohých zárukou prosperity aj v budúcnosti.</w:t>
      </w:r>
    </w:p>
    <w:p>
      <w:pPr>
        <w:pStyle w:val="Normal"/>
        <w:shd w:fill="FFFFFF" w:val="clear"/>
        <w:suppressAutoHyphens w:val="false"/>
        <w:spacing w:lineRule="atLeast" w:line="263" w:before="301" w:after="125"/>
        <w:jc w:val="both"/>
        <w:rPr>
          <w:rFonts w:eastAsia="Times New Roman" w:cs="Calibri" w:ascii="Calibri" w:hAnsi="Calibri"/>
          <w:b/>
          <w:color w:val="222222"/>
          <w:lang w:eastAsia="sk-SK"/>
        </w:rPr>
      </w:pPr>
      <w:r>
        <w:rPr>
          <w:rFonts w:eastAsia="Times New Roman" w:cs="Calibri" w:ascii="Calibri" w:hAnsi="Calibri"/>
          <w:color w:val="222222"/>
          <w:lang w:eastAsia="sk-SK"/>
        </w:rPr>
        <w:tab/>
      </w:r>
      <w:r>
        <w:rPr>
          <w:rFonts w:eastAsia="Times New Roman" w:cs="Calibri" w:ascii="Calibri" w:hAnsi="Calibri"/>
          <w:b/>
          <w:color w:val="222222"/>
          <w:lang w:eastAsia="sk-SK"/>
        </w:rPr>
        <w:t>STREDISKO KÚRENIE, VODA,  KANÁL, PLYN</w:t>
      </w:r>
    </w:p>
    <w:p>
      <w:pPr>
        <w:pStyle w:val="Normal"/>
        <w:shd w:fill="FFFFFF" w:val="clear"/>
        <w:suppressAutoHyphens w:val="false"/>
        <w:spacing w:lineRule="atLeast" w:line="250" w:before="0" w:after="0"/>
        <w:jc w:val="both"/>
        <w:rPr>
          <w:rFonts w:eastAsia="Times New Roman" w:cs="Calibri" w:ascii="Calibri" w:hAnsi="Calibri"/>
          <w:b/>
          <w:bCs/>
          <w:color w:val="222222"/>
          <w:lang w:eastAsia="sk-SK"/>
        </w:rPr>
      </w:pPr>
      <w:r>
        <w:rPr>
          <w:rFonts w:eastAsia="Times New Roman" w:cs="Calibri" w:ascii="Calibri" w:hAnsi="Calibri"/>
          <w:b/>
          <w:bCs/>
          <w:color w:val="222222"/>
          <w:lang w:eastAsia="sk-SK"/>
        </w:rPr>
        <w:t>Stredisko voda, plyn, kúrenie, kanál je veľmi dôležitou súčasťou spoločnosti EKOPRIM istota stavby, s.r.o. , pretože materiály a tovary slúžiace pre technické zabezpečenie budov a inžinierske siete tvorí obrovské množstvo výrobkov, značiek, výrobcov, dodávateľov a použitia.</w:t>
      </w:r>
    </w:p>
    <w:p>
      <w:pPr>
        <w:pStyle w:val="Normal"/>
        <w:shd w:fill="FFFFFF" w:val="clear"/>
        <w:suppressAutoHyphens w:val="false"/>
        <w:spacing w:lineRule="atLeast" w:line="263" w:before="0" w:after="0"/>
        <w:rPr>
          <w:rFonts w:eastAsia="Times New Roman" w:cs="Calibri" w:ascii="Calibri" w:hAnsi="Calibri"/>
          <w:color w:val="222222"/>
          <w:lang w:eastAsia="sk-SK"/>
        </w:rPr>
      </w:pPr>
      <w:r>
        <w:rPr>
          <w:rFonts w:eastAsia="Times New Roman" w:cs="Calibri" w:ascii="Calibri" w:hAnsi="Calibri"/>
          <w:color w:val="222222"/>
          <w:lang w:eastAsia="sk-SK"/>
        </w:rPr>
        <w:t>Ucelený sortiment a profesionálny predajný servis, to sú naše základné pohľady na tento sortiment. Či ste investor, veľká stavebná firma, developer, kúrenár či inštalatér alebo konečný užívateľ, každému z vás máme čo ponúknuť.</w:t>
        <w:br/>
        <w:t>Naša ponuka zahŕňa nielen úplný sortiment z oblasti vykurovania - plyn - voda - inžinierske siete, ale aj služby s tým spojené, teda spracovanie aktuálnych informácií o ponuke tovaru, cenníky v tlačenej aj elektronickej podobe, poradenstvo v odbore, rozvoz tovaru podľa požiadaviek a ďalšie služby.</w:t>
      </w:r>
    </w:p>
    <w:p>
      <w:pPr>
        <w:pStyle w:val="Normal"/>
        <w:shd w:fill="FFFFFF" w:val="clear"/>
        <w:suppressAutoHyphens w:val="false"/>
        <w:spacing w:lineRule="atLeast" w:line="263" w:before="0" w:after="0"/>
        <w:jc w:val="both"/>
        <w:rPr>
          <w:rFonts w:eastAsia="Times New Roman" w:cs="Calibri" w:ascii="Calibri" w:hAnsi="Calibri"/>
          <w:color w:val="222222"/>
          <w:lang w:eastAsia="sk-SK"/>
        </w:rPr>
      </w:pPr>
      <w:r>
        <w:rPr>
          <w:rFonts w:eastAsia="Times New Roman" w:cs="Calibri" w:ascii="Calibri" w:hAnsi="Calibri"/>
          <w:color w:val="222222"/>
          <w:lang w:eastAsia="sk-SK"/>
        </w:rPr>
        <w:t>Ideálnym riešením pre zákazníka je ešte pred samotnou investíciou alebo realizáciou stavebnej rekonštrukcie, či zakladaním novostavby, konzultovať s nami otázku rozvodov plynu, vody, odpadov, kúrenia a vnútorného vybavenia i následné dodávky materiálu. </w:t>
      </w:r>
      <w:r>
        <w:rPr>
          <w:rFonts w:eastAsia="Times New Roman" w:cs="Calibri" w:ascii="Calibri" w:hAnsi="Calibri"/>
          <w:b/>
          <w:bCs/>
          <w:color w:val="222222"/>
          <w:lang w:eastAsia="sk-SK"/>
        </w:rPr>
        <w:t>Dokážeme fundovane poradiť</w:t>
      </w:r>
      <w:r>
        <w:rPr>
          <w:rFonts w:eastAsia="Times New Roman" w:cs="Calibri" w:ascii="Calibri" w:hAnsi="Calibri"/>
          <w:color w:val="222222"/>
          <w:lang w:eastAsia="sk-SK"/>
        </w:rPr>
        <w:t> pri optimalizácii týchto riešení a promptne dodávať materiál v celej oblasti problematiky plyn, voda, kúrenie, kanál.</w:t>
      </w:r>
    </w:p>
    <w:p>
      <w:pPr>
        <w:pStyle w:val="Normal"/>
        <w:shd w:fill="FFFFFF" w:val="clear"/>
        <w:suppressAutoHyphens w:val="false"/>
        <w:spacing w:lineRule="atLeast" w:line="263" w:before="301" w:after="125"/>
        <w:jc w:val="both"/>
        <w:rPr>
          <w:rFonts w:eastAsia="Times New Roman" w:cs="Calibri" w:ascii="Calibri" w:hAnsi="Calibri"/>
          <w:color w:val="222222"/>
          <w:lang w:eastAsia="sk-SK"/>
        </w:rPr>
      </w:pPr>
      <w:r>
        <w:rPr>
          <w:rFonts w:eastAsia="Times New Roman" w:cs="Calibri" w:ascii="Calibri" w:hAnsi="Calibri"/>
          <w:color w:val="222222"/>
          <w:lang w:eastAsia="sk-SK"/>
        </w:rPr>
        <w:t>V oddelení železiarstvo je pre vás pripravený doplnkový sortiment pri realizácii vašej stavby, ktorý zistíte, že ho potrebujete, až keď ho potrebujete :-) Ide o nekonečné množstvo spojovacieho materiálu, pracovného náradia, elektrického ručného náradia, zváracieho materiálu až po farby laky.</w:t>
      </w:r>
    </w:p>
    <w:p>
      <w:pPr>
        <w:pStyle w:val="Normal"/>
        <w:shd w:fill="FFFFFF" w:val="clear"/>
        <w:suppressAutoHyphens w:val="false"/>
        <w:spacing w:lineRule="atLeast" w:line="263" w:before="301" w:after="125"/>
        <w:jc w:val="both"/>
        <w:rPr>
          <w:rFonts w:eastAsia="Times New Roman" w:cs="Calibri" w:ascii="Calibri" w:hAnsi="Calibri"/>
          <w:b/>
          <w:color w:val="222222"/>
          <w:lang w:eastAsia="sk-SK"/>
        </w:rPr>
      </w:pPr>
      <w:r>
        <w:rPr>
          <w:rFonts w:eastAsia="Times New Roman" w:cs="Calibri" w:ascii="Calibri" w:hAnsi="Calibri"/>
          <w:color w:val="222222"/>
          <w:lang w:eastAsia="sk-SK"/>
        </w:rPr>
        <w:tab/>
      </w:r>
      <w:r>
        <w:rPr>
          <w:rFonts w:eastAsia="Times New Roman" w:cs="Calibri" w:ascii="Calibri" w:hAnsi="Calibri"/>
          <w:b/>
          <w:color w:val="222222"/>
          <w:lang w:eastAsia="sk-SK"/>
        </w:rPr>
        <w:t>STREDISKO HUTNÝ MATERIÁL</w:t>
      </w:r>
    </w:p>
    <w:p>
      <w:pPr>
        <w:pStyle w:val="Normal"/>
        <w:shd w:fill="FFFFFF" w:val="clear"/>
        <w:suppressAutoHyphens w:val="false"/>
        <w:spacing w:lineRule="atLeast" w:line="263" w:before="301" w:after="125"/>
        <w:jc w:val="both"/>
        <w:rPr>
          <w:rFonts w:eastAsia="Times New Roman" w:cs="Calibri" w:ascii="Calibri" w:hAnsi="Calibri"/>
          <w:color w:val="222222"/>
          <w:lang w:eastAsia="sk-SK"/>
        </w:rPr>
      </w:pPr>
      <w:r>
        <w:rPr>
          <w:rFonts w:eastAsia="Times New Roman" w:cs="Calibri" w:ascii="Calibri" w:hAnsi="Calibri"/>
          <w:color w:val="222222"/>
          <w:lang w:eastAsia="sk-SK"/>
        </w:rPr>
        <w:t>Tomuto na skladovanie a manipuláciu náročnému sortimentu máme prispôsobené sklady, ktoré sú vybavené žeriavmi s nosnosťou až 8 ton, čo uľahčuje a urýchľuje manipuláciu s tovarom.</w:t>
      </w:r>
    </w:p>
    <w:p>
      <w:pPr>
        <w:pStyle w:val="Normal"/>
        <w:shd w:fill="FFFFFF" w:val="clear"/>
        <w:suppressAutoHyphens w:val="false"/>
        <w:spacing w:lineRule="atLeast" w:line="263" w:before="0" w:after="0"/>
        <w:rPr>
          <w:rFonts w:eastAsia="Times New Roman" w:cs="Calibri" w:ascii="Calibri" w:hAnsi="Calibri"/>
          <w:color w:val="222222"/>
          <w:lang w:eastAsia="sk-SK"/>
        </w:rPr>
      </w:pPr>
      <w:r>
        <w:rPr>
          <w:rFonts w:eastAsia="Times New Roman" w:cs="Calibri" w:ascii="Calibri" w:hAnsi="Calibri"/>
          <w:color w:val="222222"/>
          <w:lang w:eastAsia="sk-SK"/>
        </w:rPr>
        <w:t>V ponuke máme </w:t>
      </w:r>
      <w:r>
        <w:rPr>
          <w:rFonts w:eastAsia="Times New Roman" w:cs="Calibri" w:ascii="Calibri" w:hAnsi="Calibri"/>
          <w:b/>
          <w:bCs/>
          <w:color w:val="222222"/>
          <w:lang w:eastAsia="sk-SK"/>
        </w:rPr>
        <w:t>širokú škálu</w:t>
      </w:r>
      <w:r>
        <w:rPr>
          <w:rFonts w:eastAsia="Times New Roman" w:cs="Calibri" w:ascii="Calibri" w:hAnsi="Calibri"/>
          <w:color w:val="222222"/>
          <w:lang w:eastAsia="sk-SK"/>
        </w:rPr>
        <w:t> hutníckeho materiálu od renomovaných výrobcov a dodávateľov. Širokú škálu týchto produktov držíme prevažne skladom, prípadne vieme zabezpečiť rýchlu dodávku.</w:t>
        <w:br/>
        <w:t>Predávame betonársku oceľ hrebienkovú (roxory), zvárané siete, drôty, oceľové rúry čierne, bezšvíkové, pozinkované, tyče profilovaného prierezu, uzavreté profily (v štvorcových, obdĺžnikových prierezoch alebo, T, L, Z), rôzne druhy plechov v tabuliach a vo zvitkoch.</w:t>
      </w:r>
    </w:p>
    <w:p>
      <w:pPr>
        <w:pStyle w:val="Normal"/>
        <w:shd w:fill="FFFFFF" w:val="clear"/>
        <w:suppressAutoHyphens w:val="false"/>
        <w:spacing w:lineRule="atLeast" w:line="263" w:before="301" w:after="125"/>
        <w:jc w:val="both"/>
        <w:rPr>
          <w:rFonts w:eastAsia="Times New Roman" w:cs="Calibri" w:ascii="Calibri" w:hAnsi="Calibri"/>
          <w:color w:val="222222"/>
          <w:lang w:eastAsia="sk-SK"/>
        </w:rPr>
      </w:pPr>
      <w:r>
        <w:rPr>
          <w:rFonts w:eastAsia="Times New Roman" w:cs="Calibri" w:ascii="Calibri" w:hAnsi="Calibri"/>
          <w:color w:val="222222"/>
          <w:lang w:eastAsia="sk-SK"/>
        </w:rPr>
        <w:t>Materiál na počkanie delíme, v prípade veľkých množstiev nadelíme na objednávku, našimi dopravnými prostriedkami vieme dopraviť tovary 12 metrovej dĺžky.</w:t>
      </w:r>
    </w:p>
    <w:p>
      <w:pPr>
        <w:pStyle w:val="Normal"/>
        <w:shd w:fill="FFFFFF" w:val="clear"/>
        <w:suppressAutoHyphens w:val="false"/>
        <w:spacing w:lineRule="atLeast" w:line="263" w:before="301" w:after="125"/>
        <w:jc w:val="both"/>
        <w:rPr>
          <w:rFonts w:eastAsia="Times New Roman" w:cs="Calibri" w:ascii="Calibri" w:hAnsi="Calibri"/>
          <w:color w:val="222222"/>
          <w:lang w:eastAsia="sk-SK"/>
        </w:rPr>
      </w:pPr>
      <w:r>
        <w:rPr>
          <w:rFonts w:eastAsia="Times New Roman" w:cs="Calibri" w:ascii="Calibri" w:hAnsi="Calibri"/>
          <w:color w:val="222222"/>
          <w:lang w:eastAsia="sk-SK"/>
        </w:rPr>
      </w:r>
    </w:p>
    <w:p>
      <w:pPr>
        <w:pStyle w:val="Normal"/>
        <w:spacing w:before="0" w:after="0"/>
        <w:jc w:val="both"/>
        <w:rPr>
          <w:rFonts w:cs="Calibri" w:ascii="Calibri" w:hAnsi="Calibri"/>
          <w:b/>
        </w:rPr>
      </w:pPr>
      <w:r>
        <w:rPr>
          <w:rFonts w:cs="Calibri" w:ascii="Calibri" w:hAnsi="Calibri"/>
          <w:b/>
        </w:rPr>
        <w:t>Výsledky hospodárenia</w:t>
      </w:r>
    </w:p>
    <w:p>
      <w:pPr>
        <w:pStyle w:val="Normal"/>
        <w:spacing w:before="0" w:after="0"/>
        <w:jc w:val="both"/>
        <w:rPr>
          <w:rFonts w:cs="Calibri" w:ascii="Calibri" w:hAnsi="Calibri"/>
          <w:color w:val="000000"/>
        </w:rPr>
      </w:pPr>
      <w:r>
        <w:rPr>
          <w:rFonts w:cs="Calibri" w:ascii="Calibri" w:hAnsi="Calibri"/>
          <w:color w:val="000000"/>
        </w:rPr>
        <w:t>Spoločnosť EKOPRIM istota stavby, s.r.o. za rok 2021 dosiahla tržby z predaja tovaru vo výške 7342 tis. €, čo predstavuje oproti roku 2020 nárast  o 1 143 tis. € a roku 2020 o 2 152 tis.  €. Marža z predaja tovaru predstavovala 14,43 %, čo je o jeden percentuálneho bodu viac ako v roku 2020. Hospodársky výsledok pred zdanením za rok 2021 predstavuje sumu 287 509 €, čo je nárast oproti roku 2020 o 208 tis. €.</w:t>
      </w:r>
    </w:p>
    <w:p>
      <w:pPr>
        <w:pStyle w:val="Normal"/>
        <w:suppressAutoHyphens w:val="false"/>
        <w:spacing w:lineRule="auto" w:line="240" w:before="0" w:after="0"/>
        <w:jc w:val="both"/>
        <w:rPr>
          <w:rFonts w:eastAsia="Times New Roman" w:cs="Calibri" w:ascii="Calibri" w:hAnsi="Calibri"/>
          <w:b/>
          <w:bCs/>
          <w:color w:val="0000FF"/>
          <w:lang w:eastAsia="sk-SK"/>
        </w:rPr>
      </w:pPr>
      <w:r>
        <w:rPr>
          <w:rFonts w:eastAsia="Times New Roman" w:cs="Calibri" w:ascii="Calibri" w:hAnsi="Calibri"/>
          <w:b/>
          <w:bCs/>
          <w:color w:val="0000FF"/>
          <w:lang w:eastAsia="sk-SK"/>
        </w:rPr>
      </w:r>
    </w:p>
    <w:p>
      <w:pPr>
        <w:pStyle w:val="Normal"/>
        <w:suppressAutoHyphens w:val="false"/>
        <w:spacing w:lineRule="auto" w:line="240" w:before="0" w:after="0"/>
        <w:jc w:val="both"/>
        <w:rPr>
          <w:rFonts w:eastAsia="Times New Roman" w:cs="Calibri" w:ascii="Calibri" w:hAnsi="Calibri"/>
          <w:b/>
          <w:bCs/>
          <w:color w:val="0000FF"/>
          <w:lang w:eastAsia="sk-SK"/>
        </w:rPr>
      </w:pPr>
      <w:r>
        <w:rPr>
          <w:rFonts w:eastAsia="Times New Roman" w:cs="Calibri" w:ascii="Calibri" w:hAnsi="Calibri"/>
          <w:b/>
          <w:bCs/>
          <w:color w:val="0000FF"/>
          <w:lang w:eastAsia="sk-SK"/>
        </w:rPr>
        <w:t>Hospodárenie spoločnosti v tis. eur</w:t>
      </w:r>
    </w:p>
    <w:tbl>
      <w:tblPr>
        <w:jc w:val="left"/>
        <w:tblInd w:w="70" w:type="dxa"/>
        <w:tblBorders>
          <w:top w:val="single" w:sz="8" w:space="0" w:color="000000"/>
          <w:left w:val="single" w:sz="8" w:space="0" w:color="000000"/>
          <w:bottom w:val="single" w:sz="8" w:space="0" w:color="000000"/>
          <w:insideH w:val="single" w:sz="8" w:space="0" w:color="000000"/>
          <w:right w:val="nil"/>
          <w:insideV w:val="nil"/>
        </w:tblBorders>
        <w:tblCellMar>
          <w:top w:w="0" w:type="dxa"/>
          <w:left w:w="60" w:type="dxa"/>
          <w:bottom w:w="0" w:type="dxa"/>
          <w:right w:w="70" w:type="dxa"/>
        </w:tblCellMar>
      </w:tblPr>
      <w:tblGrid>
        <w:gridCol w:w="3580"/>
        <w:gridCol w:w="1240"/>
        <w:gridCol w:w="1140"/>
        <w:gridCol w:w="1120"/>
        <w:gridCol w:w="1140"/>
      </w:tblGrid>
      <w:tr>
        <w:trPr>
          <w:trHeight w:val="810" w:hRule="atLeast"/>
          <w:cantSplit w:val="false"/>
        </w:trPr>
        <w:tc>
          <w:tcPr>
            <w:tcW w:w="358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Prehľad o hospodárení</w:t>
            </w:r>
          </w:p>
        </w:tc>
        <w:tc>
          <w:tcPr>
            <w:tcW w:w="124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31.12.2018</w:t>
            </w:r>
          </w:p>
        </w:tc>
        <w:tc>
          <w:tcPr>
            <w:tcW w:w="114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31.12.2019</w:t>
            </w:r>
          </w:p>
        </w:tc>
        <w:tc>
          <w:tcPr>
            <w:tcW w:w="112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30.12.2020</w:t>
            </w:r>
          </w:p>
        </w:tc>
        <w:tc>
          <w:tcPr>
            <w:tcW w:w="1140" w:type="dxa"/>
            <w:tcBorders>
              <w:top w:val="single" w:sz="8" w:space="0" w:color="000000"/>
              <w:left w:val="single" w:sz="8" w:space="0" w:color="000000"/>
              <w:bottom w:val="single" w:sz="8" w:space="0" w:color="000000"/>
              <w:insideH w:val="single" w:sz="8" w:space="0" w:color="000000"/>
              <w:right w:val="single" w:sz="8" w:space="0" w:color="000000"/>
              <w:insideV w:val="single" w:sz="8" w:space="0" w:color="000000"/>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31.12.2021</w:t>
            </w:r>
          </w:p>
        </w:tc>
      </w:tr>
      <w:tr>
        <w:trPr>
          <w:trHeight w:val="330" w:hRule="atLeast"/>
          <w:cantSplit w:val="false"/>
        </w:trPr>
        <w:tc>
          <w:tcPr>
            <w:tcW w:w="358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tržby z predaja tovaru</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4 865 999</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5 189 517</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6 198 537</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7 341 592</w:t>
            </w:r>
          </w:p>
        </w:tc>
      </w:tr>
      <w:tr>
        <w:trPr>
          <w:trHeight w:val="345" w:hRule="atLeast"/>
          <w:cantSplit w:val="false"/>
        </w:trPr>
        <w:tc>
          <w:tcPr>
            <w:tcW w:w="358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náklady na predaný tovar</w:t>
            </w:r>
          </w:p>
        </w:tc>
        <w:tc>
          <w:tcPr>
            <w:tcW w:w="124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4 217 622</w:t>
            </w:r>
          </w:p>
        </w:tc>
        <w:tc>
          <w:tcPr>
            <w:tcW w:w="114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4 451 170</w:t>
            </w:r>
          </w:p>
        </w:tc>
        <w:tc>
          <w:tcPr>
            <w:tcW w:w="112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5 365 853</w:t>
            </w:r>
          </w:p>
        </w:tc>
        <w:tc>
          <w:tcPr>
            <w:tcW w:w="1140" w:type="dxa"/>
            <w:tcBorders>
              <w:top w:val="nil"/>
              <w:left w:val="single" w:sz="8" w:space="0" w:color="000000"/>
              <w:bottom w:val="nil"/>
              <w:insideH w:val="nil"/>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6 281 905</w:t>
            </w:r>
          </w:p>
        </w:tc>
      </w:tr>
      <w:tr>
        <w:trPr>
          <w:trHeight w:val="345" w:hRule="atLeast"/>
          <w:cantSplit w:val="false"/>
        </w:trPr>
        <w:tc>
          <w:tcPr>
            <w:tcW w:w="3580" w:type="dxa"/>
            <w:tcBorders>
              <w:top w:val="single" w:sz="8" w:space="0" w:color="000000"/>
              <w:left w:val="single" w:sz="8" w:space="0" w:color="000000"/>
              <w:bottom w:val="single" w:sz="8" w:space="0" w:color="000000"/>
              <w:insideH w:val="single" w:sz="8" w:space="0" w:color="000000"/>
              <w:right w:val="nil"/>
              <w:insideV w:val="nil"/>
            </w:tcBorders>
            <w:shd w:fill="EBF1DE"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obchodná marža</w:t>
            </w:r>
          </w:p>
        </w:tc>
        <w:tc>
          <w:tcPr>
            <w:tcW w:w="1240" w:type="dxa"/>
            <w:tcBorders>
              <w:top w:val="single" w:sz="8" w:space="0" w:color="000000"/>
              <w:left w:val="single" w:sz="8" w:space="0" w:color="000000"/>
              <w:bottom w:val="single" w:sz="8" w:space="0" w:color="000000"/>
              <w:insideH w:val="single" w:sz="8" w:space="0" w:color="000000"/>
              <w:right w:val="nil"/>
              <w:insideV w:val="nil"/>
            </w:tcBorders>
            <w:shd w:fill="EBF1DE"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648 377</w:t>
            </w:r>
          </w:p>
        </w:tc>
        <w:tc>
          <w:tcPr>
            <w:tcW w:w="1140" w:type="dxa"/>
            <w:tcBorders>
              <w:top w:val="single" w:sz="8" w:space="0" w:color="000000"/>
              <w:left w:val="single" w:sz="8" w:space="0" w:color="000000"/>
              <w:bottom w:val="single" w:sz="8" w:space="0" w:color="000000"/>
              <w:insideH w:val="single" w:sz="8" w:space="0" w:color="000000"/>
              <w:right w:val="nil"/>
              <w:insideV w:val="nil"/>
            </w:tcBorders>
            <w:shd w:fill="EBF1DE"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738 347</w:t>
            </w:r>
          </w:p>
        </w:tc>
        <w:tc>
          <w:tcPr>
            <w:tcW w:w="1120" w:type="dxa"/>
            <w:tcBorders>
              <w:top w:val="single" w:sz="8" w:space="0" w:color="000000"/>
              <w:left w:val="single" w:sz="8" w:space="0" w:color="000000"/>
              <w:bottom w:val="single" w:sz="8" w:space="0" w:color="000000"/>
              <w:insideH w:val="single" w:sz="8" w:space="0" w:color="000000"/>
              <w:right w:val="nil"/>
              <w:insideV w:val="nil"/>
            </w:tcBorders>
            <w:shd w:fill="EBF1DE"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832 684</w:t>
            </w:r>
          </w:p>
        </w:tc>
        <w:tc>
          <w:tcPr>
            <w:tcW w:w="1140" w:type="dxa"/>
            <w:tcBorders>
              <w:top w:val="single" w:sz="8" w:space="0" w:color="000000"/>
              <w:left w:val="single" w:sz="8" w:space="0" w:color="000000"/>
              <w:bottom w:val="single" w:sz="8" w:space="0" w:color="000000"/>
              <w:insideH w:val="single" w:sz="8" w:space="0" w:color="000000"/>
              <w:right w:val="single" w:sz="8" w:space="0" w:color="000000"/>
              <w:insideV w:val="single" w:sz="8" w:space="0" w:color="000000"/>
            </w:tcBorders>
            <w:shd w:fill="EBF1DE"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1 059 687</w:t>
            </w:r>
          </w:p>
        </w:tc>
      </w:tr>
      <w:tr>
        <w:trPr>
          <w:trHeight w:val="54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Výroba spolu (tržby za vlastné výrobky a služby)</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220 129</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96 561</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130 987</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101 981</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Výrobná spotreba</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335 746</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309 686</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316 237</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331 306</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Pridaná hodnota</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532 760</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525 222</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647 434</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830 362</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Osobné náklady</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308 214</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382 532</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351 128</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374 294</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odpisy</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33 489</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54 114</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73 647</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84 845</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výsledok z hosp činnosti</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178 662</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49 885</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119 666</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325 332</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výsledok z fin činnosti</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-17 695</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-32 388</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-40 628</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-37 823</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Výsledok hosp za účet obdobie</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123 575</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15 726</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61 977</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226 692</w:t>
            </w:r>
          </w:p>
        </w:tc>
      </w:tr>
      <w:tr>
        <w:trPr>
          <w:trHeight w:val="345" w:hRule="atLeast"/>
          <w:cantSplit w:val="false"/>
        </w:trPr>
        <w:tc>
          <w:tcPr>
            <w:tcW w:w="358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Výsledok hosp pred zdanením</w:t>
            </w:r>
          </w:p>
        </w:tc>
        <w:tc>
          <w:tcPr>
            <w:tcW w:w="124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160 967</w:t>
            </w:r>
          </w:p>
        </w:tc>
        <w:tc>
          <w:tcPr>
            <w:tcW w:w="114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17 497</w:t>
            </w:r>
          </w:p>
        </w:tc>
        <w:tc>
          <w:tcPr>
            <w:tcW w:w="112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79 038</w:t>
            </w:r>
          </w:p>
        </w:tc>
        <w:tc>
          <w:tcPr>
            <w:tcW w:w="1140" w:type="dxa"/>
            <w:tcBorders>
              <w:top w:val="nil"/>
              <w:left w:val="single" w:sz="8" w:space="0" w:color="000000"/>
              <w:bottom w:val="single" w:sz="8" w:space="0" w:color="000000"/>
              <w:insideH w:val="single" w:sz="8"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287 509</w:t>
            </w:r>
          </w:p>
        </w:tc>
      </w:tr>
    </w:tbl>
    <w:p>
      <w:pPr>
        <w:pStyle w:val="Normal"/>
        <w:suppressAutoHyphens w:val="false"/>
        <w:spacing w:lineRule="auto" w:line="240" w:before="0" w:after="0"/>
        <w:jc w:val="both"/>
        <w:rPr>
          <w:rFonts w:eastAsia="Times New Roman"/>
          <w:b/>
          <w:bCs/>
          <w:color w:val="0000FF"/>
          <w:sz w:val="20"/>
          <w:szCs w:val="20"/>
          <w:lang w:eastAsia="sk-SK"/>
        </w:rPr>
      </w:pPr>
      <w:r>
        <w:rPr>
          <w:rFonts w:eastAsia="Times New Roman"/>
          <w:b/>
          <w:bCs/>
          <w:color w:val="0000FF"/>
          <w:sz w:val="20"/>
          <w:szCs w:val="20"/>
          <w:lang w:eastAsia="sk-SK"/>
        </w:rPr>
      </w:r>
    </w:p>
    <w:p>
      <w:pPr>
        <w:pStyle w:val="Normal"/>
        <w:suppressAutoHyphens w:val="false"/>
        <w:spacing w:lineRule="auto" w:line="240" w:before="0" w:after="0"/>
        <w:jc w:val="both"/>
        <w:rPr>
          <w:rFonts w:eastAsia="Times New Roman" w:cs="Calibri" w:ascii="Calibri" w:hAnsi="Calibri"/>
          <w:color w:val="000000"/>
          <w:lang w:eastAsia="sk-SK"/>
        </w:rPr>
      </w:pPr>
      <w:r>
        <w:rPr>
          <w:rFonts w:eastAsia="Times New Roman" w:cs="Calibri" w:ascii="Calibri" w:hAnsi="Calibri"/>
          <w:color w:val="000000"/>
          <w:lang w:eastAsia="sk-SK"/>
        </w:rPr>
        <w:t xml:space="preserve">Oproti roku 2020 vzrástol podiel hospodárskeho výsledku pred zdanením k tržbám o 2,61 percentuálneho bodu na úroveň 3,86 percent. Vzrástla doba inkasa pohľadávok o 18 dní oproti roku 2020 na 90 dní splatnosti. Obrakovosť zásob sa stabilne udržuje na úrovní 60 dní. </w:t>
      </w:r>
    </w:p>
    <w:p>
      <w:pPr>
        <w:pStyle w:val="Normal"/>
        <w:suppressAutoHyphens w:val="false"/>
        <w:spacing w:lineRule="auto" w:line="240" w:before="0" w:after="0"/>
        <w:jc w:val="both"/>
        <w:rPr>
          <w:rFonts w:eastAsia="Times New Roman" w:cs="Calibri" w:ascii="Calibri" w:hAnsi="Calibri"/>
          <w:color w:val="000000"/>
          <w:lang w:eastAsia="sk-SK"/>
        </w:rPr>
      </w:pPr>
      <w:r>
        <w:rPr>
          <w:rFonts w:eastAsia="Times New Roman" w:cs="Calibri" w:ascii="Calibri" w:hAnsi="Calibri"/>
          <w:color w:val="000000"/>
          <w:lang w:eastAsia="sk-SK"/>
        </w:rPr>
      </w:r>
    </w:p>
    <w:tbl>
      <w:tblPr>
        <w:jc w:val="left"/>
        <w:tblInd w:w="70" w:type="dxa"/>
        <w:tblBorders>
          <w:top w:val="single" w:sz="8" w:space="0" w:color="000000"/>
          <w:left w:val="single" w:sz="8" w:space="0" w:color="000000"/>
          <w:bottom w:val="single" w:sz="8" w:space="0" w:color="000000"/>
          <w:insideH w:val="single" w:sz="8" w:space="0" w:color="000000"/>
          <w:right w:val="nil"/>
          <w:insideV w:val="nil"/>
        </w:tblBorders>
        <w:tblCellMar>
          <w:top w:w="0" w:type="dxa"/>
          <w:left w:w="60" w:type="dxa"/>
          <w:bottom w:w="0" w:type="dxa"/>
          <w:right w:w="70" w:type="dxa"/>
        </w:tblCellMar>
      </w:tblPr>
      <w:tblGrid>
        <w:gridCol w:w="3580"/>
        <w:gridCol w:w="1240"/>
        <w:gridCol w:w="1140"/>
        <w:gridCol w:w="1120"/>
        <w:gridCol w:w="1140"/>
      </w:tblGrid>
      <w:tr>
        <w:trPr>
          <w:trHeight w:val="810" w:hRule="atLeast"/>
          <w:cantSplit w:val="false"/>
        </w:trPr>
        <w:tc>
          <w:tcPr>
            <w:tcW w:w="358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Analýza</w:t>
            </w:r>
          </w:p>
        </w:tc>
        <w:tc>
          <w:tcPr>
            <w:tcW w:w="124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31.12.2018</w:t>
            </w:r>
          </w:p>
        </w:tc>
        <w:tc>
          <w:tcPr>
            <w:tcW w:w="114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31.12.2019</w:t>
            </w:r>
          </w:p>
        </w:tc>
        <w:tc>
          <w:tcPr>
            <w:tcW w:w="112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30.12.2020</w:t>
            </w:r>
          </w:p>
        </w:tc>
        <w:tc>
          <w:tcPr>
            <w:tcW w:w="1140" w:type="dxa"/>
            <w:tcBorders>
              <w:top w:val="single" w:sz="8" w:space="0" w:color="000000"/>
              <w:left w:val="single" w:sz="8" w:space="0" w:color="000000"/>
              <w:bottom w:val="single" w:sz="8" w:space="0" w:color="000000"/>
              <w:insideH w:val="single" w:sz="8" w:space="0" w:color="000000"/>
              <w:right w:val="single" w:sz="8" w:space="0" w:color="000000"/>
              <w:insideV w:val="single" w:sz="8" w:space="0" w:color="000000"/>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31.12.2021</w:t>
            </w:r>
          </w:p>
        </w:tc>
      </w:tr>
      <w:tr>
        <w:trPr>
          <w:trHeight w:val="54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celková likvidita v % (opt 170%) podiel obež majetku a kr. záväzkov</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261,39</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177,12</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226,84</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171,64</w:t>
            </w:r>
          </w:p>
        </w:tc>
      </w:tr>
      <w:tr>
        <w:trPr>
          <w:trHeight w:val="54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bežná likvidita v % (opt 120%) podiel obež majetku bez zásob a kr. záväzkov</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125,63</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104,05</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128,68</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95,43</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podiel cudzích zdrojov k aktívam (&lt;80%)</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47,36</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61,09</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63,25</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63,99</w:t>
            </w:r>
          </w:p>
        </w:tc>
      </w:tr>
      <w:tr>
        <w:trPr>
          <w:trHeight w:val="330" w:hRule="atLeast"/>
          <w:cantSplit w:val="false"/>
        </w:trPr>
        <w:tc>
          <w:tcPr>
            <w:tcW w:w="358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tržby z predaja tovaru</w:t>
            </w:r>
          </w:p>
        </w:tc>
        <w:tc>
          <w:tcPr>
            <w:tcW w:w="124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4 865 999</w:t>
            </w:r>
          </w:p>
        </w:tc>
        <w:tc>
          <w:tcPr>
            <w:tcW w:w="114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5 189 517</w:t>
            </w:r>
          </w:p>
        </w:tc>
        <w:tc>
          <w:tcPr>
            <w:tcW w:w="112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6 198 537</w:t>
            </w:r>
          </w:p>
        </w:tc>
        <w:tc>
          <w:tcPr>
            <w:tcW w:w="1140" w:type="dxa"/>
            <w:tcBorders>
              <w:top w:val="nil"/>
              <w:left w:val="single" w:sz="8" w:space="0" w:color="000000"/>
              <w:bottom w:val="nil"/>
              <w:insideH w:val="nil"/>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7 341 592</w:t>
            </w:r>
          </w:p>
        </w:tc>
      </w:tr>
      <w:tr>
        <w:trPr>
          <w:trHeight w:val="345" w:hRule="atLeast"/>
          <w:cantSplit w:val="false"/>
        </w:trPr>
        <w:tc>
          <w:tcPr>
            <w:tcW w:w="358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náklady na predaný tovar</w:t>
            </w:r>
          </w:p>
        </w:tc>
        <w:tc>
          <w:tcPr>
            <w:tcW w:w="124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4 217 622</w:t>
            </w:r>
          </w:p>
        </w:tc>
        <w:tc>
          <w:tcPr>
            <w:tcW w:w="114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4 451 170</w:t>
            </w:r>
          </w:p>
        </w:tc>
        <w:tc>
          <w:tcPr>
            <w:tcW w:w="112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5 365 853</w:t>
            </w:r>
          </w:p>
        </w:tc>
        <w:tc>
          <w:tcPr>
            <w:tcW w:w="1140" w:type="dxa"/>
            <w:tcBorders>
              <w:top w:val="single" w:sz="4" w:space="0" w:color="000000"/>
              <w:left w:val="single" w:sz="8" w:space="0" w:color="000000"/>
              <w:bottom w:val="nil"/>
              <w:insideH w:val="nil"/>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sz w:val="20"/>
                <w:szCs w:val="20"/>
                <w:lang w:eastAsia="sk-SK"/>
              </w:rPr>
            </w:pPr>
            <w:r>
              <w:rPr>
                <w:rFonts w:eastAsia="Times New Roman" w:cs="Calibri" w:ascii="Calibri" w:hAnsi="Calibri"/>
                <w:sz w:val="20"/>
                <w:szCs w:val="20"/>
                <w:lang w:eastAsia="sk-SK"/>
              </w:rPr>
              <w:t>6 281 905</w:t>
            </w:r>
          </w:p>
        </w:tc>
      </w:tr>
      <w:tr>
        <w:trPr>
          <w:trHeight w:val="555" w:hRule="atLeast"/>
          <w:cantSplit w:val="false"/>
        </w:trPr>
        <w:tc>
          <w:tcPr>
            <w:tcW w:w="3580" w:type="dxa"/>
            <w:tcBorders>
              <w:top w:val="single" w:sz="8" w:space="0" w:color="000000"/>
              <w:left w:val="single" w:sz="8" w:space="0" w:color="000000"/>
              <w:bottom w:val="single" w:sz="8" w:space="0" w:color="000000"/>
              <w:insideH w:val="single" w:sz="8" w:space="0" w:color="000000"/>
              <w:right w:val="nil"/>
              <w:insideV w:val="nil"/>
            </w:tcBorders>
            <w:shd w:fill="FFFFFF" w:val="clear"/>
            <w:tcMar>
              <w:left w:w="60" w:type="dxa"/>
            </w:tcMar>
            <w:vAlign w:val="bottom"/>
          </w:tcPr>
          <w:p>
            <w:pPr>
              <w:pStyle w:val="Normal"/>
              <w:suppressAutoHyphens w:val="false"/>
              <w:spacing w:lineRule="auto" w:line="240" w:before="0" w:after="0"/>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zisk z predaja tovaru v eur (tržby za tovar mínus náklady na predaný tovar)</w:t>
            </w:r>
          </w:p>
        </w:tc>
        <w:tc>
          <w:tcPr>
            <w:tcW w:w="1240" w:type="dxa"/>
            <w:tcBorders>
              <w:top w:val="single" w:sz="8" w:space="0" w:color="000000"/>
              <w:left w:val="single" w:sz="8" w:space="0" w:color="000000"/>
              <w:bottom w:val="single" w:sz="8" w:space="0" w:color="000000"/>
              <w:insideH w:val="single" w:sz="8" w:space="0" w:color="000000"/>
              <w:right w:val="nil"/>
              <w:insideV w:val="nil"/>
            </w:tcBorders>
            <w:shd w:fill="FFFFFF"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648 377</w:t>
            </w:r>
          </w:p>
        </w:tc>
        <w:tc>
          <w:tcPr>
            <w:tcW w:w="1140" w:type="dxa"/>
            <w:tcBorders>
              <w:top w:val="single" w:sz="8" w:space="0" w:color="000000"/>
              <w:left w:val="single" w:sz="8" w:space="0" w:color="000000"/>
              <w:bottom w:val="single" w:sz="8" w:space="0" w:color="000000"/>
              <w:insideH w:val="single" w:sz="8" w:space="0" w:color="000000"/>
              <w:right w:val="nil"/>
              <w:insideV w:val="nil"/>
            </w:tcBorders>
            <w:shd w:fill="FFFFFF"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738 347</w:t>
            </w:r>
          </w:p>
        </w:tc>
        <w:tc>
          <w:tcPr>
            <w:tcW w:w="1120" w:type="dxa"/>
            <w:tcBorders>
              <w:top w:val="single" w:sz="8" w:space="0" w:color="000000"/>
              <w:left w:val="single" w:sz="8" w:space="0" w:color="000000"/>
              <w:bottom w:val="single" w:sz="8" w:space="0" w:color="000000"/>
              <w:insideH w:val="single" w:sz="8" w:space="0" w:color="000000"/>
              <w:right w:val="nil"/>
              <w:insideV w:val="nil"/>
            </w:tcBorders>
            <w:shd w:fill="FFFFFF"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832 684</w:t>
            </w:r>
          </w:p>
        </w:tc>
        <w:tc>
          <w:tcPr>
            <w:tcW w:w="1140" w:type="dxa"/>
            <w:tcBorders>
              <w:top w:val="single" w:sz="8" w:space="0" w:color="000000"/>
              <w:left w:val="single" w:sz="8" w:space="0" w:color="000000"/>
              <w:bottom w:val="single" w:sz="8" w:space="0" w:color="000000"/>
              <w:insideH w:val="single" w:sz="8" w:space="0" w:color="000000"/>
              <w:right w:val="single" w:sz="8" w:space="0" w:color="000000"/>
              <w:insideV w:val="single" w:sz="8" w:space="0" w:color="000000"/>
            </w:tcBorders>
            <w:shd w:fill="FFFFFF"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1 059 687</w:t>
            </w:r>
          </w:p>
        </w:tc>
      </w:tr>
      <w:tr>
        <w:trPr>
          <w:trHeight w:val="1050" w:hRule="atLeast"/>
          <w:cantSplit w:val="false"/>
        </w:trPr>
        <w:tc>
          <w:tcPr>
            <w:tcW w:w="358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obchodná marža (percentuálne vyjadrenie k tržbe za tovar = počíta sa zhora, obchodná marža je vždy menšia ako obchodná prirážka)</w:t>
            </w:r>
          </w:p>
        </w:tc>
        <w:tc>
          <w:tcPr>
            <w:tcW w:w="124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13,32</w:t>
            </w:r>
          </w:p>
        </w:tc>
        <w:tc>
          <w:tcPr>
            <w:tcW w:w="114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14,23</w:t>
            </w:r>
          </w:p>
        </w:tc>
        <w:tc>
          <w:tcPr>
            <w:tcW w:w="112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13,43</w:t>
            </w:r>
          </w:p>
        </w:tc>
        <w:tc>
          <w:tcPr>
            <w:tcW w:w="1140" w:type="dxa"/>
            <w:tcBorders>
              <w:top w:val="nil"/>
              <w:left w:val="single" w:sz="8" w:space="0" w:color="000000"/>
              <w:bottom w:val="nil"/>
              <w:insideH w:val="nil"/>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14,43</w:t>
            </w:r>
          </w:p>
        </w:tc>
      </w:tr>
      <w:tr>
        <w:trPr>
          <w:trHeight w:val="795" w:hRule="atLeast"/>
          <w:cantSplit w:val="false"/>
        </w:trPr>
        <w:tc>
          <w:tcPr>
            <w:tcW w:w="358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obchodná prirážka (percentuálne vyjadrenie z nákupnej ceny = počíta sa zdola)</w:t>
            </w:r>
          </w:p>
        </w:tc>
        <w:tc>
          <w:tcPr>
            <w:tcW w:w="124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15,37</w:t>
            </w:r>
          </w:p>
        </w:tc>
        <w:tc>
          <w:tcPr>
            <w:tcW w:w="114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16,59</w:t>
            </w:r>
          </w:p>
        </w:tc>
        <w:tc>
          <w:tcPr>
            <w:tcW w:w="112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15,52</w:t>
            </w:r>
          </w:p>
        </w:tc>
        <w:tc>
          <w:tcPr>
            <w:tcW w:w="1140" w:type="dxa"/>
            <w:tcBorders>
              <w:top w:val="single" w:sz="4" w:space="0" w:color="000000"/>
              <w:left w:val="single" w:sz="8" w:space="0" w:color="000000"/>
              <w:bottom w:val="nil"/>
              <w:insideH w:val="nil"/>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16,87</w:t>
            </w:r>
          </w:p>
        </w:tc>
      </w:tr>
      <w:tr>
        <w:trPr>
          <w:trHeight w:val="330" w:hRule="atLeast"/>
          <w:cantSplit w:val="false"/>
        </w:trPr>
        <w:tc>
          <w:tcPr>
            <w:tcW w:w="358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ebitda (výsledok z HČ + odpisy)</w:t>
            </w:r>
          </w:p>
        </w:tc>
        <w:tc>
          <w:tcPr>
            <w:tcW w:w="124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212 151</w:t>
            </w:r>
          </w:p>
        </w:tc>
        <w:tc>
          <w:tcPr>
            <w:tcW w:w="114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103 999</w:t>
            </w:r>
          </w:p>
        </w:tc>
        <w:tc>
          <w:tcPr>
            <w:tcW w:w="112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193 313</w:t>
            </w:r>
          </w:p>
        </w:tc>
        <w:tc>
          <w:tcPr>
            <w:tcW w:w="1140" w:type="dxa"/>
            <w:tcBorders>
              <w:top w:val="single" w:sz="4" w:space="0" w:color="000000"/>
              <w:left w:val="single" w:sz="8" w:space="0" w:color="000000"/>
              <w:bottom w:val="nil"/>
              <w:insideH w:val="nil"/>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410 177</w:t>
            </w:r>
          </w:p>
        </w:tc>
      </w:tr>
      <w:tr>
        <w:trPr>
          <w:trHeight w:val="330" w:hRule="atLeast"/>
          <w:cantSplit w:val="false"/>
        </w:trPr>
        <w:tc>
          <w:tcPr>
            <w:tcW w:w="358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podiel EBITDA v tržbách</w:t>
            </w:r>
          </w:p>
        </w:tc>
        <w:tc>
          <w:tcPr>
            <w:tcW w:w="124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96,38</w:t>
            </w:r>
          </w:p>
        </w:tc>
        <w:tc>
          <w:tcPr>
            <w:tcW w:w="114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107,70</w:t>
            </w:r>
          </w:p>
        </w:tc>
        <w:tc>
          <w:tcPr>
            <w:tcW w:w="1120" w:type="dxa"/>
            <w:tcBorders>
              <w:top w:val="single" w:sz="4" w:space="0" w:color="000000"/>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147,58</w:t>
            </w:r>
          </w:p>
        </w:tc>
        <w:tc>
          <w:tcPr>
            <w:tcW w:w="1140" w:type="dxa"/>
            <w:tcBorders>
              <w:top w:val="single" w:sz="4" w:space="0" w:color="000000"/>
              <w:left w:val="single" w:sz="8" w:space="0" w:color="000000"/>
              <w:bottom w:val="nil"/>
              <w:insideH w:val="nil"/>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402,21</w:t>
            </w:r>
          </w:p>
        </w:tc>
      </w:tr>
      <w:tr>
        <w:trPr>
          <w:trHeight w:val="345" w:hRule="atLeast"/>
          <w:cantSplit w:val="false"/>
        </w:trPr>
        <w:tc>
          <w:tcPr>
            <w:tcW w:w="3580" w:type="dxa"/>
            <w:tcBorders>
              <w:top w:val="single" w:sz="4" w:space="0" w:color="000000"/>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podiel HV pred zdanením k tržbám</w:t>
            </w:r>
          </w:p>
        </w:tc>
        <w:tc>
          <w:tcPr>
            <w:tcW w:w="1240" w:type="dxa"/>
            <w:tcBorders>
              <w:top w:val="single" w:sz="4" w:space="0" w:color="000000"/>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3,16</w:t>
            </w:r>
          </w:p>
        </w:tc>
        <w:tc>
          <w:tcPr>
            <w:tcW w:w="1140" w:type="dxa"/>
            <w:tcBorders>
              <w:top w:val="single" w:sz="4" w:space="0" w:color="000000"/>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0,33</w:t>
            </w:r>
          </w:p>
        </w:tc>
        <w:tc>
          <w:tcPr>
            <w:tcW w:w="1120" w:type="dxa"/>
            <w:tcBorders>
              <w:top w:val="single" w:sz="4" w:space="0" w:color="000000"/>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1,25</w:t>
            </w:r>
          </w:p>
        </w:tc>
        <w:tc>
          <w:tcPr>
            <w:tcW w:w="1140" w:type="dxa"/>
            <w:tcBorders>
              <w:top w:val="single" w:sz="4" w:space="0" w:color="000000"/>
              <w:left w:val="single" w:sz="8" w:space="0" w:color="000000"/>
              <w:bottom w:val="single" w:sz="8" w:space="0" w:color="000000"/>
              <w:insideH w:val="single" w:sz="8"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3,86</w:t>
            </w:r>
          </w:p>
        </w:tc>
      </w:tr>
      <w:tr>
        <w:trPr>
          <w:trHeight w:val="810" w:hRule="atLeast"/>
          <w:cantSplit w:val="false"/>
        </w:trPr>
        <w:tc>
          <w:tcPr>
            <w:tcW w:w="358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podiel novovytvorenej hodnoty v tržbách (pridaná hodnota - osobní náklady - odpisy)/tržby</w:t>
            </w:r>
          </w:p>
        </w:tc>
        <w:tc>
          <w:tcPr>
            <w:tcW w:w="124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3,76</w:t>
            </w:r>
          </w:p>
        </w:tc>
        <w:tc>
          <w:tcPr>
            <w:tcW w:w="114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1,68</w:t>
            </w:r>
          </w:p>
        </w:tc>
        <w:tc>
          <w:tcPr>
            <w:tcW w:w="112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3,52</w:t>
            </w:r>
          </w:p>
        </w:tc>
        <w:tc>
          <w:tcPr>
            <w:tcW w:w="1140" w:type="dxa"/>
            <w:tcBorders>
              <w:top w:val="nil"/>
              <w:left w:val="single" w:sz="8" w:space="0" w:color="000000"/>
              <w:bottom w:val="single" w:sz="8" w:space="0" w:color="000000"/>
              <w:insideH w:val="single" w:sz="8"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4,99</w:t>
            </w:r>
          </w:p>
        </w:tc>
      </w:tr>
      <w:tr>
        <w:trPr>
          <w:trHeight w:val="600" w:hRule="atLeast"/>
          <w:cantSplit w:val="false"/>
        </w:trPr>
        <w:tc>
          <w:tcPr>
            <w:tcW w:w="358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doba obratu zásob v dňoch</w:t>
            </w:r>
          </w:p>
        </w:tc>
        <w:tc>
          <w:tcPr>
            <w:tcW w:w="124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61</w:t>
            </w:r>
          </w:p>
        </w:tc>
        <w:tc>
          <w:tcPr>
            <w:tcW w:w="114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61</w:t>
            </w:r>
          </w:p>
        </w:tc>
        <w:tc>
          <w:tcPr>
            <w:tcW w:w="1120" w:type="dxa"/>
            <w:tcBorders>
              <w:top w:val="nil"/>
              <w:left w:val="single" w:sz="8" w:space="0" w:color="000000"/>
              <w:bottom w:val="single" w:sz="8" w:space="0" w:color="000000"/>
              <w:insideH w:val="single" w:sz="8"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60</w:t>
            </w:r>
          </w:p>
        </w:tc>
        <w:tc>
          <w:tcPr>
            <w:tcW w:w="1140" w:type="dxa"/>
            <w:tcBorders>
              <w:top w:val="nil"/>
              <w:left w:val="single" w:sz="8" w:space="0" w:color="000000"/>
              <w:bottom w:val="single" w:sz="8" w:space="0" w:color="000000"/>
              <w:insideH w:val="single" w:sz="8"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60</w:t>
            </w:r>
          </w:p>
        </w:tc>
      </w:tr>
    </w:tbl>
    <w:p>
      <w:pPr>
        <w:pStyle w:val="Normal"/>
        <w:suppressAutoHyphens w:val="false"/>
        <w:spacing w:lineRule="auto" w:line="240" w:before="0" w:after="0"/>
        <w:jc w:val="both"/>
        <w:rPr>
          <w:rFonts w:eastAsia="Times New Roman"/>
          <w:b/>
          <w:bCs/>
          <w:color w:val="0000FF"/>
          <w:sz w:val="20"/>
          <w:szCs w:val="20"/>
          <w:lang w:eastAsia="sk-SK"/>
        </w:rPr>
      </w:pPr>
      <w:r>
        <w:rPr>
          <w:rFonts w:eastAsia="Times New Roman"/>
          <w:b/>
          <w:bCs/>
          <w:color w:val="0000FF"/>
          <w:sz w:val="20"/>
          <w:szCs w:val="20"/>
          <w:lang w:eastAsia="sk-SK"/>
        </w:rPr>
      </w:r>
    </w:p>
    <w:p>
      <w:pPr>
        <w:pStyle w:val="Normal"/>
        <w:suppressAutoHyphens w:val="false"/>
        <w:spacing w:lineRule="auto" w:line="240" w:before="0" w:after="0"/>
        <w:jc w:val="both"/>
        <w:rPr>
          <w:lang w:val="sk-SK" w:eastAsia="sk-SK"/>
        </w:rPr>
      </w:pPr>
      <w:r>
        <w:rPr>
          <w:lang w:val="sk-SK" w:eastAsia="sk-SK"/>
        </w:rPr>
        <w:drawing>
          <wp:inline distT="0" distB="0" distL="0" distR="0">
            <wp:extent cx="4584700" cy="2755900"/>
            <wp:effectExtent l="0" t="0" r="0" b="0"/>
            <wp:docPr id="2"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descr=""/>
                    <pic:cNvPicPr>
                      <a:picLocks noChangeAspect="1" noChangeArrowheads="1"/>
                    </pic:cNvPicPr>
                  </pic:nvPicPr>
                  <pic:blipFill>
                    <a:blip r:embed="rId4"/>
                    <a:stretch>
                      <a:fillRect/>
                    </a:stretch>
                  </pic:blipFill>
                  <pic:spPr bwMode="auto">
                    <a:xfrm>
                      <a:off x="0" y="0"/>
                      <a:ext cx="4584700" cy="2755900"/>
                    </a:xfrm>
                    <a:prstGeom prst="rect">
                      <a:avLst/>
                    </a:prstGeom>
                    <a:noFill/>
                    <a:ln w="9525">
                      <a:noFill/>
                      <a:miter lim="800000"/>
                      <a:headEnd/>
                      <a:tailEnd/>
                    </a:ln>
                  </pic:spPr>
                </pic:pic>
              </a:graphicData>
            </a:graphic>
          </wp:inline>
        </w:drawing>
      </w:r>
    </w:p>
    <w:p>
      <w:pPr>
        <w:pStyle w:val="Normal"/>
        <w:suppressAutoHyphens w:val="false"/>
        <w:spacing w:lineRule="auto" w:line="240" w:before="0" w:after="0"/>
        <w:jc w:val="both"/>
        <w:rPr>
          <w:rFonts w:eastAsia="Times New Roman"/>
          <w:b/>
          <w:bCs/>
          <w:color w:val="0000FF"/>
          <w:sz w:val="20"/>
          <w:szCs w:val="20"/>
          <w:lang w:eastAsia="sk-SK"/>
        </w:rPr>
      </w:pPr>
      <w:r>
        <w:rPr>
          <w:rFonts w:eastAsia="Times New Roman"/>
          <w:b/>
          <w:bCs/>
          <w:color w:val="0000FF"/>
          <w:sz w:val="20"/>
          <w:szCs w:val="20"/>
          <w:lang w:eastAsia="sk-SK"/>
        </w:rPr>
      </w:r>
    </w:p>
    <w:p>
      <w:pPr>
        <w:pStyle w:val="Normal"/>
        <w:suppressAutoHyphens w:val="false"/>
        <w:spacing w:lineRule="auto" w:line="240" w:before="0" w:after="0"/>
        <w:jc w:val="both"/>
        <w:rPr>
          <w:rFonts w:eastAsia="Times New Roman"/>
          <w:b/>
          <w:bCs/>
          <w:color w:val="0000FF"/>
          <w:sz w:val="20"/>
          <w:szCs w:val="20"/>
          <w:lang w:eastAsia="sk-SK"/>
        </w:rPr>
      </w:pPr>
      <w:r>
        <w:rPr>
          <w:rFonts w:eastAsia="Times New Roman"/>
          <w:b/>
          <w:bCs/>
          <w:color w:val="0000FF"/>
          <w:sz w:val="20"/>
          <w:szCs w:val="20"/>
          <w:lang w:eastAsia="sk-SK"/>
        </w:rPr>
        <w:t>Prehľad aktív v tis. eur</w:t>
      </w:r>
    </w:p>
    <w:tbl>
      <w:tblPr>
        <w:jc w:val="left"/>
        <w:tblInd w:w="70" w:type="dxa"/>
        <w:tblBorders>
          <w:top w:val="single" w:sz="8" w:space="0" w:color="000000"/>
          <w:left w:val="single" w:sz="8" w:space="0" w:color="000000"/>
          <w:bottom w:val="single" w:sz="8" w:space="0" w:color="000000"/>
          <w:insideH w:val="single" w:sz="8" w:space="0" w:color="000000"/>
          <w:right w:val="nil"/>
          <w:insideV w:val="nil"/>
        </w:tblBorders>
        <w:tblCellMar>
          <w:top w:w="0" w:type="dxa"/>
          <w:left w:w="60" w:type="dxa"/>
          <w:bottom w:w="0" w:type="dxa"/>
          <w:right w:w="70" w:type="dxa"/>
        </w:tblCellMar>
      </w:tblPr>
      <w:tblGrid>
        <w:gridCol w:w="3580"/>
        <w:gridCol w:w="1240"/>
        <w:gridCol w:w="1140"/>
        <w:gridCol w:w="1120"/>
        <w:gridCol w:w="1140"/>
      </w:tblGrid>
      <w:tr>
        <w:trPr>
          <w:trHeight w:val="810" w:hRule="atLeast"/>
          <w:cantSplit w:val="false"/>
        </w:trPr>
        <w:tc>
          <w:tcPr>
            <w:tcW w:w="358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Štruktúra aktív</w:t>
            </w:r>
          </w:p>
        </w:tc>
        <w:tc>
          <w:tcPr>
            <w:tcW w:w="124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31.12.2018</w:t>
            </w:r>
          </w:p>
        </w:tc>
        <w:tc>
          <w:tcPr>
            <w:tcW w:w="114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31.12.2019</w:t>
            </w:r>
          </w:p>
        </w:tc>
        <w:tc>
          <w:tcPr>
            <w:tcW w:w="112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30.12.2020</w:t>
            </w:r>
          </w:p>
        </w:tc>
        <w:tc>
          <w:tcPr>
            <w:tcW w:w="1140" w:type="dxa"/>
            <w:tcBorders>
              <w:top w:val="single" w:sz="8" w:space="0" w:color="000000"/>
              <w:left w:val="single" w:sz="8" w:space="0" w:color="000000"/>
              <w:bottom w:val="single" w:sz="8" w:space="0" w:color="000000"/>
              <w:insideH w:val="single" w:sz="8" w:space="0" w:color="000000"/>
              <w:right w:val="single" w:sz="8" w:space="0" w:color="000000"/>
              <w:insideV w:val="single" w:sz="8" w:space="0" w:color="000000"/>
            </w:tcBorders>
            <w:shd w:fill="BFBFBF"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31.12.2021</w:t>
            </w:r>
          </w:p>
        </w:tc>
      </w:tr>
      <w:tr>
        <w:trPr>
          <w:trHeight w:val="330" w:hRule="atLeast"/>
          <w:cantSplit w:val="false"/>
        </w:trPr>
        <w:tc>
          <w:tcPr>
            <w:tcW w:w="358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Neobežný majetok</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654 145</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1 061 693</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1 159 565</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1 198 815</w:t>
            </w:r>
          </w:p>
        </w:tc>
      </w:tr>
      <w:tr>
        <w:trPr>
          <w:trHeight w:val="330" w:hRule="atLeast"/>
          <w:cantSplit w:val="false"/>
        </w:trPr>
        <w:tc>
          <w:tcPr>
            <w:tcW w:w="3580" w:type="dxa"/>
            <w:tcBorders>
              <w:top w:val="single" w:sz="4" w:space="0" w:color="000000"/>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z toho: DHM</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654 145</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1 061 693</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1 009 565</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1 078 815</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v tom stavby</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0</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0</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0</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0</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Calibri" w:cs="Calibri" w:ascii="Calibri" w:hAnsi="Calibri"/>
                <w:color w:val="000000"/>
                <w:sz w:val="20"/>
                <w:szCs w:val="20"/>
                <w:lang w:eastAsia="sk-SK"/>
              </w:rPr>
              <w:t xml:space="preserve">        </w:t>
            </w:r>
            <w:r>
              <w:rPr>
                <w:rFonts w:eastAsia="Times New Roman" w:cs="Calibri" w:ascii="Calibri" w:hAnsi="Calibri"/>
                <w:color w:val="000000"/>
                <w:sz w:val="20"/>
                <w:szCs w:val="20"/>
                <w:lang w:eastAsia="sk-SK"/>
              </w:rPr>
              <w:t>stroje</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152 162</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0</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128 790</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66 604</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Calibri" w:cs="Calibri" w:ascii="Calibri" w:hAnsi="Calibri"/>
                <w:color w:val="000000"/>
                <w:sz w:val="20"/>
                <w:szCs w:val="20"/>
                <w:lang w:eastAsia="sk-SK"/>
              </w:rPr>
              <w:t xml:space="preserve">        </w:t>
            </w:r>
            <w:r>
              <w:rPr>
                <w:rFonts w:eastAsia="Times New Roman" w:cs="Calibri" w:ascii="Calibri" w:hAnsi="Calibri"/>
                <w:color w:val="000000"/>
                <w:sz w:val="20"/>
                <w:szCs w:val="20"/>
                <w:lang w:eastAsia="sk-SK"/>
              </w:rPr>
              <w:t>pozemky</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289 500</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778 815</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871 510</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1 005 555</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Calibri" w:cs="Calibri" w:ascii="Calibri" w:hAnsi="Calibri"/>
                <w:color w:val="000000"/>
                <w:sz w:val="20"/>
                <w:szCs w:val="20"/>
                <w:lang w:eastAsia="sk-SK"/>
              </w:rPr>
              <w:t xml:space="preserve">         </w:t>
            </w:r>
            <w:r>
              <w:rPr>
                <w:rFonts w:eastAsia="Times New Roman" w:cs="Calibri" w:ascii="Calibri" w:hAnsi="Calibri"/>
                <w:color w:val="000000"/>
                <w:sz w:val="20"/>
                <w:szCs w:val="20"/>
                <w:lang w:eastAsia="sk-SK"/>
              </w:rPr>
              <w:t>nedokončené investície</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212 483</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54 418</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9 265</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6 656</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obežný majetok</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1 649 911</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2 124 318</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2 396 212</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3 057 221</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z toho: zásoby</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856 903</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876 370</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1 036 915</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1 220 253</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krátkodobé pohľadávky</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517 951</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1 154 908</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1 242 102</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1 829 985</w:t>
            </w:r>
          </w:p>
        </w:tc>
      </w:tr>
      <w:tr>
        <w:trPr>
          <w:trHeight w:val="330" w:hRule="atLeast"/>
          <w:cantSplit w:val="false"/>
        </w:trPr>
        <w:tc>
          <w:tcPr>
            <w:tcW w:w="358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finančné účty</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275 057</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0</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117 195</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6 983</w:t>
            </w:r>
          </w:p>
        </w:tc>
      </w:tr>
      <w:tr>
        <w:trPr>
          <w:trHeight w:val="345" w:hRule="atLeast"/>
          <w:cantSplit w:val="false"/>
        </w:trPr>
        <w:tc>
          <w:tcPr>
            <w:tcW w:w="358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 xml:space="preserve">náklady a príjmy budúcich období </w:t>
            </w:r>
          </w:p>
        </w:tc>
        <w:tc>
          <w:tcPr>
            <w:tcW w:w="124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54 362</w:t>
            </w:r>
          </w:p>
        </w:tc>
        <w:tc>
          <w:tcPr>
            <w:tcW w:w="114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44 755</w:t>
            </w:r>
          </w:p>
        </w:tc>
        <w:tc>
          <w:tcPr>
            <w:tcW w:w="112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33 292</w:t>
            </w:r>
          </w:p>
        </w:tc>
        <w:tc>
          <w:tcPr>
            <w:tcW w:w="1140" w:type="dxa"/>
            <w:tcBorders>
              <w:top w:val="nil"/>
              <w:left w:val="single" w:sz="8" w:space="0" w:color="000000"/>
              <w:bottom w:val="nil"/>
              <w:insideH w:val="nil"/>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36 342</w:t>
            </w:r>
          </w:p>
        </w:tc>
      </w:tr>
      <w:tr>
        <w:trPr>
          <w:trHeight w:val="345" w:hRule="atLeast"/>
          <w:cantSplit w:val="false"/>
        </w:trPr>
        <w:tc>
          <w:tcPr>
            <w:tcW w:w="3580" w:type="dxa"/>
            <w:tcBorders>
              <w:top w:val="single" w:sz="8" w:space="0" w:color="000000"/>
              <w:left w:val="single" w:sz="8" w:space="0" w:color="000000"/>
              <w:bottom w:val="single" w:sz="8" w:space="0" w:color="000000"/>
              <w:insideH w:val="single" w:sz="8" w:space="0" w:color="000000"/>
              <w:right w:val="nil"/>
              <w:insideV w:val="nil"/>
            </w:tcBorders>
            <w:shd w:fill="F2DCDB" w:val="clear"/>
            <w:tcMar>
              <w:left w:w="60" w:type="dxa"/>
            </w:tcMar>
            <w:vAlign w:val="bottom"/>
          </w:tcPr>
          <w:p>
            <w:pPr>
              <w:pStyle w:val="Normal"/>
              <w:suppressAutoHyphens w:val="false"/>
              <w:spacing w:lineRule="auto" w:line="240" w:before="0" w:after="0"/>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spolu majetok</w:t>
            </w:r>
          </w:p>
        </w:tc>
        <w:tc>
          <w:tcPr>
            <w:tcW w:w="1240" w:type="dxa"/>
            <w:tcBorders>
              <w:top w:val="single" w:sz="8" w:space="0" w:color="000000"/>
              <w:left w:val="single" w:sz="8" w:space="0" w:color="000000"/>
              <w:bottom w:val="single" w:sz="8" w:space="0" w:color="000000"/>
              <w:insideH w:val="single" w:sz="8" w:space="0" w:color="000000"/>
              <w:right w:val="nil"/>
              <w:insideV w:val="nil"/>
            </w:tcBorders>
            <w:shd w:fill="F2DCDB"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2 358 418</w:t>
            </w:r>
          </w:p>
        </w:tc>
        <w:tc>
          <w:tcPr>
            <w:tcW w:w="1140" w:type="dxa"/>
            <w:tcBorders>
              <w:top w:val="single" w:sz="8" w:space="0" w:color="000000"/>
              <w:left w:val="single" w:sz="8" w:space="0" w:color="000000"/>
              <w:bottom w:val="single" w:sz="8" w:space="0" w:color="000000"/>
              <w:insideH w:val="single" w:sz="8" w:space="0" w:color="000000"/>
              <w:right w:val="nil"/>
              <w:insideV w:val="nil"/>
            </w:tcBorders>
            <w:shd w:fill="F2DCDB"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3 230 766</w:t>
            </w:r>
          </w:p>
        </w:tc>
        <w:tc>
          <w:tcPr>
            <w:tcW w:w="1120" w:type="dxa"/>
            <w:tcBorders>
              <w:top w:val="single" w:sz="8" w:space="0" w:color="000000"/>
              <w:left w:val="single" w:sz="8" w:space="0" w:color="000000"/>
              <w:bottom w:val="single" w:sz="8" w:space="0" w:color="000000"/>
              <w:insideH w:val="single" w:sz="8" w:space="0" w:color="000000"/>
              <w:right w:val="nil"/>
              <w:insideV w:val="nil"/>
            </w:tcBorders>
            <w:shd w:fill="F2DCDB"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3 589 069</w:t>
            </w:r>
          </w:p>
        </w:tc>
        <w:tc>
          <w:tcPr>
            <w:tcW w:w="1140" w:type="dxa"/>
            <w:tcBorders>
              <w:top w:val="single" w:sz="8" w:space="0" w:color="000000"/>
              <w:left w:val="single" w:sz="8" w:space="0" w:color="000000"/>
              <w:bottom w:val="single" w:sz="8" w:space="0" w:color="000000"/>
              <w:insideH w:val="single" w:sz="8" w:space="0" w:color="000000"/>
              <w:right w:val="single" w:sz="8" w:space="0" w:color="000000"/>
              <w:insideV w:val="single" w:sz="8" w:space="0" w:color="000000"/>
            </w:tcBorders>
            <w:shd w:fill="F2DCDB"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4 292 378</w:t>
            </w:r>
          </w:p>
        </w:tc>
      </w:tr>
    </w:tbl>
    <w:p>
      <w:pPr>
        <w:pStyle w:val="Normal"/>
        <w:suppressAutoHyphens w:val="false"/>
        <w:spacing w:lineRule="auto" w:line="240" w:before="0" w:after="0"/>
        <w:jc w:val="both"/>
        <w:rPr>
          <w:rFonts w:eastAsia="Times New Roman"/>
          <w:b/>
          <w:bCs/>
          <w:color w:val="0000FF"/>
          <w:sz w:val="20"/>
          <w:szCs w:val="20"/>
          <w:lang w:eastAsia="sk-SK"/>
        </w:rPr>
      </w:pPr>
      <w:r>
        <w:rPr>
          <w:rFonts w:eastAsia="Times New Roman"/>
          <w:b/>
          <w:bCs/>
          <w:color w:val="0000FF"/>
          <w:sz w:val="20"/>
          <w:szCs w:val="20"/>
          <w:lang w:eastAsia="sk-SK"/>
        </w:rPr>
      </w:r>
    </w:p>
    <w:p>
      <w:pPr>
        <w:pStyle w:val="Normal"/>
        <w:suppressAutoHyphens w:val="false"/>
        <w:spacing w:lineRule="auto" w:line="240" w:before="0" w:after="0"/>
        <w:jc w:val="both"/>
        <w:rPr>
          <w:lang w:val="sk-SK" w:eastAsia="sk-SK"/>
        </w:rPr>
      </w:pPr>
      <w:r>
        <w:rPr>
          <w:lang w:val="sk-SK" w:eastAsia="sk-SK"/>
        </w:rPr>
        <w:drawing>
          <wp:inline distT="0" distB="0" distL="0" distR="0">
            <wp:extent cx="4584700" cy="2755900"/>
            <wp:effectExtent l="0" t="0" r="0" b="0"/>
            <wp:docPr id="3"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descr=""/>
                    <pic:cNvPicPr>
                      <a:picLocks noChangeAspect="1" noChangeArrowheads="1"/>
                    </pic:cNvPicPr>
                  </pic:nvPicPr>
                  <pic:blipFill>
                    <a:blip r:embed="rId5"/>
                    <a:stretch>
                      <a:fillRect/>
                    </a:stretch>
                  </pic:blipFill>
                  <pic:spPr bwMode="auto">
                    <a:xfrm>
                      <a:off x="0" y="0"/>
                      <a:ext cx="4584700" cy="2755900"/>
                    </a:xfrm>
                    <a:prstGeom prst="rect">
                      <a:avLst/>
                    </a:prstGeom>
                    <a:noFill/>
                    <a:ln w="9525">
                      <a:noFill/>
                      <a:miter lim="800000"/>
                      <a:headEnd/>
                      <a:tailEnd/>
                    </a:ln>
                  </pic:spPr>
                </pic:pic>
              </a:graphicData>
            </a:graphic>
          </wp:inline>
        </w:drawing>
      </w:r>
    </w:p>
    <w:p>
      <w:pPr>
        <w:pStyle w:val="Normal"/>
        <w:suppressAutoHyphens w:val="false"/>
        <w:spacing w:lineRule="auto" w:line="240" w:before="0" w:after="0"/>
        <w:jc w:val="both"/>
        <w:rPr>
          <w:rFonts w:eastAsia="Times New Roman"/>
          <w:b/>
          <w:bCs/>
          <w:color w:val="0000FF"/>
          <w:sz w:val="20"/>
          <w:szCs w:val="20"/>
          <w:lang w:eastAsia="sk-SK"/>
        </w:rPr>
      </w:pPr>
      <w:r>
        <w:rPr>
          <w:rFonts w:eastAsia="Times New Roman"/>
          <w:b/>
          <w:bCs/>
          <w:color w:val="0000FF"/>
          <w:sz w:val="20"/>
          <w:szCs w:val="20"/>
          <w:lang w:eastAsia="sk-SK"/>
        </w:rPr>
      </w:r>
    </w:p>
    <w:p>
      <w:pPr>
        <w:pStyle w:val="Normal"/>
        <w:suppressAutoHyphens w:val="false"/>
        <w:spacing w:lineRule="auto" w:line="240" w:before="0" w:after="0"/>
        <w:jc w:val="both"/>
        <w:rPr>
          <w:rFonts w:eastAsia="Times New Roman"/>
          <w:b/>
          <w:bCs/>
          <w:color w:val="0000FF"/>
          <w:sz w:val="20"/>
          <w:szCs w:val="20"/>
          <w:lang w:eastAsia="sk-SK"/>
        </w:rPr>
      </w:pPr>
      <w:r>
        <w:rPr>
          <w:rFonts w:eastAsia="Times New Roman"/>
          <w:b/>
          <w:bCs/>
          <w:color w:val="0000FF"/>
          <w:sz w:val="20"/>
          <w:szCs w:val="20"/>
          <w:lang w:eastAsia="sk-SK"/>
        </w:rPr>
        <w:t>Prehľad  pasív v tis. eur</w:t>
      </w:r>
    </w:p>
    <w:tbl>
      <w:tblPr>
        <w:jc w:val="left"/>
        <w:tblInd w:w="70" w:type="dxa"/>
        <w:tblBorders>
          <w:top w:val="single" w:sz="8" w:space="0" w:color="000000"/>
          <w:left w:val="single" w:sz="8" w:space="0" w:color="000000"/>
          <w:bottom w:val="single" w:sz="8" w:space="0" w:color="000000"/>
          <w:insideH w:val="single" w:sz="8" w:space="0" w:color="000000"/>
          <w:right w:val="nil"/>
          <w:insideV w:val="nil"/>
        </w:tblBorders>
        <w:tblCellMar>
          <w:top w:w="0" w:type="dxa"/>
          <w:left w:w="60" w:type="dxa"/>
          <w:bottom w:w="0" w:type="dxa"/>
          <w:right w:w="70" w:type="dxa"/>
        </w:tblCellMar>
      </w:tblPr>
      <w:tblGrid>
        <w:gridCol w:w="3745"/>
        <w:gridCol w:w="1240"/>
        <w:gridCol w:w="1140"/>
        <w:gridCol w:w="1120"/>
        <w:gridCol w:w="1140"/>
      </w:tblGrid>
      <w:tr>
        <w:trPr>
          <w:trHeight w:val="810" w:hRule="atLeast"/>
          <w:cantSplit w:val="false"/>
        </w:trPr>
        <w:tc>
          <w:tcPr>
            <w:tcW w:w="3745"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štruktúra pasív</w:t>
            </w:r>
          </w:p>
        </w:tc>
        <w:tc>
          <w:tcPr>
            <w:tcW w:w="124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31.12.2018</w:t>
            </w:r>
          </w:p>
        </w:tc>
        <w:tc>
          <w:tcPr>
            <w:tcW w:w="114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31.12.2019</w:t>
            </w:r>
          </w:p>
        </w:tc>
        <w:tc>
          <w:tcPr>
            <w:tcW w:w="1120" w:type="dxa"/>
            <w:tcBorders>
              <w:top w:val="single" w:sz="8" w:space="0" w:color="000000"/>
              <w:left w:val="single" w:sz="8" w:space="0" w:color="000000"/>
              <w:bottom w:val="single" w:sz="8" w:space="0" w:color="000000"/>
              <w:insideH w:val="single" w:sz="8" w:space="0" w:color="000000"/>
              <w:right w:val="nil"/>
              <w:insideV w:val="nil"/>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30.12.2020</w:t>
            </w:r>
          </w:p>
        </w:tc>
        <w:tc>
          <w:tcPr>
            <w:tcW w:w="1140" w:type="dxa"/>
            <w:tcBorders>
              <w:top w:val="single" w:sz="8" w:space="0" w:color="000000"/>
              <w:left w:val="single" w:sz="8" w:space="0" w:color="000000"/>
              <w:bottom w:val="single" w:sz="8" w:space="0" w:color="000000"/>
              <w:insideH w:val="single" w:sz="8" w:space="0" w:color="000000"/>
              <w:right w:val="single" w:sz="8" w:space="0" w:color="000000"/>
              <w:insideV w:val="single" w:sz="8" w:space="0" w:color="000000"/>
            </w:tcBorders>
            <w:shd w:fill="BFBFBF" w:val="clear"/>
            <w:tcMar>
              <w:left w:w="60" w:type="dxa"/>
            </w:tcMar>
            <w:vAlign w:val="bottom"/>
          </w:tcPr>
          <w:p>
            <w:pPr>
              <w:pStyle w:val="Normal"/>
              <w:suppressAutoHyphens w:val="false"/>
              <w:spacing w:lineRule="auto" w:line="240" w:before="0" w:after="0"/>
              <w:jc w:val="center"/>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31.12.2021</w:t>
            </w:r>
          </w:p>
        </w:tc>
      </w:tr>
      <w:tr>
        <w:trPr>
          <w:trHeight w:val="330" w:hRule="atLeast"/>
          <w:cantSplit w:val="false"/>
        </w:trPr>
        <w:tc>
          <w:tcPr>
            <w:tcW w:w="3745"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vlastné imanie</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1 241 455</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1 257 180</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1 319 157</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1 545 848</w:t>
            </w:r>
          </w:p>
        </w:tc>
      </w:tr>
      <w:tr>
        <w:trPr>
          <w:trHeight w:val="330" w:hRule="atLeast"/>
          <w:cantSplit w:val="false"/>
        </w:trPr>
        <w:tc>
          <w:tcPr>
            <w:tcW w:w="3745" w:type="dxa"/>
            <w:tcBorders>
              <w:top w:val="single" w:sz="4" w:space="0" w:color="000000"/>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z toho ZI</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10 000</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10 000</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10 000</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10 000</w:t>
            </w:r>
          </w:p>
        </w:tc>
      </w:tr>
      <w:tr>
        <w:trPr>
          <w:trHeight w:val="330" w:hRule="atLeast"/>
          <w:cantSplit w:val="false"/>
        </w:trPr>
        <w:tc>
          <w:tcPr>
            <w:tcW w:w="3745"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Calibri" w:cs="Calibri" w:ascii="Calibri" w:hAnsi="Calibri"/>
                <w:color w:val="000000"/>
                <w:sz w:val="20"/>
                <w:szCs w:val="20"/>
                <w:lang w:eastAsia="sk-SK"/>
              </w:rPr>
              <w:t xml:space="preserve">          </w:t>
            </w:r>
            <w:r>
              <w:rPr>
                <w:rFonts w:eastAsia="Times New Roman" w:cs="Calibri" w:ascii="Calibri" w:hAnsi="Calibri"/>
                <w:color w:val="000000"/>
                <w:sz w:val="20"/>
                <w:szCs w:val="20"/>
                <w:lang w:eastAsia="sk-SK"/>
              </w:rPr>
              <w:t>kapitálové fondy + fondy zo zisku</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1 015 922</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1 015 922</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1 015 922</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1015 922</w:t>
            </w:r>
          </w:p>
        </w:tc>
      </w:tr>
      <w:tr>
        <w:trPr>
          <w:trHeight w:val="330" w:hRule="atLeast"/>
          <w:cantSplit w:val="false"/>
        </w:trPr>
        <w:tc>
          <w:tcPr>
            <w:tcW w:w="3745"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Calibri" w:cs="Calibri" w:ascii="Calibri" w:hAnsi="Calibri"/>
                <w:color w:val="000000"/>
                <w:sz w:val="20"/>
                <w:szCs w:val="20"/>
                <w:lang w:eastAsia="sk-SK"/>
              </w:rPr>
              <w:t xml:space="preserve">         </w:t>
            </w:r>
            <w:r>
              <w:rPr>
                <w:rFonts w:eastAsia="Times New Roman" w:cs="Calibri" w:ascii="Calibri" w:hAnsi="Calibri"/>
                <w:color w:val="000000"/>
                <w:sz w:val="20"/>
                <w:szCs w:val="20"/>
                <w:lang w:eastAsia="sk-SK"/>
              </w:rPr>
              <w:t>neroz zisk, resp neuhr. strata min období</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91 958</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215 532</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231 258</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293 234</w:t>
            </w:r>
          </w:p>
        </w:tc>
      </w:tr>
      <w:tr>
        <w:trPr>
          <w:trHeight w:val="330" w:hRule="atLeast"/>
          <w:cantSplit w:val="false"/>
        </w:trPr>
        <w:tc>
          <w:tcPr>
            <w:tcW w:w="3745"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Calibri" w:cs="Calibri" w:ascii="Calibri" w:hAnsi="Calibri"/>
                <w:color w:val="000000"/>
                <w:sz w:val="20"/>
                <w:szCs w:val="20"/>
                <w:lang w:eastAsia="sk-SK"/>
              </w:rPr>
              <w:t xml:space="preserve">          </w:t>
            </w:r>
            <w:r>
              <w:rPr>
                <w:rFonts w:eastAsia="Times New Roman" w:cs="Calibri" w:ascii="Calibri" w:hAnsi="Calibri"/>
                <w:color w:val="000000"/>
                <w:sz w:val="20"/>
                <w:szCs w:val="20"/>
                <w:lang w:eastAsia="sk-SK"/>
              </w:rPr>
              <w:t>hosp výsledok bežného obdobia</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123 575</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15 726</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61 977</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226 692</w:t>
            </w:r>
          </w:p>
        </w:tc>
      </w:tr>
      <w:tr>
        <w:trPr>
          <w:trHeight w:val="330" w:hRule="atLeast"/>
          <w:cantSplit w:val="false"/>
        </w:trPr>
        <w:tc>
          <w:tcPr>
            <w:tcW w:w="3745"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záväzky</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1 116 963</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1 973 586</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2 269 912</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2 746 530</w:t>
            </w:r>
          </w:p>
        </w:tc>
      </w:tr>
      <w:tr>
        <w:trPr>
          <w:trHeight w:val="330" w:hRule="atLeast"/>
          <w:cantSplit w:val="false"/>
        </w:trPr>
        <w:tc>
          <w:tcPr>
            <w:tcW w:w="3745"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z toho: krátkodobé záväzky</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631 205</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1 199 336</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1 056 332</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1 601 183</w:t>
            </w:r>
          </w:p>
        </w:tc>
      </w:tr>
      <w:tr>
        <w:trPr>
          <w:trHeight w:val="330" w:hRule="atLeast"/>
          <w:cantSplit w:val="false"/>
        </w:trPr>
        <w:tc>
          <w:tcPr>
            <w:tcW w:w="3745"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Calibri" w:cs="Calibri" w:ascii="Calibri" w:hAnsi="Calibri"/>
                <w:color w:val="000000"/>
                <w:sz w:val="20"/>
                <w:szCs w:val="20"/>
                <w:lang w:eastAsia="sk-SK"/>
              </w:rPr>
              <w:t xml:space="preserve">           </w:t>
            </w:r>
            <w:r>
              <w:rPr>
                <w:rFonts w:eastAsia="Times New Roman" w:cs="Calibri" w:ascii="Calibri" w:hAnsi="Calibri"/>
                <w:color w:val="000000"/>
                <w:sz w:val="20"/>
                <w:szCs w:val="20"/>
                <w:lang w:eastAsia="sk-SK"/>
              </w:rPr>
              <w:t>v tom záväzky voči spoločníkom</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77 000</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49 000</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0</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131 748</w:t>
            </w:r>
          </w:p>
        </w:tc>
      </w:tr>
      <w:tr>
        <w:trPr>
          <w:trHeight w:val="330" w:hRule="atLeast"/>
          <w:cantSplit w:val="false"/>
        </w:trPr>
        <w:tc>
          <w:tcPr>
            <w:tcW w:w="3745"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bankové úvery</w:t>
            </w:r>
          </w:p>
        </w:tc>
        <w:tc>
          <w:tcPr>
            <w:tcW w:w="12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332 965</w:t>
            </w:r>
          </w:p>
        </w:tc>
        <w:tc>
          <w:tcPr>
            <w:tcW w:w="114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735 107</w:t>
            </w:r>
          </w:p>
        </w:tc>
        <w:tc>
          <w:tcPr>
            <w:tcW w:w="1120" w:type="dxa"/>
            <w:tcBorders>
              <w:top w:val="nil"/>
              <w:left w:val="single" w:sz="8" w:space="0" w:color="000000"/>
              <w:bottom w:val="single" w:sz="4" w:space="0" w:color="000000"/>
              <w:insideH w:val="single" w:sz="4" w:space="0" w:color="000000"/>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1 192 467</w:t>
            </w:r>
          </w:p>
        </w:tc>
        <w:tc>
          <w:tcPr>
            <w:tcW w:w="1140" w:type="dxa"/>
            <w:tcBorders>
              <w:top w:val="nil"/>
              <w:left w:val="single" w:sz="8" w:space="0" w:color="000000"/>
              <w:bottom w:val="single" w:sz="4" w:space="0" w:color="000000"/>
              <w:insideH w:val="single" w:sz="4" w:space="0" w:color="000000"/>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1 124 144</w:t>
            </w:r>
          </w:p>
        </w:tc>
      </w:tr>
      <w:tr>
        <w:trPr>
          <w:trHeight w:val="345" w:hRule="atLeast"/>
          <w:cantSplit w:val="false"/>
        </w:trPr>
        <w:tc>
          <w:tcPr>
            <w:tcW w:w="3745"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výnosy budúcich období</w:t>
            </w:r>
          </w:p>
        </w:tc>
        <w:tc>
          <w:tcPr>
            <w:tcW w:w="124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0</w:t>
            </w:r>
          </w:p>
        </w:tc>
        <w:tc>
          <w:tcPr>
            <w:tcW w:w="114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0</w:t>
            </w:r>
          </w:p>
        </w:tc>
        <w:tc>
          <w:tcPr>
            <w:tcW w:w="1120" w:type="dxa"/>
            <w:tcBorders>
              <w:top w:val="nil"/>
              <w:left w:val="single" w:sz="8" w:space="0" w:color="000000"/>
              <w:bottom w:val="nil"/>
              <w:insideH w:val="nil"/>
              <w:right w:val="nil"/>
              <w:insideV w:val="nil"/>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0</w:t>
            </w:r>
          </w:p>
        </w:tc>
        <w:tc>
          <w:tcPr>
            <w:tcW w:w="1140" w:type="dxa"/>
            <w:tcBorders>
              <w:top w:val="nil"/>
              <w:left w:val="single" w:sz="8" w:space="0" w:color="000000"/>
              <w:bottom w:val="nil"/>
              <w:insideH w:val="nil"/>
              <w:right w:val="single" w:sz="8" w:space="0" w:color="000000"/>
              <w:insideV w:val="single" w:sz="8" w:space="0" w:color="000000"/>
            </w:tcBorders>
            <w:shd w:fill="auto" w:val="clear"/>
            <w:tcMar>
              <w:left w:w="60" w:type="dxa"/>
            </w:tcMar>
            <w:vAlign w:val="bottom"/>
          </w:tcPr>
          <w:p>
            <w:pPr>
              <w:pStyle w:val="Normal"/>
              <w:suppressAutoHyphens w:val="false"/>
              <w:spacing w:lineRule="auto" w:line="240" w:before="0" w:after="0"/>
              <w:jc w:val="right"/>
              <w:rPr>
                <w:rFonts w:eastAsia="Times New Roman" w:cs="Calibri" w:ascii="Calibri" w:hAnsi="Calibri"/>
                <w:color w:val="000000"/>
                <w:sz w:val="20"/>
                <w:szCs w:val="20"/>
                <w:lang w:eastAsia="sk-SK"/>
              </w:rPr>
            </w:pPr>
            <w:r>
              <w:rPr>
                <w:rFonts w:eastAsia="Times New Roman" w:cs="Calibri" w:ascii="Calibri" w:hAnsi="Calibri"/>
                <w:color w:val="000000"/>
                <w:sz w:val="20"/>
                <w:szCs w:val="20"/>
                <w:lang w:eastAsia="sk-SK"/>
              </w:rPr>
              <w:t>0</w:t>
            </w:r>
          </w:p>
        </w:tc>
      </w:tr>
      <w:tr>
        <w:trPr>
          <w:trHeight w:val="345" w:hRule="atLeast"/>
          <w:cantSplit w:val="false"/>
        </w:trPr>
        <w:tc>
          <w:tcPr>
            <w:tcW w:w="3745" w:type="dxa"/>
            <w:tcBorders>
              <w:top w:val="single" w:sz="8" w:space="0" w:color="000000"/>
              <w:left w:val="single" w:sz="8" w:space="0" w:color="000000"/>
              <w:bottom w:val="single" w:sz="8" w:space="0" w:color="000000"/>
              <w:insideH w:val="single" w:sz="8" w:space="0" w:color="000000"/>
              <w:right w:val="nil"/>
              <w:insideV w:val="nil"/>
            </w:tcBorders>
            <w:shd w:fill="F2DCDB" w:val="clear"/>
            <w:tcMar>
              <w:left w:w="60" w:type="dxa"/>
            </w:tcMar>
            <w:vAlign w:val="bottom"/>
          </w:tcPr>
          <w:p>
            <w:pPr>
              <w:pStyle w:val="Normal"/>
              <w:suppressAutoHyphens w:val="false"/>
              <w:spacing w:lineRule="auto" w:line="240" w:before="0" w:after="0"/>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spolu vlastné imanie a záväzky</w:t>
            </w:r>
          </w:p>
        </w:tc>
        <w:tc>
          <w:tcPr>
            <w:tcW w:w="1240" w:type="dxa"/>
            <w:tcBorders>
              <w:top w:val="single" w:sz="8" w:space="0" w:color="000000"/>
              <w:left w:val="single" w:sz="8" w:space="0" w:color="000000"/>
              <w:bottom w:val="single" w:sz="8" w:space="0" w:color="000000"/>
              <w:insideH w:val="single" w:sz="8" w:space="0" w:color="000000"/>
              <w:right w:val="nil"/>
              <w:insideV w:val="nil"/>
            </w:tcBorders>
            <w:shd w:fill="F2DCDB"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2 358 418</w:t>
            </w:r>
          </w:p>
        </w:tc>
        <w:tc>
          <w:tcPr>
            <w:tcW w:w="1140" w:type="dxa"/>
            <w:tcBorders>
              <w:top w:val="single" w:sz="8" w:space="0" w:color="000000"/>
              <w:left w:val="single" w:sz="8" w:space="0" w:color="000000"/>
              <w:bottom w:val="single" w:sz="8" w:space="0" w:color="000000"/>
              <w:insideH w:val="single" w:sz="8" w:space="0" w:color="000000"/>
              <w:right w:val="nil"/>
              <w:insideV w:val="nil"/>
            </w:tcBorders>
            <w:shd w:fill="F2DCDB"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3 230 766</w:t>
            </w:r>
          </w:p>
        </w:tc>
        <w:tc>
          <w:tcPr>
            <w:tcW w:w="1120" w:type="dxa"/>
            <w:tcBorders>
              <w:top w:val="single" w:sz="8" w:space="0" w:color="000000"/>
              <w:left w:val="single" w:sz="8" w:space="0" w:color="000000"/>
              <w:bottom w:val="single" w:sz="8" w:space="0" w:color="000000"/>
              <w:insideH w:val="single" w:sz="8" w:space="0" w:color="000000"/>
              <w:right w:val="nil"/>
              <w:insideV w:val="nil"/>
            </w:tcBorders>
            <w:shd w:fill="F2DCDB"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3 589 069</w:t>
            </w:r>
          </w:p>
        </w:tc>
        <w:tc>
          <w:tcPr>
            <w:tcW w:w="1140" w:type="dxa"/>
            <w:tcBorders>
              <w:top w:val="single" w:sz="8" w:space="0" w:color="000000"/>
              <w:left w:val="single" w:sz="8" w:space="0" w:color="000000"/>
              <w:bottom w:val="single" w:sz="8" w:space="0" w:color="000000"/>
              <w:insideH w:val="single" w:sz="8" w:space="0" w:color="000000"/>
              <w:right w:val="single" w:sz="8" w:space="0" w:color="000000"/>
              <w:insideV w:val="single" w:sz="8" w:space="0" w:color="000000"/>
            </w:tcBorders>
            <w:shd w:fill="F2DCDB" w:val="clear"/>
            <w:tcMar>
              <w:left w:w="60" w:type="dxa"/>
            </w:tcMar>
            <w:vAlign w:val="bottom"/>
          </w:tcPr>
          <w:p>
            <w:pPr>
              <w:pStyle w:val="Normal"/>
              <w:suppressAutoHyphens w:val="false"/>
              <w:spacing w:lineRule="auto" w:line="240" w:before="0" w:after="0"/>
              <w:jc w:val="right"/>
              <w:rPr>
                <w:rFonts w:eastAsia="Times New Roman" w:cs="Calibri" w:ascii="Calibri" w:hAnsi="Calibri"/>
                <w:b/>
                <w:bCs/>
                <w:color w:val="000000"/>
                <w:sz w:val="20"/>
                <w:szCs w:val="20"/>
                <w:lang w:eastAsia="sk-SK"/>
              </w:rPr>
            </w:pPr>
            <w:r>
              <w:rPr>
                <w:rFonts w:eastAsia="Times New Roman" w:cs="Calibri" w:ascii="Calibri" w:hAnsi="Calibri"/>
                <w:b/>
                <w:bCs/>
                <w:color w:val="000000"/>
                <w:sz w:val="20"/>
                <w:szCs w:val="20"/>
                <w:lang w:eastAsia="sk-SK"/>
              </w:rPr>
              <w:t>4 292 378</w:t>
            </w:r>
          </w:p>
        </w:tc>
      </w:tr>
    </w:tbl>
    <w:p>
      <w:pPr>
        <w:pStyle w:val="Normal"/>
        <w:suppressAutoHyphens w:val="false"/>
        <w:spacing w:lineRule="auto" w:line="240" w:before="0" w:after="0"/>
        <w:jc w:val="both"/>
        <w:rPr>
          <w:rFonts w:eastAsia="Times New Roman"/>
          <w:b/>
          <w:bCs/>
          <w:color w:val="0000FF"/>
          <w:sz w:val="20"/>
          <w:szCs w:val="20"/>
          <w:lang w:eastAsia="sk-SK"/>
        </w:rPr>
      </w:pPr>
      <w:r>
        <w:rPr>
          <w:rFonts w:eastAsia="Times New Roman"/>
          <w:b/>
          <w:bCs/>
          <w:color w:val="0000FF"/>
          <w:sz w:val="20"/>
          <w:szCs w:val="20"/>
          <w:lang w:eastAsia="sk-SK"/>
        </w:rPr>
      </w:r>
    </w:p>
    <w:p>
      <w:pPr>
        <w:pStyle w:val="Normal"/>
        <w:suppressAutoHyphens w:val="false"/>
        <w:spacing w:lineRule="auto" w:line="240" w:before="0" w:after="0"/>
        <w:jc w:val="both"/>
        <w:rPr>
          <w:rFonts w:eastAsia="Times New Roman"/>
          <w:b/>
          <w:bCs/>
          <w:color w:val="0000FF"/>
          <w:sz w:val="20"/>
          <w:szCs w:val="20"/>
          <w:lang w:eastAsia="sk-SK"/>
        </w:rPr>
      </w:pPr>
      <w:r>
        <w:rPr>
          <w:rFonts w:eastAsia="Times New Roman"/>
          <w:b/>
          <w:bCs/>
          <w:color w:val="0000FF"/>
          <w:sz w:val="20"/>
          <w:szCs w:val="20"/>
          <w:lang w:eastAsia="sk-SK"/>
        </w:rPr>
      </w:r>
    </w:p>
    <w:p>
      <w:pPr>
        <w:pStyle w:val="Normal"/>
        <w:spacing w:before="0" w:after="0"/>
        <w:jc w:val="both"/>
        <w:rPr>
          <w:lang w:val="sk-SK" w:eastAsia="sk-SK"/>
        </w:rPr>
      </w:pPr>
      <w:r>
        <w:rPr>
          <w:lang w:val="sk-SK" w:eastAsia="sk-SK"/>
        </w:rPr>
        <w:drawing>
          <wp:inline distT="0" distB="0" distL="0" distR="0">
            <wp:extent cx="4584700" cy="2755900"/>
            <wp:effectExtent l="0" t="0" r="0" b="0"/>
            <wp:docPr id="4"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descr=""/>
                    <pic:cNvPicPr>
                      <a:picLocks noChangeAspect="1" noChangeArrowheads="1"/>
                    </pic:cNvPicPr>
                  </pic:nvPicPr>
                  <pic:blipFill>
                    <a:blip r:embed="rId6"/>
                    <a:stretch>
                      <a:fillRect/>
                    </a:stretch>
                  </pic:blipFill>
                  <pic:spPr bwMode="auto">
                    <a:xfrm>
                      <a:off x="0" y="0"/>
                      <a:ext cx="4584700" cy="2755900"/>
                    </a:xfrm>
                    <a:prstGeom prst="rect">
                      <a:avLst/>
                    </a:prstGeom>
                    <a:noFill/>
                    <a:ln w="9525">
                      <a:noFill/>
                      <a:miter lim="800000"/>
                      <a:headEnd/>
                      <a:tailEnd/>
                    </a:ln>
                  </pic:spPr>
                </pic:pic>
              </a:graphicData>
            </a:graphic>
          </wp:inline>
        </w:drawing>
      </w:r>
    </w:p>
    <w:p>
      <w:pPr>
        <w:pStyle w:val="Normal"/>
        <w:spacing w:lineRule="auto" w:line="240" w:before="0" w:after="0"/>
        <w:jc w:val="both"/>
        <w:rPr>
          <w:rFonts w:cs="Calibri" w:ascii="Calibri" w:hAnsi="Calibri"/>
          <w:b/>
        </w:rPr>
      </w:pPr>
      <w:r>
        <w:rPr>
          <w:rFonts w:cs="Calibri" w:ascii="Calibri" w:hAnsi="Calibri"/>
          <w:b/>
        </w:rPr>
      </w:r>
    </w:p>
    <w:p>
      <w:pPr>
        <w:pStyle w:val="Normal"/>
        <w:spacing w:lineRule="auto" w:line="240" w:before="0" w:after="0"/>
        <w:jc w:val="both"/>
        <w:rPr>
          <w:rFonts w:cs="Calibri" w:ascii="Calibri" w:hAnsi="Calibri"/>
          <w:b/>
        </w:rPr>
      </w:pPr>
      <w:r>
        <w:rPr>
          <w:rFonts w:cs="Calibri" w:ascii="Calibri" w:hAnsi="Calibri"/>
          <w:b/>
        </w:rPr>
      </w:r>
    </w:p>
    <w:p>
      <w:pPr>
        <w:pStyle w:val="Normal"/>
        <w:spacing w:lineRule="auto" w:line="240" w:before="0" w:after="0"/>
        <w:jc w:val="both"/>
        <w:rPr>
          <w:rFonts w:cs="Calibri" w:ascii="Calibri" w:hAnsi="Calibri"/>
          <w:b/>
        </w:rPr>
      </w:pPr>
      <w:r>
        <w:rPr>
          <w:rFonts w:cs="Calibri" w:ascii="Calibri" w:hAnsi="Calibri"/>
          <w:b/>
        </w:rPr>
        <w:t xml:space="preserve">Návrh na rozdelenie zisku </w:t>
      </w:r>
    </w:p>
    <w:p>
      <w:pPr>
        <w:pStyle w:val="Normal"/>
        <w:spacing w:lineRule="auto" w:line="240" w:before="0" w:after="0"/>
        <w:jc w:val="both"/>
        <w:rPr>
          <w:rFonts w:cs="Calibri" w:ascii="Calibri" w:hAnsi="Calibri"/>
          <w:color w:val="000000"/>
        </w:rPr>
      </w:pPr>
      <w:r>
        <w:rPr>
          <w:rFonts w:cs="Calibri" w:ascii="Calibri" w:hAnsi="Calibri"/>
          <w:color w:val="000000"/>
        </w:rPr>
        <w:t>Z celkového disponibilného zisku 226 692 eur za rok 2021 je návrh na rozdelenie:</w:t>
      </w:r>
    </w:p>
    <w:p>
      <w:pPr>
        <w:pStyle w:val="Normal"/>
        <w:spacing w:lineRule="auto" w:line="240" w:before="0" w:after="0"/>
        <w:jc w:val="both"/>
        <w:rPr>
          <w:rFonts w:cs="Calibri" w:ascii="Calibri" w:hAnsi="Calibri"/>
          <w:color w:val="000000"/>
        </w:rPr>
      </w:pPr>
      <w:r>
        <w:rPr>
          <w:rFonts w:cs="Calibri" w:ascii="Calibri" w:hAnsi="Calibri"/>
          <w:color w:val="000000"/>
        </w:rPr>
        <w:t>Na rozdelenie spoločníkom:           100 000 eur</w:t>
      </w:r>
    </w:p>
    <w:p>
      <w:pPr>
        <w:pStyle w:val="Normal"/>
        <w:spacing w:lineRule="auto" w:line="240" w:before="0" w:after="0"/>
        <w:jc w:val="both"/>
        <w:rPr>
          <w:rFonts w:cs="Calibri" w:ascii="Calibri" w:hAnsi="Calibri"/>
          <w:color w:val="000000"/>
        </w:rPr>
      </w:pPr>
      <w:r>
        <w:rPr>
          <w:rFonts w:cs="Calibri" w:ascii="Calibri" w:hAnsi="Calibri"/>
          <w:color w:val="000000"/>
        </w:rPr>
        <w:t>Prídel do rezervného fondu:                       0 eur</w:t>
      </w:r>
    </w:p>
    <w:p>
      <w:pPr>
        <w:pStyle w:val="Normal"/>
        <w:spacing w:lineRule="auto" w:line="240" w:before="0" w:after="0"/>
        <w:jc w:val="both"/>
        <w:rPr>
          <w:rFonts w:cs="Calibri" w:ascii="Calibri" w:hAnsi="Calibri"/>
          <w:color w:val="000000"/>
        </w:rPr>
      </w:pPr>
      <w:r>
        <w:rPr>
          <w:rFonts w:cs="Calibri" w:ascii="Calibri" w:hAnsi="Calibri"/>
          <w:color w:val="000000"/>
        </w:rPr>
        <w:t>Ako nerozdelený zisk:                       126 692 eur</w:t>
      </w:r>
    </w:p>
    <w:p>
      <w:pPr>
        <w:pStyle w:val="Normal"/>
        <w:spacing w:lineRule="auto" w:line="240" w:before="0" w:after="0"/>
        <w:jc w:val="both"/>
        <w:rPr>
          <w:rFonts w:cs="Calibri" w:ascii="Calibri" w:hAnsi="Calibri"/>
          <w:b/>
        </w:rPr>
      </w:pPr>
      <w:r>
        <w:rPr>
          <w:rFonts w:cs="Calibri" w:ascii="Calibri" w:hAnsi="Calibri"/>
          <w:b/>
        </w:rPr>
      </w:r>
    </w:p>
    <w:p>
      <w:pPr>
        <w:pStyle w:val="Normal"/>
        <w:spacing w:lineRule="auto" w:line="240" w:before="0" w:after="0"/>
        <w:jc w:val="both"/>
        <w:rPr>
          <w:rFonts w:cs="Calibri" w:ascii="Calibri" w:hAnsi="Calibri"/>
          <w:b/>
        </w:rPr>
      </w:pPr>
      <w:r>
        <w:rPr>
          <w:rFonts w:cs="Calibri" w:ascii="Calibri" w:hAnsi="Calibri"/>
          <w:b/>
        </w:rPr>
        <w:t>Iné údaje</w:t>
      </w:r>
    </w:p>
    <w:p>
      <w:pPr>
        <w:pStyle w:val="Normal"/>
        <w:jc w:val="both"/>
        <w:rPr>
          <w:rFonts w:eastAsia="Times New Roman" w:cs="Calibri" w:ascii="Calibri" w:hAnsi="Calibri"/>
          <w:lang w:eastAsia="sk-SK"/>
        </w:rPr>
      </w:pPr>
      <w:r>
        <w:rPr>
          <w:rFonts w:cs="Calibri" w:ascii="Calibri" w:hAnsi="Calibri"/>
        </w:rPr>
        <w:t xml:space="preserve">Spoločnosť nemá organizačnú zložku v zahraničí. </w:t>
      </w:r>
      <w:r>
        <w:rPr>
          <w:rFonts w:eastAsia="Times New Roman" w:cs="Calibri" w:ascii="Calibri" w:hAnsi="Calibri"/>
          <w:lang w:eastAsia="sk-SK"/>
        </w:rPr>
        <w:t>Nemá zahraničné dcérske podniky a ani nie je neobmedzene ručiacim spoločníkom v iných účtovných jednotkách.</w:t>
      </w:r>
    </w:p>
    <w:p>
      <w:pPr>
        <w:pStyle w:val="Normal"/>
        <w:spacing w:lineRule="auto" w:line="240" w:before="0" w:after="0"/>
        <w:jc w:val="both"/>
        <w:rPr>
          <w:rFonts w:cs="Calibri" w:ascii="Calibri" w:hAnsi="Calibri"/>
        </w:rPr>
      </w:pPr>
      <w:r>
        <w:rPr>
          <w:rFonts w:cs="Calibri" w:ascii="Calibri" w:hAnsi="Calibri"/>
        </w:rPr>
        <w:t>Spoločnosť nemá vlastnú výskumnú, resp. vývojovú základňu a v roku 2021 neinvestovala finančné prostriedky do výskumu a vývoja.</w:t>
      </w:r>
    </w:p>
    <w:p>
      <w:pPr>
        <w:pStyle w:val="Normal"/>
        <w:keepNext/>
        <w:suppressAutoHyphens w:val="false"/>
        <w:spacing w:lineRule="auto" w:line="240" w:before="0" w:after="0"/>
        <w:rPr>
          <w:rFonts w:eastAsia="Times New Roman" w:cs="Calibri" w:ascii="Calibri" w:hAnsi="Calibri"/>
          <w:b/>
          <w:lang w:eastAsia="sk-SK"/>
        </w:rPr>
      </w:pPr>
      <w:r>
        <w:rPr>
          <w:rFonts w:eastAsia="Times New Roman" w:cs="Calibri" w:ascii="Calibri" w:hAnsi="Calibri"/>
          <w:b/>
          <w:lang w:eastAsia="sk-SK"/>
        </w:rPr>
      </w:r>
    </w:p>
    <w:p>
      <w:pPr>
        <w:pStyle w:val="Normal"/>
        <w:keepNext/>
        <w:suppressAutoHyphens w:val="false"/>
        <w:spacing w:lineRule="auto" w:line="240" w:before="0" w:after="0"/>
        <w:rPr>
          <w:rFonts w:eastAsia="Times New Roman" w:cs="Calibri" w:ascii="Calibri" w:hAnsi="Calibri"/>
          <w:b/>
          <w:lang w:eastAsia="sk-SK"/>
        </w:rPr>
      </w:pPr>
      <w:r>
        <w:rPr>
          <w:rFonts w:eastAsia="Times New Roman" w:cs="Calibri" w:ascii="Calibri" w:hAnsi="Calibri"/>
          <w:b/>
          <w:lang w:eastAsia="sk-SK"/>
        </w:rPr>
        <w:t xml:space="preserve">Identifikácia rizík a  neistôt </w:t>
      </w:r>
    </w:p>
    <w:p>
      <w:pPr>
        <w:pStyle w:val="Normal"/>
        <w:suppressAutoHyphens w:val="false"/>
        <w:spacing w:lineRule="auto" w:line="240" w:before="0" w:after="0"/>
        <w:jc w:val="both"/>
        <w:rPr>
          <w:rFonts w:eastAsia="Times New Roman" w:cs="Calibri" w:ascii="Calibri" w:hAnsi="Calibri"/>
          <w:bCs/>
          <w:lang w:eastAsia="sk-SK"/>
        </w:rPr>
      </w:pPr>
      <w:r>
        <w:rPr>
          <w:rFonts w:eastAsia="Times New Roman" w:cs="Calibri" w:ascii="Calibri" w:hAnsi="Calibri"/>
          <w:bCs/>
          <w:lang w:eastAsia="sk-SK"/>
        </w:rPr>
        <w:t xml:space="preserve">Nie sú identifikované žiadne významné riziká a neistoty, ktoré by do značnej miery obmedzili budúce pokračovanie v činnosti spoločnosti v ďalších rokoch, okrem skutočnosti uvedenej v časti predpokladaný budúci vývoj. </w:t>
      </w:r>
    </w:p>
    <w:p>
      <w:pPr>
        <w:pStyle w:val="Normal"/>
        <w:suppressAutoHyphens w:val="false"/>
        <w:spacing w:lineRule="auto" w:line="240" w:before="0" w:after="0"/>
        <w:jc w:val="both"/>
        <w:rPr>
          <w:rFonts w:eastAsia="Times New Roman" w:cs="Calibri" w:ascii="Calibri" w:hAnsi="Calibri"/>
          <w:bCs/>
          <w:lang w:eastAsia="sk-SK"/>
        </w:rPr>
      </w:pPr>
      <w:r>
        <w:rPr>
          <w:rFonts w:eastAsia="Times New Roman" w:cs="Calibri" w:ascii="Calibri" w:hAnsi="Calibri"/>
          <w:bCs/>
          <w:lang w:eastAsia="sk-SK"/>
        </w:rPr>
      </w:r>
    </w:p>
    <w:p>
      <w:pPr>
        <w:pStyle w:val="Normal"/>
        <w:keepNext/>
        <w:suppressAutoHyphens w:val="false"/>
        <w:spacing w:lineRule="auto" w:line="240" w:before="0" w:after="0"/>
        <w:rPr>
          <w:rFonts w:eastAsia="Times New Roman" w:cs="Calibri" w:ascii="Calibri" w:hAnsi="Calibri"/>
          <w:b/>
          <w:lang w:eastAsia="sk-SK"/>
        </w:rPr>
      </w:pPr>
      <w:r>
        <w:rPr>
          <w:rFonts w:eastAsia="Times New Roman" w:cs="Calibri" w:ascii="Calibri" w:hAnsi="Calibri"/>
          <w:b/>
          <w:lang w:eastAsia="sk-SK"/>
        </w:rPr>
        <w:t>Udalosti osobitého významu po skončení bežného účtovného obdobia</w:t>
      </w:r>
    </w:p>
    <w:p>
      <w:pPr>
        <w:pStyle w:val="Normal"/>
        <w:suppressAutoHyphens w:val="false"/>
        <w:spacing w:lineRule="auto" w:line="240" w:before="0" w:after="0"/>
        <w:rPr>
          <w:rFonts w:eastAsia="Times New Roman" w:cs="Calibri" w:ascii="Calibri" w:hAnsi="Calibri"/>
          <w:lang w:eastAsia="sk-SK"/>
        </w:rPr>
      </w:pPr>
      <w:r>
        <w:rPr>
          <w:rFonts w:eastAsia="Times New Roman" w:cs="Calibri" w:ascii="Calibri" w:hAnsi="Calibri"/>
          <w:lang w:eastAsia="sk-SK"/>
        </w:rPr>
        <w:t>Spoločnosť nezaznamenala žiadnu udalosť osobitého významu po skončení bežného účtovného obdobia s vplyvom na bežné účtovné obdobie roku 2021.</w:t>
      </w:r>
    </w:p>
    <w:p>
      <w:pPr>
        <w:pStyle w:val="Normal"/>
        <w:suppressAutoHyphens w:val="false"/>
        <w:spacing w:lineRule="auto" w:line="240" w:before="0" w:after="0"/>
        <w:rPr>
          <w:rFonts w:eastAsia="Times New Roman" w:cs="Calibri" w:ascii="Calibri" w:hAnsi="Calibri"/>
          <w:lang w:eastAsia="sk-SK"/>
        </w:rPr>
      </w:pPr>
      <w:r>
        <w:rPr>
          <w:rFonts w:eastAsia="Times New Roman" w:cs="Calibri" w:ascii="Calibri" w:hAnsi="Calibri"/>
          <w:lang w:eastAsia="sk-SK"/>
        </w:rPr>
      </w:r>
    </w:p>
    <w:p>
      <w:pPr>
        <w:pStyle w:val="Normal"/>
        <w:keepNext/>
        <w:suppressAutoHyphens w:val="false"/>
        <w:spacing w:lineRule="auto" w:line="240" w:before="0" w:after="0"/>
        <w:rPr>
          <w:rFonts w:eastAsia="Times New Roman" w:cs="Calibri" w:ascii="Calibri" w:hAnsi="Calibri"/>
          <w:b/>
          <w:lang w:eastAsia="sk-SK"/>
        </w:rPr>
      </w:pPr>
      <w:r>
        <w:rPr>
          <w:rFonts w:eastAsia="Times New Roman" w:cs="Calibri" w:ascii="Calibri" w:hAnsi="Calibri"/>
          <w:b/>
          <w:lang w:eastAsia="sk-SK"/>
        </w:rPr>
        <w:t>Predpokladaný budúci vývoj</w:t>
      </w:r>
    </w:p>
    <w:p>
      <w:pPr>
        <w:pStyle w:val="Bulletindent"/>
        <w:spacing w:lineRule="auto" w:line="240"/>
        <w:ind w:left="0" w:right="0" w:hanging="0"/>
        <w:rPr>
          <w:rFonts w:eastAsia="Calibri" w:cs="Calibri" w:ascii="Calibri" w:hAnsi="Calibri"/>
          <w:sz w:val="24"/>
          <w:szCs w:val="24"/>
          <w:lang w:val="sk-SK"/>
        </w:rPr>
      </w:pPr>
      <w:r>
        <w:rPr>
          <w:rFonts w:cs="Calibri" w:ascii="Calibri" w:hAnsi="Calibri"/>
          <w:sz w:val="24"/>
          <w:szCs w:val="24"/>
          <w:lang w:val="sk-SK"/>
        </w:rPr>
        <w:t>Spoločnosť eviduje od roku marca 2020 správy tykajúce sa COVID -19 ( Coronavirusu) a vojenského konfliktu na Ukrajine. V čase zostavenia účtovnej závierky  COVID – 19 mal značný  vplyv na svetový obchod, na firmy, ako aj jednotlivcov</w:t>
      </w:r>
      <w:r>
        <w:rPr>
          <w:rFonts w:eastAsia="Calibri" w:cs="Calibri" w:ascii="Calibri" w:hAnsi="Calibri"/>
          <w:sz w:val="24"/>
          <w:szCs w:val="24"/>
          <w:lang w:val="sk-SK"/>
        </w:rPr>
        <w:t>. V súčasnosti nie je možné predvídať, ako dopadne situácia okolo vojenského konfliktu, preto vedenie Spoločnosti si nemyslí, že je možné poskytnúť kvantitatívne odhady potenciálneho vplyvu súčasnej situácie na celkovú činnosť Spoločnosti. Vedenie Spoločnosti bude pokračovať v monitorovaní potenciálneho dopadu, pričom podnikne všetky možné kroky na zmiernenie  negatívnych dopadov.</w:t>
      </w:r>
    </w:p>
    <w:p>
      <w:pPr>
        <w:pStyle w:val="Normal"/>
        <w:keepNext/>
        <w:suppressAutoHyphens w:val="false"/>
        <w:spacing w:lineRule="auto" w:line="240" w:before="0" w:after="0"/>
        <w:ind w:left="0" w:right="0" w:hanging="187"/>
        <w:rPr>
          <w:rFonts w:eastAsia="Times New Roman" w:cs="Calibri" w:ascii="Calibri" w:hAnsi="Calibri"/>
          <w:b/>
          <w:lang w:eastAsia="sk-SK"/>
        </w:rPr>
      </w:pPr>
      <w:r>
        <w:rPr>
          <w:rFonts w:eastAsia="Times New Roman" w:cs="Calibri" w:ascii="Calibri" w:hAnsi="Calibri"/>
          <w:b/>
          <w:lang w:eastAsia="sk-SK"/>
        </w:rPr>
      </w:r>
    </w:p>
    <w:p>
      <w:pPr>
        <w:pStyle w:val="Normal"/>
        <w:tabs>
          <w:tab w:val="decimal" w:pos="4678" w:leader="none"/>
          <w:tab w:val="decimal" w:pos="6521" w:leader="none"/>
          <w:tab w:val="decimal" w:pos="8222" w:leader="none"/>
          <w:tab w:val="decimal" w:pos="8647" w:leader="none"/>
        </w:tabs>
        <w:suppressAutoHyphens w:val="false"/>
        <w:spacing w:lineRule="auto" w:line="240" w:before="0" w:after="0"/>
        <w:jc w:val="both"/>
        <w:rPr>
          <w:rFonts w:eastAsia="Times New Roman" w:cs="Calibri" w:ascii="Calibri" w:hAnsi="Calibri"/>
          <w:color w:val="000000"/>
          <w:lang w:eastAsia="sk-SK"/>
        </w:rPr>
      </w:pPr>
      <w:r>
        <w:rPr>
          <w:rFonts w:eastAsia="Times New Roman" w:cs="Calibri" w:ascii="Calibri" w:hAnsi="Calibri"/>
          <w:color w:val="000000"/>
          <w:lang w:eastAsia="sk-SK"/>
        </w:rPr>
        <w:t xml:space="preserve">Spoločnosť nepredpokladá žiadne významné zmeny v organizačnej štruktúre, ani v predmete činnosti. V roku 2022 Spoločnosť neočakáva pokles tržieb. </w:t>
      </w:r>
    </w:p>
    <w:p>
      <w:pPr>
        <w:pStyle w:val="Normal"/>
        <w:spacing w:lineRule="auto" w:line="240"/>
        <w:jc w:val="both"/>
        <w:rPr>
          <w:rFonts w:cs="Calibri" w:ascii="Calibri" w:hAnsi="Calibri"/>
        </w:rPr>
      </w:pPr>
      <w:r>
        <w:rPr>
          <w:rFonts w:cs="Calibri" w:ascii="Calibri" w:hAnsi="Calibri"/>
        </w:rPr>
      </w:r>
    </w:p>
    <w:p>
      <w:pPr>
        <w:pStyle w:val="Normal"/>
        <w:spacing w:lineRule="auto" w:line="240"/>
        <w:jc w:val="both"/>
        <w:rPr>
          <w:rFonts w:cs="Calibri" w:ascii="Calibri" w:hAnsi="Calibri"/>
        </w:rPr>
      </w:pPr>
      <w:r>
        <w:rPr>
          <w:rFonts w:cs="Calibri" w:ascii="Calibri" w:hAnsi="Calibri"/>
        </w:rPr>
        <w:t>Prílohy: Účtovná závierka za rok 2021</w:t>
      </w:r>
    </w:p>
    <w:p>
      <w:pPr>
        <w:pStyle w:val="Normal"/>
        <w:spacing w:lineRule="auto" w:line="240"/>
        <w:jc w:val="both"/>
        <w:rPr>
          <w:rFonts w:cs="Calibri" w:ascii="Calibri" w:hAnsi="Calibri"/>
        </w:rPr>
      </w:pPr>
      <w:r>
        <w:rPr>
          <w:rFonts w:cs="Calibri" w:ascii="Calibri" w:hAnsi="Calibri"/>
        </w:rPr>
        <w:t>Prešov 18.8. 2022</w:t>
      </w:r>
    </w:p>
    <w:p>
      <w:pPr>
        <w:pStyle w:val="Normal"/>
        <w:spacing w:lineRule="auto" w:line="240"/>
        <w:jc w:val="center"/>
        <w:rPr>
          <w:rFonts w:cs="Calibri" w:ascii="Calibri" w:hAnsi="Calibri"/>
        </w:rPr>
      </w:pPr>
      <w:r>
        <w:rPr>
          <w:rFonts w:cs="Calibri" w:ascii="Calibri" w:hAnsi="Calibri"/>
        </w:rPr>
      </w:r>
    </w:p>
    <w:p>
      <w:pPr>
        <w:pStyle w:val="Normal"/>
        <w:spacing w:lineRule="auto" w:line="240"/>
        <w:jc w:val="center"/>
        <w:rPr>
          <w:rFonts w:cs="Calibri" w:ascii="Calibri" w:hAnsi="Calibri"/>
        </w:rPr>
      </w:pPr>
      <w:r>
        <w:rPr>
          <w:rFonts w:cs="Calibri" w:ascii="Calibri" w:hAnsi="Calibri"/>
        </w:rPr>
      </w:r>
    </w:p>
    <w:p>
      <w:pPr>
        <w:pStyle w:val="Normal"/>
        <w:spacing w:lineRule="auto" w:line="240"/>
        <w:jc w:val="center"/>
        <w:rPr>
          <w:rFonts w:eastAsia="Times New Roman" w:cs="Calibri" w:ascii="Calibri" w:hAnsi="Calibri"/>
        </w:rPr>
      </w:pPr>
      <w:r>
        <w:rPr>
          <w:rFonts w:eastAsia="Calibri" w:cs="Calibri" w:ascii="Calibri" w:hAnsi="Calibri"/>
        </w:rPr>
        <w:t xml:space="preserve">              </w:t>
      </w:r>
      <w:r>
        <w:rPr>
          <w:rFonts w:eastAsia="Times New Roman" w:cs="Calibri" w:ascii="Calibri" w:hAnsi="Calibri"/>
          <w:color w:val="222222"/>
          <w:lang w:eastAsia="sk-SK"/>
        </w:rPr>
        <w:t>Ing. Ľubomír Duplák</w:t>
      </w:r>
      <w:r>
        <w:rPr>
          <w:rFonts w:eastAsia="Times New Roman" w:cs="Calibri" w:ascii="Calibri" w:hAnsi="Calibri"/>
        </w:rPr>
        <w:t xml:space="preserve">                                                                </w:t>
      </w:r>
    </w:p>
    <w:p>
      <w:pPr>
        <w:pStyle w:val="Normal"/>
        <w:widowControl/>
        <w:suppressAutoHyphens w:val="true"/>
        <w:bidi w:val="0"/>
        <w:spacing w:lineRule="auto" w:line="276" w:before="0" w:after="200"/>
        <w:rPr>
          <w:rFonts w:cs="Calibri" w:ascii="Calibri" w:hAnsi="Calibri"/>
        </w:rPr>
      </w:pPr>
      <w:r>
        <w:rPr>
          <w:rFonts w:eastAsia="Calibri" w:cs="Calibri" w:ascii="Calibri" w:hAnsi="Calibri"/>
        </w:rPr>
        <w:t xml:space="preserve">                                                                          </w:t>
      </w:r>
      <w:r>
        <w:rPr>
          <w:rFonts w:cs="Calibri" w:ascii="Calibri" w:hAnsi="Calibri"/>
        </w:rPr>
        <w:t>konateľ spoločnosti</w:t>
      </w:r>
    </w:p>
    <w:sectPr>
      <w:headerReference w:type="default" r:id="rId7"/>
      <w:headerReference w:type="first" r:id="rId8"/>
      <w:footerReference w:type="default" r:id="rId9"/>
      <w:footerReference w:type="first" r:id="rId10"/>
      <w:type w:val="nextPage"/>
      <w:pgSz w:w="11906" w:h="16838"/>
      <w:pgMar w:left="1417" w:right="1417" w:header="708" w:top="1418" w:footer="708" w:bottom="1417" w:gutter="0"/>
      <w:pgNumType w:start="0"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libri Light">
    <w:charset w:val="ee"/>
    <w:family w:val="swiss"/>
    <w:pitch w:val="variable"/>
  </w:font>
  <w:font w:name="Symbol">
    <w:charset w:val="01"/>
    <w:family w:val="roman"/>
    <w:pitch w:val="variable"/>
  </w:font>
  <w:font w:name="Courier New">
    <w:charset w:val="ee"/>
    <w:family w:val="modern"/>
    <w:pitch w:val="default"/>
  </w:font>
  <w:font w:name="Wingdings">
    <w:charset w:val="02"/>
    <w:family w:val="auto"/>
    <w:pitch w:val="variable"/>
  </w:font>
  <w:font w:name="Tahoma">
    <w:charset w:val="ee"/>
    <w:family w:val="swiss"/>
    <w:pitch w:val="variable"/>
  </w:font>
  <w:font w:name="Liberation Sans">
    <w:altName w:val="Arial"/>
    <w:charset w:val="ee"/>
    <w:family w:val="swiss"/>
    <w:pitch w:val="variable"/>
  </w:font>
  <w:font w:name="Calibri">
    <w:charset w:val="ee"/>
    <w:family w:val="swiss"/>
    <w:pitch w:val="variable"/>
  </w:font>
  <w:font w:name="Helvetica">
    <w:altName w:val="Arial"/>
    <w:charset w:val="ee"/>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Pta"/>
      <w:jc w:val="center"/>
      <w:rPr/>
    </w:pPr>
    <w:r>
      <w:rPr/>
      <w:fldChar w:fldCharType="begin"/>
    </w:r>
    <w:r>
      <w:instrText> PAGE </w:instrText>
    </w:r>
    <w:r>
      <w:fldChar w:fldCharType="separate"/>
    </w:r>
    <w:r>
      <w:t>8</w:t>
    </w:r>
    <w:r>
      <w:fldChar w:fldCharType="end"/>
    </w:r>
  </w:p>
  <w:p>
    <w:pPr>
      <w:pStyle w:val="Pta"/>
      <w:tabs>
        <w:tab w:val="center" w:pos="4536" w:leader="none"/>
        <w:tab w:val="right" w:pos="9072" w:leader="none"/>
      </w:tabs>
      <w:spacing w:before="0" w:after="20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Pta"/>
      <w:tabs>
        <w:tab w:val="center" w:pos="4536" w:leader="none"/>
        <w:tab w:val="right" w:pos="9072" w:leader="none"/>
      </w:tabs>
      <w:spacing w:before="0" w:after="20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Hlavika"/>
      <w:pBdr>
        <w:top w:val="nil"/>
        <w:left w:val="nil"/>
        <w:bottom w:val="thickThinSmallGap" w:sz="24" w:space="1" w:color="800000"/>
        <w:right w:val="nil"/>
      </w:pBdr>
      <w:rPr>
        <w:b/>
      </w:rPr>
    </w:pPr>
    <w:r>
      <w:rPr>
        <w:lang w:val="sk-SK" w:eastAsia="sk-SK"/>
      </w:rPr>
      <w:drawing>
        <wp:inline distT="0" distB="0" distL="0" distR="0">
          <wp:extent cx="2456180" cy="442595"/>
          <wp:effectExtent l="0" t="0" r="0" b="0"/>
          <wp:docPr id="5"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descr=""/>
                  <pic:cNvPicPr>
                    <a:picLocks noChangeAspect="1" noChangeArrowheads="1"/>
                  </pic:cNvPicPr>
                </pic:nvPicPr>
                <pic:blipFill>
                  <a:blip r:embed="rId1"/>
                  <a:stretch>
                    <a:fillRect/>
                  </a:stretch>
                </pic:blipFill>
                <pic:spPr bwMode="auto">
                  <a:xfrm>
                    <a:off x="0" y="0"/>
                    <a:ext cx="2456180" cy="442595"/>
                  </a:xfrm>
                  <a:prstGeom prst="rect">
                    <a:avLst/>
                  </a:prstGeom>
                  <a:noFill/>
                  <a:ln w="9525">
                    <a:noFill/>
                    <a:miter lim="800000"/>
                    <a:headEnd/>
                    <a:tailEnd/>
                  </a:ln>
                </pic:spPr>
              </pic:pic>
            </a:graphicData>
          </a:graphic>
        </wp:inline>
      </w:drawing>
    </w:r>
    <w:r>
      <w:rPr>
        <w:rFonts w:eastAsia="Times New Roman"/>
        <w:b/>
      </w:rPr>
      <w:t xml:space="preserve">                                                  </w:t>
    </w:r>
    <w:r>
      <w:rPr>
        <w:b/>
      </w:rPr>
      <w:t>Výročná správa 2021</w:t>
    </w:r>
  </w:p>
  <w:p>
    <w:pPr>
      <w:pStyle w:val="Hlavika"/>
      <w:tabs>
        <w:tab w:val="center" w:pos="4536" w:leader="none"/>
        <w:tab w:val="right" w:pos="9072" w:leader="none"/>
      </w:tabs>
      <w:spacing w:before="0" w:after="200"/>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Hlavika"/>
      <w:pBdr>
        <w:top w:val="nil"/>
        <w:left w:val="nil"/>
        <w:bottom w:val="thickThinSmallGap" w:sz="24" w:space="1" w:color="800000"/>
        <w:right w:val="nil"/>
      </w:pBdr>
      <w:rPr>
        <w:b/>
      </w:rPr>
    </w:pPr>
    <w:r>
      <w:rPr>
        <w:lang w:val="sk-SK" w:eastAsia="sk-SK"/>
      </w:rPr>
      <w:drawing>
        <wp:inline distT="0" distB="0" distL="0" distR="0">
          <wp:extent cx="2456180" cy="442595"/>
          <wp:effectExtent l="0" t="0" r="0" b="0"/>
          <wp:docPr id="6" name="Pictur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descr=""/>
                  <pic:cNvPicPr>
                    <a:picLocks noChangeAspect="1" noChangeArrowheads="1"/>
                  </pic:cNvPicPr>
                </pic:nvPicPr>
                <pic:blipFill>
                  <a:blip r:embed="rId1"/>
                  <a:stretch>
                    <a:fillRect/>
                  </a:stretch>
                </pic:blipFill>
                <pic:spPr bwMode="auto">
                  <a:xfrm>
                    <a:off x="0" y="0"/>
                    <a:ext cx="2456180" cy="442595"/>
                  </a:xfrm>
                  <a:prstGeom prst="rect">
                    <a:avLst/>
                  </a:prstGeom>
                  <a:noFill/>
                  <a:ln w="9525">
                    <a:noFill/>
                    <a:miter lim="800000"/>
                    <a:headEnd/>
                    <a:tailEnd/>
                  </a:ln>
                </pic:spPr>
              </pic:pic>
            </a:graphicData>
          </a:graphic>
        </wp:inline>
      </w:drawing>
    </w:r>
    <w:r>
      <w:rPr>
        <w:rFonts w:eastAsia="Times New Roman"/>
        <w:b/>
      </w:rPr>
      <w:t xml:space="preserve">                                                  </w:t>
    </w:r>
    <w:r>
      <w:rPr>
        <w:b/>
      </w:rPr>
      <w:t>Výročná správa 2021</w:t>
    </w:r>
  </w:p>
  <w:p>
    <w:pPr>
      <w:pStyle w:val="Hlavika"/>
      <w:tabs>
        <w:tab w:val="center" w:pos="4536" w:leader="none"/>
        <w:tab w:val="right" w:pos="9072" w:leader="none"/>
      </w:tabs>
      <w:spacing w:before="0" w:after="200"/>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432" w:hanging="432"/>
      </w:pPr>
      <w:rPr/>
    </w:lvl>
    <w:lvl w:ilvl="1">
      <w:start w:val="1"/>
      <w:numFmt w:val="none"/>
      <w:suff w:val="nothing"/>
      <w:lvlText w:val=""/>
      <w:lvlJc w:val="left"/>
      <w:pPr>
        <w:ind w:left="576" w:hanging="576"/>
      </w:pPr>
      <w:rPr/>
    </w:lvl>
    <w:lvl w:ilvl="2">
      <w:start w:val="1"/>
      <w:numFmt w:val="none"/>
      <w:suff w:val="nothing"/>
      <w:lvlText w:val=""/>
      <w:lvlJc w:val="left"/>
      <w:pPr>
        <w:ind w:left="720" w:hanging="720"/>
      </w:pPr>
      <w:rPr/>
    </w:lvl>
    <w:lvl w:ilvl="3">
      <w:start w:val="1"/>
      <w:numFmt w:val="none"/>
      <w:suff w:val="nothing"/>
      <w:lvlText w:val=""/>
      <w:lvlJc w:val="left"/>
      <w:pPr>
        <w:ind w:left="864" w:hanging="864"/>
      </w:pPr>
      <w:rPr/>
    </w:lvl>
    <w:lvl w:ilvl="4">
      <w:start w:val="1"/>
      <w:numFmt w:val="none"/>
      <w:suff w:val="nothing"/>
      <w:lvlText w:val=""/>
      <w:lvlJc w:val="left"/>
      <w:pPr>
        <w:ind w:left="1008" w:hanging="1008"/>
      </w:pPr>
      <w:rPr/>
    </w:lvl>
    <w:lvl w:ilvl="5">
      <w:start w:val="1"/>
      <w:numFmt w:val="none"/>
      <w:suff w:val="nothing"/>
      <w:lvlText w:val=""/>
      <w:lvlJc w:val="left"/>
      <w:pPr>
        <w:ind w:left="1152" w:hanging="1152"/>
      </w:pPr>
      <w:rPr/>
    </w:lvl>
    <w:lvl w:ilvl="6">
      <w:start w:val="1"/>
      <w:numFmt w:val="none"/>
      <w:suff w:val="nothing"/>
      <w:lvlText w:val=""/>
      <w:lvlJc w:val="left"/>
      <w:pPr>
        <w:ind w:left="1296" w:hanging="1296"/>
      </w:pPr>
      <w:rPr/>
    </w:lvl>
    <w:lvl w:ilvl="7">
      <w:start w:val="1"/>
      <w:numFmt w:val="none"/>
      <w:suff w:val="nothing"/>
      <w:lvlText w:val=""/>
      <w:lvlJc w:val="left"/>
      <w:pPr>
        <w:ind w:left="1440" w:hanging="1440"/>
      </w:pPr>
      <w:rPr/>
    </w:lvl>
    <w:lvl w:ilvl="8">
      <w:start w:val="1"/>
      <w:numFmt w:val="none"/>
      <w:suff w:val="nothing"/>
      <w:lvlText w:val=""/>
      <w:lvlJc w:val="left"/>
      <w:pPr>
        <w:ind w:left="1584" w:hanging="1584"/>
      </w:pPr>
      <w:rPr/>
    </w:lvl>
  </w:abstractNum>
  <w:abstractNum w:abstractNumId="2">
    <w:lvl w:ilvl="0">
      <w:start w:val="1"/>
      <w:numFmt w:val="none"/>
      <w:suff w:val="nothing"/>
      <w:lvlText w:val=""/>
      <w:lvlJc w:val="left"/>
      <w:pPr>
        <w:ind w:left="432" w:hanging="432"/>
      </w:pPr>
      <w:rPr/>
    </w:lvl>
    <w:lvl w:ilvl="1">
      <w:start w:val="1"/>
      <w:numFmt w:val="none"/>
      <w:suff w:val="nothing"/>
      <w:lvlText w:val=""/>
      <w:lvlJc w:val="left"/>
      <w:pPr>
        <w:ind w:left="576" w:hanging="576"/>
      </w:pPr>
      <w:rPr/>
    </w:lvl>
    <w:lvl w:ilvl="2">
      <w:start w:val="1"/>
      <w:numFmt w:val="none"/>
      <w:suff w:val="nothing"/>
      <w:lvlText w:val=""/>
      <w:lvlJc w:val="left"/>
      <w:pPr>
        <w:ind w:left="720" w:hanging="720"/>
      </w:pPr>
      <w:rPr/>
    </w:lvl>
    <w:lvl w:ilvl="3">
      <w:start w:val="1"/>
      <w:numFmt w:val="none"/>
      <w:suff w:val="nothing"/>
      <w:lvlText w:val=""/>
      <w:lvlJc w:val="left"/>
      <w:pPr>
        <w:ind w:left="864" w:hanging="864"/>
      </w:pPr>
      <w:rPr/>
    </w:lvl>
    <w:lvl w:ilvl="4">
      <w:start w:val="1"/>
      <w:numFmt w:val="none"/>
      <w:suff w:val="nothing"/>
      <w:lvlText w:val=""/>
      <w:lvlJc w:val="left"/>
      <w:pPr>
        <w:ind w:left="1008" w:hanging="1008"/>
      </w:pPr>
      <w:rPr/>
    </w:lvl>
    <w:lvl w:ilvl="5">
      <w:start w:val="1"/>
      <w:numFmt w:val="none"/>
      <w:suff w:val="nothing"/>
      <w:lvlText w:val=""/>
      <w:lvlJc w:val="left"/>
      <w:pPr>
        <w:ind w:left="1152" w:hanging="1152"/>
      </w:pPr>
      <w:rPr/>
    </w:lvl>
    <w:lvl w:ilvl="6">
      <w:start w:val="1"/>
      <w:numFmt w:val="none"/>
      <w:suff w:val="nothing"/>
      <w:lvlText w:val=""/>
      <w:lvlJc w:val="left"/>
      <w:pPr>
        <w:ind w:left="1296" w:hanging="1296"/>
      </w:pPr>
      <w:rPr/>
    </w:lvl>
    <w:lvl w:ilvl="7">
      <w:start w:val="1"/>
      <w:numFmt w:val="none"/>
      <w:suff w:val="nothing"/>
      <w:lvlText w:val=""/>
      <w:lvlJc w:val="left"/>
      <w:pPr>
        <w:ind w:left="1440" w:hanging="1440"/>
      </w:pPr>
      <w:rPr/>
    </w:lvl>
    <w:lvl w:ilvl="8">
      <w:start w:val="1"/>
      <w:numFmt w:val="none"/>
      <w:suff w:val="nothing"/>
      <w:lvlText w:val=""/>
      <w:lvlJc w:val="left"/>
      <w:pPr>
        <w:ind w:left="1584" w:hanging="1584"/>
      </w:pPr>
      <w:rPr/>
    </w:lvl>
  </w:abstractNum>
  <w:abstractNum w:abstractNumId="3">
    <w:lvl w:ilvl="0">
      <w:start w:val="0"/>
      <w:numFmt w:val="bullet"/>
      <w:lvlText w:val=""/>
      <w:lvlJc w:val="left"/>
      <w:pPr>
        <w:tabs>
          <w:tab w:val="num" w:pos="360"/>
        </w:tabs>
        <w:ind w:left="540" w:hanging="360"/>
      </w:pPr>
      <w:rPr>
        <w:rFonts w:ascii="Symbol" w:hAnsi="Symbol" w:cs="Symbol" w:hint="default"/>
      </w:r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20"/>
</w:settings>
</file>

<file path=word/styles.xml><?xml version="1.0" encoding="utf-8"?>
<w:styles xmlns:w="http://schemas.openxmlformats.org/wordprocessingml/2006/main">
  <w:docDefaults>
    <w:rPrDefault>
      <w:rPr>
        <w:rFonts w:ascii="Liberation Serif" w:hAnsi="Liberation Serif" w:eastAsia="SimSun" w:cs="Arial Unicode MS"/>
        <w:sz w:val="24"/>
        <w:szCs w:val="24"/>
        <w:lang w:val="sk-SK" w:eastAsia="zh-CN" w:bidi="hi-IN"/>
      </w:rPr>
    </w:rPrDefault>
    <w:pPrDefault>
      <w:pPr/>
    </w:pPrDefault>
  </w:docDefaults>
  <w:style w:type="paragraph" w:styleId="Normal">
    <w:name w:val="Normal"/>
    <w:pPr>
      <w:widowControl/>
      <w:suppressAutoHyphens w:val="true"/>
      <w:bidi w:val="0"/>
      <w:spacing w:lineRule="auto" w:line="276" w:before="0" w:after="200"/>
    </w:pPr>
    <w:rPr>
      <w:rFonts w:ascii="Times New Roman" w:hAnsi="Times New Roman" w:eastAsia="Calibri" w:cs="Times New Roman"/>
      <w:color w:val="auto"/>
      <w:sz w:val="24"/>
      <w:szCs w:val="24"/>
      <w:lang w:val="sk-SK" w:eastAsia="zh-CN" w:bidi="ar-SA"/>
    </w:rPr>
  </w:style>
  <w:style w:type="paragraph" w:styleId="Nadpis1">
    <w:name w:val="Nadpis 1"/>
    <w:basedOn w:val="Normal"/>
    <w:next w:val="Normal"/>
    <w:pPr>
      <w:keepNext/>
      <w:spacing w:before="240" w:after="60"/>
    </w:pPr>
    <w:rPr>
      <w:rFonts w:ascii="Calibri Light" w:hAnsi="Calibri Light" w:eastAsia="Times New Roman" w:cs="Times New Roman"/>
      <w:b/>
      <w:bCs/>
      <w:sz w:val="32"/>
      <w:szCs w:val="32"/>
    </w:rPr>
  </w:style>
  <w:style w:type="paragraph" w:styleId="Nadpis2">
    <w:name w:val="Nadpis 2"/>
    <w:basedOn w:val="Normal"/>
    <w:next w:val="Telotextu"/>
    <w:pPr>
      <w:numPr>
        <w:ilvl w:val="1"/>
        <w:numId w:val="2"/>
      </w:numPr>
      <w:spacing w:lineRule="auto" w:line="240" w:before="280" w:after="280"/>
      <w:outlineLvl w:val="1"/>
      <w:outlineLvl w:val="1"/>
    </w:pPr>
    <w:rPr>
      <w:rFonts w:eastAsia="Times New Roman"/>
      <w:b/>
      <w:bCs/>
      <w:sz w:val="36"/>
      <w:szCs w:val="36"/>
    </w:rPr>
  </w:style>
  <w:style w:type="character" w:styleId="WW8Num1z0">
    <w:name w:val="WW8Num1z0"/>
    <w:rPr/>
  </w:style>
  <w:style w:type="character" w:styleId="WW8Num2z0">
    <w:name w:val="WW8Num2z0"/>
    <w:rPr/>
  </w:style>
  <w:style w:type="character" w:styleId="WW8Num2z1">
    <w:name w:val="WW8Num2z1"/>
    <w:rPr/>
  </w:style>
  <w:style w:type="character" w:styleId="WW8Num2z2">
    <w:name w:val="WW8Num2z2"/>
    <w:rPr/>
  </w:style>
  <w:style w:type="character" w:styleId="WW8Num2z3">
    <w:name w:val="WW8Num2z3"/>
    <w:rPr/>
  </w:style>
  <w:style w:type="character" w:styleId="WW8Num2z4">
    <w:name w:val="WW8Num2z4"/>
    <w:rPr/>
  </w:style>
  <w:style w:type="character" w:styleId="WW8Num2z5">
    <w:name w:val="WW8Num2z5"/>
    <w:rPr/>
  </w:style>
  <w:style w:type="character" w:styleId="WW8Num2z6">
    <w:name w:val="WW8Num2z6"/>
    <w:rPr/>
  </w:style>
  <w:style w:type="character" w:styleId="WW8Num2z7">
    <w:name w:val="WW8Num2z7"/>
    <w:rPr/>
  </w:style>
  <w:style w:type="character" w:styleId="WW8Num2z8">
    <w:name w:val="WW8Num2z8"/>
    <w:rPr/>
  </w:style>
  <w:style w:type="character" w:styleId="WW8Num3z0">
    <w:name w:val="WW8Num3z0"/>
    <w:rPr/>
  </w:style>
  <w:style w:type="character" w:styleId="WW8Num3z1">
    <w:name w:val="WW8Num3z1"/>
    <w:rPr/>
  </w:style>
  <w:style w:type="character" w:styleId="WW8Num3z2">
    <w:name w:val="WW8Num3z2"/>
    <w:rPr/>
  </w:style>
  <w:style w:type="character" w:styleId="WW8Num3z3">
    <w:name w:val="WW8Num3z3"/>
    <w:rPr/>
  </w:style>
  <w:style w:type="character" w:styleId="WW8Num3z4">
    <w:name w:val="WW8Num3z4"/>
    <w:rPr/>
  </w:style>
  <w:style w:type="character" w:styleId="WW8Num3z5">
    <w:name w:val="WW8Num3z5"/>
    <w:rPr/>
  </w:style>
  <w:style w:type="character" w:styleId="WW8Num3z6">
    <w:name w:val="WW8Num3z6"/>
    <w:rPr/>
  </w:style>
  <w:style w:type="character" w:styleId="WW8Num3z7">
    <w:name w:val="WW8Num3z7"/>
    <w:rPr/>
  </w:style>
  <w:style w:type="character" w:styleId="WW8Num3z8">
    <w:name w:val="WW8Num3z8"/>
    <w:rPr/>
  </w:style>
  <w:style w:type="character" w:styleId="WW8Num4z0">
    <w:name w:val="WW8Num4z0"/>
    <w:rPr/>
  </w:style>
  <w:style w:type="character" w:styleId="WW8Num4z1">
    <w:name w:val="WW8Num4z1"/>
    <w:rPr/>
  </w:style>
  <w:style w:type="character" w:styleId="WW8Num4z2">
    <w:name w:val="WW8Num4z2"/>
    <w:rPr/>
  </w:style>
  <w:style w:type="character" w:styleId="WW8Num4z3">
    <w:name w:val="WW8Num4z3"/>
    <w:rPr/>
  </w:style>
  <w:style w:type="character" w:styleId="WW8Num4z4">
    <w:name w:val="WW8Num4z4"/>
    <w:rPr/>
  </w:style>
  <w:style w:type="character" w:styleId="WW8Num4z5">
    <w:name w:val="WW8Num4z5"/>
    <w:rPr/>
  </w:style>
  <w:style w:type="character" w:styleId="WW8Num4z6">
    <w:name w:val="WW8Num4z6"/>
    <w:rPr/>
  </w:style>
  <w:style w:type="character" w:styleId="WW8Num4z7">
    <w:name w:val="WW8Num4z7"/>
    <w:rPr/>
  </w:style>
  <w:style w:type="character" w:styleId="WW8Num4z8">
    <w:name w:val="WW8Num4z8"/>
    <w:rPr/>
  </w:style>
  <w:style w:type="character" w:styleId="WW8Num5z0">
    <w:name w:val="WW8Num5z0"/>
    <w:rPr>
      <w:rFonts w:ascii="Symbol" w:hAnsi="Symbol" w:cs="Symbol"/>
    </w:rPr>
  </w:style>
  <w:style w:type="character" w:styleId="WW8Num5z1">
    <w:name w:val="WW8Num5z1"/>
    <w:rPr>
      <w:rFonts w:ascii="Courier New" w:hAnsi="Courier New" w:cs="Courier New"/>
    </w:rPr>
  </w:style>
  <w:style w:type="character" w:styleId="WW8Num5z2">
    <w:name w:val="WW8Num5z2"/>
    <w:rPr>
      <w:rFonts w:ascii="Wingdings" w:hAnsi="Wingdings" w:cs="Wingdings"/>
    </w:rPr>
  </w:style>
  <w:style w:type="character" w:styleId="WW8NumSt4z0">
    <w:name w:val="WW8NumSt4z0"/>
    <w:rPr>
      <w:rFonts w:ascii="Symbol" w:hAnsi="Symbol" w:cs="Symbol"/>
    </w:rPr>
  </w:style>
  <w:style w:type="character" w:styleId="Predvolenpsmoodseku">
    <w:name w:val="Predvolené písmo odseku"/>
    <w:rPr/>
  </w:style>
  <w:style w:type="character" w:styleId="WW8Num1z1">
    <w:name w:val="WW8Num1z1"/>
    <w:rPr/>
  </w:style>
  <w:style w:type="character" w:styleId="WW8Num1z2">
    <w:name w:val="WW8Num1z2"/>
    <w:rPr/>
  </w:style>
  <w:style w:type="character" w:styleId="WW8Num1z3">
    <w:name w:val="WW8Num1z3"/>
    <w:rPr/>
  </w:style>
  <w:style w:type="character" w:styleId="WW8Num1z4">
    <w:name w:val="WW8Num1z4"/>
    <w:rPr/>
  </w:style>
  <w:style w:type="character" w:styleId="WW8Num1z5">
    <w:name w:val="WW8Num1z5"/>
    <w:rPr/>
  </w:style>
  <w:style w:type="character" w:styleId="WW8Num1z6">
    <w:name w:val="WW8Num1z6"/>
    <w:rPr/>
  </w:style>
  <w:style w:type="character" w:styleId="WW8Num1z7">
    <w:name w:val="WW8Num1z7"/>
    <w:rPr/>
  </w:style>
  <w:style w:type="character" w:styleId="WW8Num1z8">
    <w:name w:val="WW8Num1z8"/>
    <w:rPr/>
  </w:style>
  <w:style w:type="character" w:styleId="Predvolenpsmoodseku2">
    <w:name w:val="Predvolené písmo odseku2"/>
    <w:rPr/>
  </w:style>
  <w:style w:type="character" w:styleId="Predvolenpsmoodseku1">
    <w:name w:val="Predvolené písmo odseku1"/>
    <w:rPr/>
  </w:style>
  <w:style w:type="character" w:styleId="Ra">
    <w:name w:val="ra"/>
    <w:rPr/>
  </w:style>
  <w:style w:type="character" w:styleId="HlavikaChar">
    <w:name w:val="Hlavička Char"/>
    <w:rPr>
      <w:sz w:val="24"/>
      <w:szCs w:val="24"/>
    </w:rPr>
  </w:style>
  <w:style w:type="character" w:styleId="PtaChar">
    <w:name w:val="Päta Char"/>
    <w:rPr>
      <w:sz w:val="24"/>
      <w:szCs w:val="24"/>
    </w:rPr>
  </w:style>
  <w:style w:type="character" w:styleId="TextbublinyChar">
    <w:name w:val="Text bubliny Char"/>
    <w:rPr>
      <w:rFonts w:ascii="Tahoma" w:hAnsi="Tahoma" w:cs="Tahoma"/>
      <w:sz w:val="16"/>
      <w:szCs w:val="16"/>
    </w:rPr>
  </w:style>
  <w:style w:type="character" w:styleId="Nadpis2Char">
    <w:name w:val="Nadpis 2 Char"/>
    <w:rPr>
      <w:rFonts w:eastAsia="Times New Roman"/>
      <w:b/>
      <w:bCs/>
      <w:sz w:val="36"/>
      <w:szCs w:val="36"/>
    </w:rPr>
  </w:style>
  <w:style w:type="character" w:styleId="Hps">
    <w:name w:val="hps"/>
    <w:basedOn w:val="Predvolenpsmoodseku1"/>
    <w:rPr/>
  </w:style>
  <w:style w:type="character" w:styleId="Internetovodkaz">
    <w:name w:val="Internetový odkaz"/>
    <w:rPr>
      <w:color w:val="0000FF"/>
      <w:u w:val="single"/>
    </w:rPr>
  </w:style>
  <w:style w:type="character" w:styleId="Silnzvraznenie">
    <w:name w:val="Silné zvýraznenie"/>
    <w:rPr>
      <w:b/>
      <w:bCs/>
    </w:rPr>
  </w:style>
  <w:style w:type="character" w:styleId="Nadpis1Char">
    <w:name w:val="Nadpis 1 Char"/>
    <w:rPr>
      <w:rFonts w:ascii="Calibri Light" w:hAnsi="Calibri Light" w:eastAsia="Times New Roman" w:cs="Times New Roman"/>
      <w:b/>
      <w:bCs/>
      <w:sz w:val="32"/>
      <w:szCs w:val="32"/>
      <w:lang w:eastAsia="zh-CN"/>
    </w:rPr>
  </w:style>
  <w:style w:type="character" w:styleId="Zarkazkladnhotextu2Char">
    <w:name w:val="Zarážka základného textu 2 Char"/>
    <w:rPr>
      <w:rFonts w:eastAsia="Calibri"/>
      <w:sz w:val="24"/>
      <w:szCs w:val="24"/>
      <w:lang w:eastAsia="zh-CN"/>
    </w:rPr>
  </w:style>
  <w:style w:type="paragraph" w:styleId="Nadpis">
    <w:name w:val="Nadpis"/>
    <w:basedOn w:val="Normal"/>
    <w:next w:val="Telotextu"/>
    <w:pPr>
      <w:keepNext/>
      <w:spacing w:before="240" w:after="120"/>
    </w:pPr>
    <w:rPr>
      <w:rFonts w:ascii="Liberation Sans;Arial" w:hAnsi="Liberation Sans;Arial" w:eastAsia="Microsoft YaHei" w:cs="Arial Unicode MS"/>
      <w:sz w:val="28"/>
      <w:szCs w:val="28"/>
    </w:rPr>
  </w:style>
  <w:style w:type="paragraph" w:styleId="Telotextu">
    <w:name w:val="Telo textu"/>
    <w:basedOn w:val="Normal"/>
    <w:pPr>
      <w:spacing w:lineRule="auto" w:line="288" w:before="0" w:after="140"/>
    </w:pPr>
    <w:rPr/>
  </w:style>
  <w:style w:type="paragraph" w:styleId="Zoznam">
    <w:name w:val="Zoznam"/>
    <w:basedOn w:val="Telotextu"/>
    <w:pPr/>
    <w:rPr>
      <w:rFonts w:cs="Arial Unicode MS"/>
    </w:rPr>
  </w:style>
  <w:style w:type="paragraph" w:styleId="Popis">
    <w:name w:val="Popis"/>
    <w:basedOn w:val="Normal"/>
    <w:pPr>
      <w:suppressLineNumbers/>
      <w:spacing w:before="120" w:after="120"/>
    </w:pPr>
    <w:rPr>
      <w:rFonts w:cs="Arial Unicode MS"/>
      <w:i/>
      <w:iCs/>
      <w:sz w:val="24"/>
      <w:szCs w:val="24"/>
    </w:rPr>
  </w:style>
  <w:style w:type="paragraph" w:styleId="Index">
    <w:name w:val="Index"/>
    <w:basedOn w:val="Normal"/>
    <w:pPr>
      <w:suppressLineNumbers/>
    </w:pPr>
    <w:rPr>
      <w:rFonts w:cs="Arial Unicode MS"/>
    </w:rPr>
  </w:style>
  <w:style w:type="paragraph" w:styleId="Hlavika">
    <w:name w:val="Hlavička"/>
    <w:basedOn w:val="Normal"/>
    <w:pPr>
      <w:tabs>
        <w:tab w:val="center" w:pos="4536" w:leader="none"/>
        <w:tab w:val="right" w:pos="9072" w:leader="none"/>
      </w:tabs>
    </w:pPr>
    <w:rPr/>
  </w:style>
  <w:style w:type="paragraph" w:styleId="Pta">
    <w:name w:val="Päta"/>
    <w:basedOn w:val="Normal"/>
    <w:pPr>
      <w:tabs>
        <w:tab w:val="center" w:pos="4536" w:leader="none"/>
        <w:tab w:val="right" w:pos="9072" w:leader="none"/>
      </w:tabs>
    </w:pPr>
    <w:rPr/>
  </w:style>
  <w:style w:type="paragraph" w:styleId="Textbubliny">
    <w:name w:val="Text bubliny"/>
    <w:basedOn w:val="Normal"/>
    <w:pPr>
      <w:spacing w:lineRule="auto" w:line="240" w:before="0" w:after="0"/>
    </w:pPr>
    <w:rPr>
      <w:rFonts w:ascii="Tahoma" w:hAnsi="Tahoma" w:cs="Tahoma"/>
      <w:sz w:val="16"/>
      <w:szCs w:val="16"/>
    </w:rPr>
  </w:style>
  <w:style w:type="paragraph" w:styleId="Article2">
    <w:name w:val="article2"/>
    <w:basedOn w:val="Normal"/>
    <w:pPr>
      <w:spacing w:lineRule="auto" w:line="240" w:before="280" w:after="280"/>
    </w:pPr>
    <w:rPr>
      <w:rFonts w:eastAsia="Times New Roman"/>
    </w:rPr>
  </w:style>
  <w:style w:type="paragraph" w:styleId="Normlnywebov">
    <w:name w:val="Normálny (webový)"/>
    <w:basedOn w:val="Normal"/>
    <w:pPr>
      <w:spacing w:lineRule="auto" w:line="240" w:before="280" w:after="280"/>
    </w:pPr>
    <w:rPr>
      <w:rFonts w:eastAsia="Times New Roman"/>
    </w:rPr>
  </w:style>
  <w:style w:type="paragraph" w:styleId="Obsahtabuky">
    <w:name w:val="Obsah tabuľky"/>
    <w:basedOn w:val="Normal"/>
    <w:pPr>
      <w:suppressLineNumbers/>
    </w:pPr>
    <w:rPr/>
  </w:style>
  <w:style w:type="paragraph" w:styleId="Nadpistabuky">
    <w:name w:val="Nadpis tabuľky"/>
    <w:basedOn w:val="Obsahtabuky"/>
    <w:pPr>
      <w:suppressLineNumbers/>
      <w:jc w:val="center"/>
    </w:pPr>
    <w:rPr>
      <w:b/>
      <w:bCs/>
    </w:rPr>
  </w:style>
  <w:style w:type="paragraph" w:styleId="Zarkazkladnhotextu2">
    <w:name w:val="Zarážka základného textu 2"/>
    <w:basedOn w:val="Normal"/>
    <w:pPr>
      <w:spacing w:lineRule="auto" w:line="480" w:before="0" w:after="120"/>
      <w:ind w:left="283" w:right="0" w:hanging="0"/>
    </w:pPr>
    <w:rPr/>
  </w:style>
  <w:style w:type="paragraph" w:styleId="Bulletindent">
    <w:name w:val="Bullet indent"/>
    <w:basedOn w:val="Normal"/>
    <w:pPr>
      <w:widowControl w:val="false"/>
      <w:numPr>
        <w:ilvl w:val="0"/>
        <w:numId w:val="3"/>
      </w:numPr>
      <w:suppressAutoHyphens w:val="false"/>
      <w:overflowPunct w:val="false"/>
      <w:autoSpaceDE w:val="false"/>
      <w:spacing w:lineRule="exact" w:line="280" w:before="0" w:after="0"/>
      <w:ind w:left="547" w:right="0" w:hanging="0"/>
      <w:jc w:val="both"/>
      <w:textAlignment w:val="baseline"/>
    </w:pPr>
    <w:rPr>
      <w:rFonts w:eastAsia="Times New Roman"/>
      <w:sz w:val="22"/>
      <w:szCs w:val="20"/>
      <w:lang w:val="en-US"/>
    </w:rPr>
  </w:style>
  <w:style w:type="numbering" w:styleId="WW8Num1">
    <w:name w:val="WW8Num1"/>
  </w:style>
  <w:style w:type="numbering" w:styleId="WW8Num2">
    <w:name w:val="WW8Num2"/>
  </w:style>
  <w:style w:type="numbering" w:styleId="WW8Num3">
    <w:name w:val="WW8Num3"/>
  </w:style>
  <w:style w:type="numbering" w:styleId="WW8Num4">
    <w:name w:val="WW8Num4"/>
  </w:style>
  <w:style w:type="numbering" w:styleId="WW8Num5">
    <w:name w:val="WW8Num5"/>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image" Target="media/image3.png"/><Relationship Id="rId5" Type="http://schemas.openxmlformats.org/officeDocument/2006/relationships/image" Target="media/image4.png"/><Relationship Id="rId6" Type="http://schemas.openxmlformats.org/officeDocument/2006/relationships/image" Target="media/image5.pn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6.jpeg"/>
</Relationships>
</file>

<file path=word/_rels/header2.xml.rels><?xml version="1.0" encoding="UTF-8"?>
<Relationships xmlns="http://schemas.openxmlformats.org/package/2006/relationships"><Relationship Id="rId1" Type="http://schemas.openxmlformats.org/officeDocument/2006/relationships/image" Target="media/image7.jpeg"/>
</Relationships>
</file>

<file path=docProps/app.xml><?xml version="1.0" encoding="utf-8"?>
<Properties xmlns="http://schemas.openxmlformats.org/officeDocument/2006/extended-properties" xmlns:vt="http://schemas.openxmlformats.org/officeDocument/2006/docPropsVTypes">
  <Template>Normal</Template>
  <TotalTime>2760</TotalTime>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2021-07-21T15:00:00Z</dcterms:created>
  <dc:creator>miso</dc:creator>
  <dc:language>sk-SK</dc:language>
  <cp:lastModifiedBy>Michal Lazo</cp:lastModifiedBy>
  <dcterms:modified xsi:type="dcterms:W3CDTF">2022-09-20T14:52:00Z</dcterms:modified>
  <cp:revision>28</cp:revision>
  <dc:title>GRAS SK s.r.o., Sov. Hrdinov 243/88, 089 01 Svidník IČO: 44 764 324</dc:title>
</cp:coreProperties>
</file>