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AE19A3" w14:textId="77777777" w:rsidR="005D6F2F" w:rsidRDefault="00000000">
      <w:pPr>
        <w:rPr>
          <w:u w:val="single"/>
        </w:rPr>
      </w:pPr>
      <w:r>
        <w:rPr>
          <w:u w:val="single"/>
        </w:rPr>
        <w:t>Poznámka:</w:t>
      </w:r>
    </w:p>
    <w:p w14:paraId="671A6259" w14:textId="77777777" w:rsidR="005D6F2F" w:rsidRDefault="005D6F2F">
      <w:pPr>
        <w:rPr>
          <w:sz w:val="14"/>
          <w:szCs w:val="14"/>
        </w:rPr>
      </w:pPr>
    </w:p>
    <w:p w14:paraId="7A3BCBE4" w14:textId="77777777" w:rsidR="005D6F2F" w:rsidRDefault="00000000">
      <w: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6309E8AE" w14:textId="77777777" w:rsidR="005D6F2F" w:rsidRDefault="005D6F2F">
      <w:pPr>
        <w:rPr>
          <w:sz w:val="14"/>
          <w:szCs w:val="14"/>
        </w:rPr>
      </w:pPr>
    </w:p>
    <w:p w14:paraId="0E3048FC" w14:textId="77777777" w:rsidR="005D6F2F" w:rsidRDefault="005D6F2F">
      <w:pPr>
        <w:rPr>
          <w:sz w:val="14"/>
          <w:szCs w:val="14"/>
        </w:rPr>
      </w:pPr>
    </w:p>
    <w:p w14:paraId="6D6CA2FE" w14:textId="77777777" w:rsidR="005D6F2F" w:rsidRDefault="00000000">
      <w:pPr>
        <w:pStyle w:val="Nadpis1"/>
        <w:numPr>
          <w:ilvl w:val="0"/>
          <w:numId w:val="8"/>
        </w:numPr>
      </w:pPr>
      <w:r>
        <w:t>VŠEOBECNÉ INFORMÁCIE</w:t>
      </w:r>
    </w:p>
    <w:p w14:paraId="7BB5D3FE" w14:textId="77777777" w:rsidR="005D6F2F" w:rsidRDefault="005D6F2F">
      <w:pPr>
        <w:rPr>
          <w:b/>
          <w:sz w:val="14"/>
          <w:szCs w:val="14"/>
          <w:u w:val="single"/>
        </w:rPr>
      </w:pPr>
    </w:p>
    <w:p w14:paraId="0992C2DE" w14:textId="77777777" w:rsidR="005D6F2F" w:rsidRDefault="00000000">
      <w:pPr>
        <w:pStyle w:val="Nadpis2"/>
        <w:numPr>
          <w:ilvl w:val="1"/>
          <w:numId w:val="8"/>
        </w:numPr>
      </w:pPr>
      <w:r>
        <w:t>Základné údaje o spoločnosti</w:t>
      </w:r>
    </w:p>
    <w:p w14:paraId="5E4A8168" w14:textId="77777777" w:rsidR="005D6F2F" w:rsidRDefault="005D6F2F">
      <w:pPr>
        <w:rPr>
          <w:b/>
          <w:sz w:val="14"/>
          <w:szCs w:val="14"/>
          <w:u w:val="single"/>
        </w:rPr>
      </w:pPr>
    </w:p>
    <w:tbl>
      <w:tblPr>
        <w:tblStyle w:val="a"/>
        <w:tblW w:w="9072" w:type="dxa"/>
        <w:tblInd w:w="108" w:type="dxa"/>
        <w:tblBorders>
          <w:top w:val="single" w:sz="8" w:space="0" w:color="000000"/>
          <w:bottom w:val="single" w:sz="8" w:space="0" w:color="000000"/>
        </w:tblBorders>
        <w:tblLayout w:type="fixed"/>
        <w:tblLook w:val="0000" w:firstRow="0" w:lastRow="0" w:firstColumn="0" w:lastColumn="0" w:noHBand="0" w:noVBand="0"/>
      </w:tblPr>
      <w:tblGrid>
        <w:gridCol w:w="3969"/>
        <w:gridCol w:w="5103"/>
      </w:tblGrid>
      <w:tr w:rsidR="005D6F2F" w14:paraId="2B34DA0C" w14:textId="77777777">
        <w:tc>
          <w:tcPr>
            <w:tcW w:w="3969" w:type="dxa"/>
            <w:tcBorders>
              <w:top w:val="single" w:sz="8" w:space="0" w:color="000000"/>
              <w:bottom w:val="dotted" w:sz="4" w:space="0" w:color="000000"/>
            </w:tcBorders>
          </w:tcPr>
          <w:p w14:paraId="6B536CE9" w14:textId="77777777" w:rsidR="005D6F2F" w:rsidRDefault="00000000">
            <w:pPr>
              <w:rPr>
                <w:b/>
                <w:sz w:val="15"/>
                <w:szCs w:val="15"/>
              </w:rPr>
            </w:pPr>
            <w:r>
              <w:rPr>
                <w:b/>
                <w:sz w:val="15"/>
                <w:szCs w:val="15"/>
              </w:rPr>
              <w:t>Obchodné meno a sídlo</w:t>
            </w:r>
          </w:p>
        </w:tc>
        <w:tc>
          <w:tcPr>
            <w:tcW w:w="5103" w:type="dxa"/>
            <w:tcBorders>
              <w:top w:val="single" w:sz="8" w:space="0" w:color="000000"/>
              <w:bottom w:val="dotted" w:sz="4" w:space="0" w:color="000000"/>
            </w:tcBorders>
          </w:tcPr>
          <w:p w14:paraId="7A8629B1" w14:textId="77777777" w:rsidR="005D6F2F" w:rsidRDefault="00000000">
            <w:pPr>
              <w:rPr>
                <w:sz w:val="15"/>
                <w:szCs w:val="15"/>
              </w:rPr>
            </w:pPr>
            <w:r>
              <w:rPr>
                <w:sz w:val="15"/>
                <w:szCs w:val="15"/>
              </w:rPr>
              <w:t xml:space="preserve">TAKTIK International, </w:t>
            </w:r>
            <w:proofErr w:type="spellStart"/>
            <w:r>
              <w:rPr>
                <w:sz w:val="15"/>
                <w:szCs w:val="15"/>
              </w:rPr>
              <w:t>s.r.o</w:t>
            </w:r>
            <w:proofErr w:type="spellEnd"/>
            <w:r>
              <w:rPr>
                <w:sz w:val="15"/>
                <w:szCs w:val="15"/>
              </w:rPr>
              <w:t>. („spoločnosť“)</w:t>
            </w:r>
          </w:p>
          <w:p w14:paraId="07FA5FAB" w14:textId="77777777" w:rsidR="005D6F2F" w:rsidRDefault="00000000">
            <w:pPr>
              <w:rPr>
                <w:sz w:val="15"/>
                <w:szCs w:val="15"/>
              </w:rPr>
            </w:pPr>
            <w:r>
              <w:rPr>
                <w:sz w:val="15"/>
                <w:szCs w:val="15"/>
              </w:rPr>
              <w:t>Krompašská 510/96, 040 01 Košice</w:t>
            </w:r>
          </w:p>
        </w:tc>
      </w:tr>
      <w:tr w:rsidR="005D6F2F" w14:paraId="19AE5DEB" w14:textId="77777777">
        <w:tc>
          <w:tcPr>
            <w:tcW w:w="3969" w:type="dxa"/>
            <w:tcBorders>
              <w:top w:val="dotted" w:sz="4" w:space="0" w:color="000000"/>
            </w:tcBorders>
          </w:tcPr>
          <w:p w14:paraId="259DB74F" w14:textId="77777777" w:rsidR="005D6F2F" w:rsidRDefault="00000000">
            <w:pPr>
              <w:rPr>
                <w:b/>
                <w:sz w:val="15"/>
                <w:szCs w:val="15"/>
              </w:rPr>
            </w:pPr>
            <w:r>
              <w:rPr>
                <w:b/>
                <w:sz w:val="15"/>
                <w:szCs w:val="15"/>
              </w:rPr>
              <w:t>Hospodárska činnosť</w:t>
            </w:r>
          </w:p>
        </w:tc>
        <w:tc>
          <w:tcPr>
            <w:tcW w:w="5103" w:type="dxa"/>
            <w:tcBorders>
              <w:top w:val="dotted" w:sz="4" w:space="0" w:color="000000"/>
            </w:tcBorders>
          </w:tcPr>
          <w:p w14:paraId="2E8E06FA" w14:textId="77777777" w:rsidR="005D6F2F" w:rsidRDefault="00000000">
            <w:pPr>
              <w:numPr>
                <w:ilvl w:val="0"/>
                <w:numId w:val="9"/>
              </w:numPr>
              <w:ind w:left="243" w:hanging="243"/>
              <w:rPr>
                <w:sz w:val="15"/>
                <w:szCs w:val="15"/>
              </w:rPr>
            </w:pPr>
            <w:r>
              <w:rPr>
                <w:sz w:val="15"/>
                <w:szCs w:val="15"/>
              </w:rPr>
              <w:t>Vydavateľská činnosť</w:t>
            </w:r>
          </w:p>
        </w:tc>
      </w:tr>
    </w:tbl>
    <w:p w14:paraId="5155C395" w14:textId="77777777" w:rsidR="005D6F2F" w:rsidRDefault="005D6F2F">
      <w:pPr>
        <w:rPr>
          <w:sz w:val="14"/>
          <w:szCs w:val="14"/>
        </w:rPr>
      </w:pPr>
    </w:p>
    <w:p w14:paraId="623D0258" w14:textId="77777777" w:rsidR="005D6F2F" w:rsidRDefault="005D6F2F">
      <w:pPr>
        <w:rPr>
          <w:sz w:val="14"/>
          <w:szCs w:val="14"/>
        </w:rPr>
      </w:pPr>
    </w:p>
    <w:p w14:paraId="598FD44A" w14:textId="77777777" w:rsidR="005D6F2F" w:rsidRDefault="00000000">
      <w:pPr>
        <w:pStyle w:val="Nadpis2"/>
        <w:numPr>
          <w:ilvl w:val="1"/>
          <w:numId w:val="8"/>
        </w:numPr>
      </w:pPr>
      <w:r>
        <w:t>Zamestnanci</w:t>
      </w:r>
    </w:p>
    <w:p w14:paraId="7DD0116A" w14:textId="77777777" w:rsidR="005D6F2F" w:rsidRDefault="00000000">
      <w:pPr>
        <w:rPr>
          <w:sz w:val="14"/>
          <w:szCs w:val="14"/>
        </w:rPr>
      </w:pPr>
      <w:r>
        <w:rPr>
          <w:b/>
          <w:i/>
          <w:sz w:val="15"/>
          <w:szCs w:val="15"/>
        </w:rPr>
        <w:t xml:space="preserve"> </w:t>
      </w:r>
    </w:p>
    <w:p w14:paraId="32391D59" w14:textId="77777777" w:rsidR="005D6F2F" w:rsidRDefault="00000000">
      <w:r>
        <w:t>Spoločnosť nezamestnávala v priebehu sledovaného účtovného obdobia žiadnych zamestnancov.</w:t>
      </w:r>
    </w:p>
    <w:p w14:paraId="5427B353" w14:textId="77777777" w:rsidR="005D6F2F" w:rsidRDefault="005D6F2F">
      <w:pPr>
        <w:rPr>
          <w:sz w:val="14"/>
          <w:szCs w:val="14"/>
        </w:rPr>
      </w:pPr>
    </w:p>
    <w:p w14:paraId="121768BF" w14:textId="77777777" w:rsidR="005D6F2F" w:rsidRDefault="00000000">
      <w:pPr>
        <w:pStyle w:val="Nadpis2"/>
        <w:numPr>
          <w:ilvl w:val="1"/>
          <w:numId w:val="8"/>
        </w:numPr>
      </w:pPr>
      <w:r>
        <w:t>Právny dôvod zostavenia účtovnej závierky</w:t>
      </w:r>
    </w:p>
    <w:p w14:paraId="271A28F3" w14:textId="77777777" w:rsidR="005D6F2F" w:rsidRDefault="005D6F2F">
      <w:pPr>
        <w:rPr>
          <w:sz w:val="14"/>
          <w:szCs w:val="14"/>
        </w:rPr>
      </w:pPr>
    </w:p>
    <w:p w14:paraId="31A1C9A5" w14:textId="03A6F79C" w:rsidR="005D6F2F" w:rsidRDefault="00000000">
      <w:r>
        <w:t xml:space="preserve">Táto účtovná závierka je riadna individuálna účtovná závierka za spoločnosť TAKTIK International </w:t>
      </w:r>
      <w:proofErr w:type="spellStart"/>
      <w:r>
        <w:t>s.r.o</w:t>
      </w:r>
      <w:proofErr w:type="spellEnd"/>
      <w:r>
        <w:t>. Bola zostavená za účtovné obdobie od 01. januára do 31. decembra 202</w:t>
      </w:r>
      <w:r w:rsidR="00093D4F">
        <w:t>1</w:t>
      </w:r>
      <w:r>
        <w:t xml:space="preserve"> podľa slovenských právnych predpisov, a to zákona o účtovníctve a postupov účtovania pre podnikateľov. </w:t>
      </w:r>
    </w:p>
    <w:p w14:paraId="26C190D7" w14:textId="77777777" w:rsidR="005D6F2F" w:rsidRDefault="005D6F2F">
      <w:pPr>
        <w:rPr>
          <w:sz w:val="14"/>
          <w:szCs w:val="14"/>
        </w:rPr>
      </w:pPr>
    </w:p>
    <w:p w14:paraId="6ADE5009" w14:textId="77777777" w:rsidR="005D6F2F" w:rsidRDefault="00000000">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DB1517E" w14:textId="77777777" w:rsidR="005D6F2F" w:rsidRDefault="005D6F2F">
      <w:pPr>
        <w:rPr>
          <w:sz w:val="14"/>
          <w:szCs w:val="14"/>
        </w:rPr>
      </w:pPr>
    </w:p>
    <w:p w14:paraId="46904217" w14:textId="77777777" w:rsidR="005D6F2F" w:rsidRDefault="005D6F2F">
      <w:pPr>
        <w:rPr>
          <w:sz w:val="14"/>
          <w:szCs w:val="14"/>
        </w:rPr>
      </w:pPr>
    </w:p>
    <w:p w14:paraId="274434D0" w14:textId="3D81B783" w:rsidR="005D6F2F" w:rsidRDefault="00000000">
      <w:pPr>
        <w:pStyle w:val="Nadpis2"/>
        <w:numPr>
          <w:ilvl w:val="1"/>
          <w:numId w:val="8"/>
        </w:numPr>
      </w:pPr>
      <w:r>
        <w:t>Schválenie účtovnej závierky za rok 202</w:t>
      </w:r>
      <w:r w:rsidR="00093D4F">
        <w:t>1</w:t>
      </w:r>
    </w:p>
    <w:p w14:paraId="7EAADBD6" w14:textId="77777777" w:rsidR="005D6F2F" w:rsidRDefault="005D6F2F">
      <w:pPr>
        <w:rPr>
          <w:sz w:val="14"/>
          <w:szCs w:val="14"/>
        </w:rPr>
      </w:pPr>
    </w:p>
    <w:p w14:paraId="7BC09D7F" w14:textId="2A6EAB4E" w:rsidR="005D6F2F" w:rsidRDefault="00000000">
      <w:r>
        <w:t xml:space="preserve">Spoločnosť TAKTIK International, </w:t>
      </w:r>
      <w:proofErr w:type="spellStart"/>
      <w:r>
        <w:t>s.r.o</w:t>
      </w:r>
      <w:proofErr w:type="spellEnd"/>
      <w:r>
        <w:t>. schválila závierku za rok 202</w:t>
      </w:r>
      <w:r w:rsidR="00093D4F">
        <w:t>1</w:t>
      </w:r>
      <w:r>
        <w:t xml:space="preserve"> dňa </w:t>
      </w:r>
      <w:r w:rsidR="00093D4F">
        <w:t>30</w:t>
      </w:r>
      <w:r>
        <w:t>.0</w:t>
      </w:r>
      <w:r w:rsidR="00093D4F">
        <w:t>9</w:t>
      </w:r>
      <w:r>
        <w:t>.202</w:t>
      </w:r>
      <w:r w:rsidR="00093D4F">
        <w:t>2</w:t>
      </w:r>
      <w:r>
        <w:t>.</w:t>
      </w:r>
    </w:p>
    <w:p w14:paraId="2766FB9D" w14:textId="77777777" w:rsidR="005D6F2F" w:rsidRDefault="005D6F2F"/>
    <w:p w14:paraId="34CF6DDC" w14:textId="77777777" w:rsidR="005D6F2F" w:rsidRDefault="00000000">
      <w:pPr>
        <w:pStyle w:val="Nadpis2"/>
        <w:numPr>
          <w:ilvl w:val="1"/>
          <w:numId w:val="8"/>
        </w:numPr>
      </w:pPr>
      <w:r>
        <w:t>Konsolidovaná účtovná závierka</w:t>
      </w:r>
    </w:p>
    <w:p w14:paraId="14B650C4" w14:textId="77777777" w:rsidR="005D6F2F" w:rsidRDefault="005D6F2F">
      <w:pPr>
        <w:rPr>
          <w:sz w:val="10"/>
          <w:szCs w:val="10"/>
        </w:rPr>
      </w:pPr>
    </w:p>
    <w:p w14:paraId="31451964" w14:textId="77777777" w:rsidR="005D6F2F" w:rsidRDefault="00000000">
      <w:r>
        <w:t>Účtovná závierka spoločnosti sa nezahŕňa do konsolidovanej účtovnej závierky.</w:t>
      </w:r>
    </w:p>
    <w:p w14:paraId="42EBCEEB" w14:textId="77777777" w:rsidR="005D6F2F" w:rsidRDefault="005D6F2F"/>
    <w:p w14:paraId="6B6DF30C" w14:textId="77777777" w:rsidR="005D6F2F" w:rsidRDefault="005D6F2F">
      <w:pPr>
        <w:jc w:val="left"/>
        <w:rPr>
          <w:i/>
          <w:color w:val="FF0000"/>
        </w:rPr>
      </w:pPr>
    </w:p>
    <w:p w14:paraId="7411FFDA" w14:textId="77777777" w:rsidR="005D6F2F" w:rsidRDefault="00000000">
      <w:pPr>
        <w:pStyle w:val="Nadpis1"/>
        <w:numPr>
          <w:ilvl w:val="0"/>
          <w:numId w:val="8"/>
        </w:numPr>
      </w:pPr>
      <w:r>
        <w:t>INFORMÁCIE O ORGÁNOCH SPOLOčNOSTI</w:t>
      </w:r>
    </w:p>
    <w:p w14:paraId="71914EFF" w14:textId="77777777" w:rsidR="005D6F2F" w:rsidRDefault="005D6F2F"/>
    <w:p w14:paraId="6E906FC4" w14:textId="77777777" w:rsidR="005D6F2F" w:rsidRDefault="00000000">
      <w:pPr>
        <w:rPr>
          <w:u w:val="single"/>
        </w:rPr>
      </w:pPr>
      <w:r>
        <w:rPr>
          <w:u w:val="single"/>
        </w:rPr>
        <w:t>Konatelia:</w:t>
      </w:r>
    </w:p>
    <w:p w14:paraId="361C9808" w14:textId="77777777" w:rsidR="005D6F2F" w:rsidRDefault="005D6F2F"/>
    <w:p w14:paraId="02013F0E" w14:textId="31A87481" w:rsidR="005D6F2F" w:rsidRDefault="00000000">
      <w:r>
        <w:t xml:space="preserve">Tomáš </w:t>
      </w:r>
      <w:proofErr w:type="spellStart"/>
      <w:r>
        <w:t>Divinec</w:t>
      </w:r>
      <w:proofErr w:type="spellEnd"/>
      <w:r>
        <w:t xml:space="preserve"> (od 5.10.20</w:t>
      </w:r>
      <w:r w:rsidR="00093D4F">
        <w:t>0</w:t>
      </w:r>
      <w:r>
        <w:t>7)</w:t>
      </w:r>
    </w:p>
    <w:p w14:paraId="04DCAEE4" w14:textId="210FB209" w:rsidR="005D6F2F" w:rsidRDefault="00000000">
      <w:r>
        <w:t xml:space="preserve">Maroš </w:t>
      </w:r>
      <w:proofErr w:type="spellStart"/>
      <w:r>
        <w:t>Blahovec</w:t>
      </w:r>
      <w:proofErr w:type="spellEnd"/>
      <w:r>
        <w:t xml:space="preserve"> (od 5.10.20</w:t>
      </w:r>
      <w:r w:rsidR="00093D4F">
        <w:t>0</w:t>
      </w:r>
      <w:r>
        <w:t>7)</w:t>
      </w:r>
    </w:p>
    <w:p w14:paraId="212E1A27" w14:textId="5F134BB2" w:rsidR="005D6F2F" w:rsidRDefault="00000000">
      <w:r>
        <w:t xml:space="preserve">Jaroslav </w:t>
      </w:r>
      <w:proofErr w:type="spellStart"/>
      <w:r>
        <w:t>Brdjar</w:t>
      </w:r>
      <w:proofErr w:type="spellEnd"/>
      <w:r>
        <w:t xml:space="preserve"> (od 5.10.20</w:t>
      </w:r>
      <w:r w:rsidR="00093D4F">
        <w:t>0</w:t>
      </w:r>
      <w:r>
        <w:t>7)</w:t>
      </w:r>
    </w:p>
    <w:p w14:paraId="00AE12EB" w14:textId="31042A9B" w:rsidR="005D6F2F" w:rsidRDefault="00000000">
      <w:r>
        <w:t xml:space="preserve">Miroslav </w:t>
      </w:r>
      <w:proofErr w:type="spellStart"/>
      <w:r>
        <w:t>Tokarčík</w:t>
      </w:r>
      <w:proofErr w:type="spellEnd"/>
      <w:r>
        <w:t xml:space="preserve"> (od 5.10.20</w:t>
      </w:r>
      <w:r w:rsidR="00093D4F">
        <w:t>0</w:t>
      </w:r>
      <w:r>
        <w:t>7)</w:t>
      </w:r>
    </w:p>
    <w:p w14:paraId="311873E9" w14:textId="77777777" w:rsidR="005D6F2F" w:rsidRDefault="00000000">
      <w:r>
        <w:t xml:space="preserve">Valerián </w:t>
      </w:r>
      <w:proofErr w:type="spellStart"/>
      <w:r>
        <w:t>Stec</w:t>
      </w:r>
      <w:proofErr w:type="spellEnd"/>
      <w:r>
        <w:t xml:space="preserve"> (od 3.6.2008)</w:t>
      </w:r>
    </w:p>
    <w:p w14:paraId="12238C20" w14:textId="77777777" w:rsidR="005D6F2F" w:rsidRDefault="005D6F2F">
      <w:pPr>
        <w:jc w:val="left"/>
        <w:rPr>
          <w:b/>
          <w:smallCaps/>
          <w:sz w:val="18"/>
          <w:szCs w:val="18"/>
          <w:u w:val="single"/>
        </w:rPr>
      </w:pPr>
      <w:bookmarkStart w:id="0" w:name="_heading=h.30j0zll" w:colFirst="0" w:colLast="0"/>
      <w:bookmarkEnd w:id="0"/>
    </w:p>
    <w:p w14:paraId="78C3601E" w14:textId="77777777" w:rsidR="005D6F2F" w:rsidRDefault="00000000">
      <w:pPr>
        <w:pStyle w:val="Nadpis1"/>
        <w:numPr>
          <w:ilvl w:val="0"/>
          <w:numId w:val="4"/>
        </w:numPr>
      </w:pPr>
      <w:r>
        <w:t>POUŽITÉ ÚČTOVNÉ ZÁSADY A ÚČTOVNÉ METÓDY</w:t>
      </w:r>
    </w:p>
    <w:p w14:paraId="7A4B5D73" w14:textId="77777777" w:rsidR="005D6F2F" w:rsidRDefault="005D6F2F"/>
    <w:p w14:paraId="384CFD0A" w14:textId="77777777" w:rsidR="005D6F2F" w:rsidRDefault="00000000">
      <w:pPr>
        <w:numPr>
          <w:ilvl w:val="0"/>
          <w:numId w:val="2"/>
        </w:numPr>
      </w:pPr>
      <w: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7C9430A3" w14:textId="77777777" w:rsidR="005D6F2F" w:rsidRDefault="005D6F2F">
      <w:pPr>
        <w:rPr>
          <w:sz w:val="14"/>
          <w:szCs w:val="14"/>
        </w:rPr>
      </w:pPr>
    </w:p>
    <w:p w14:paraId="5C1ACC68" w14:textId="33174A67" w:rsidR="005D6F2F" w:rsidRDefault="00000000">
      <w:pPr>
        <w:numPr>
          <w:ilvl w:val="0"/>
          <w:numId w:val="2"/>
        </w:numPr>
      </w:pPr>
      <w:r>
        <w:t>Účtovná závierka za rok 202</w:t>
      </w:r>
      <w:r w:rsidR="00093D4F">
        <w:t>1</w:t>
      </w:r>
      <w:r>
        <w:t xml:space="preserve"> bola spracovaná za predpokladu nepretržitého pokračovania činnosti. </w:t>
      </w:r>
    </w:p>
    <w:p w14:paraId="0B20A0E7" w14:textId="77777777" w:rsidR="005D6F2F" w:rsidRDefault="005D6F2F">
      <w:pPr>
        <w:ind w:left="540" w:hanging="540"/>
        <w:rPr>
          <w:sz w:val="14"/>
          <w:szCs w:val="14"/>
        </w:rPr>
      </w:pPr>
    </w:p>
    <w:p w14:paraId="7DC97FB4" w14:textId="77777777" w:rsidR="005D6F2F" w:rsidRDefault="00000000">
      <w:pPr>
        <w:numPr>
          <w:ilvl w:val="0"/>
          <w:numId w:val="2"/>
        </w:numPr>
      </w:pPr>
      <w:r>
        <w:t xml:space="preserve">Účtovníctvo sa vedie na základe dodržania časovej a vecnej súvislosti nákladov a výnosov. Za základ sa berú všetky náklady a výnosy, ktoré sa vzťahujú na účtovné obdobie bez ohľadu na dátum ich platenia. </w:t>
      </w:r>
    </w:p>
    <w:p w14:paraId="363508AA" w14:textId="77777777" w:rsidR="005D6F2F" w:rsidRDefault="005D6F2F">
      <w:pPr>
        <w:ind w:left="540" w:hanging="540"/>
        <w:rPr>
          <w:sz w:val="14"/>
          <w:szCs w:val="14"/>
        </w:rPr>
      </w:pPr>
    </w:p>
    <w:p w14:paraId="2B9A275E" w14:textId="77777777" w:rsidR="005D6F2F" w:rsidRDefault="00000000">
      <w:pPr>
        <w:numPr>
          <w:ilvl w:val="0"/>
          <w:numId w:val="2"/>
        </w:numPr>
      </w:pPr>
      <w:r>
        <w:t>Pri oceňovaní majetku a záväzkov sa uplatňuje zásada opatrnosti, t. j. berú sa za základ všetky riziká, straty a zníženia hodnoty, ktoré sa týkajú majetku a záväzkov a ktoré sú známe ku dňu, ku ktorému sa zostavuje účtovná závierka.</w:t>
      </w:r>
    </w:p>
    <w:p w14:paraId="53E5112C" w14:textId="77777777" w:rsidR="005D6F2F" w:rsidRDefault="005D6F2F">
      <w:pPr>
        <w:ind w:left="540" w:hanging="540"/>
        <w:rPr>
          <w:sz w:val="14"/>
          <w:szCs w:val="14"/>
        </w:rPr>
      </w:pPr>
    </w:p>
    <w:p w14:paraId="15D09E87" w14:textId="77777777" w:rsidR="005D6F2F" w:rsidRDefault="00000000">
      <w:pPr>
        <w:numPr>
          <w:ilvl w:val="0"/>
          <w:numId w:val="2"/>
        </w:numPr>
      </w:pPr>
      <w:r>
        <w:t>Moment zaúčtovania výnosov – výnosy sa účtujú pri splnení dodacích podmienok, nakoľko v tomto okamihu prechádzajú na odberateľa významné riziká a vlastnícke práva.</w:t>
      </w:r>
    </w:p>
    <w:p w14:paraId="7F5E56D7" w14:textId="77777777" w:rsidR="005D6F2F" w:rsidRDefault="005D6F2F">
      <w:pPr>
        <w:ind w:left="540" w:hanging="540"/>
        <w:rPr>
          <w:sz w:val="14"/>
          <w:szCs w:val="14"/>
        </w:rPr>
      </w:pPr>
    </w:p>
    <w:p w14:paraId="61365FFA" w14:textId="77777777" w:rsidR="005D6F2F" w:rsidRDefault="00000000">
      <w:pPr>
        <w:numPr>
          <w:ilvl w:val="0"/>
          <w:numId w:val="2"/>
        </w:numPr>
      </w:pPr>
      <w:r>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E0CECFB" w14:textId="77777777" w:rsidR="005D6F2F" w:rsidRDefault="005D6F2F">
      <w:pPr>
        <w:ind w:left="540" w:hanging="540"/>
        <w:rPr>
          <w:sz w:val="14"/>
          <w:szCs w:val="14"/>
        </w:rPr>
      </w:pPr>
    </w:p>
    <w:p w14:paraId="50EC605B" w14:textId="77777777" w:rsidR="005D6F2F" w:rsidRDefault="00000000">
      <w:pPr>
        <w:numPr>
          <w:ilvl w:val="0"/>
          <w:numId w:val="2"/>
        </w:numPr>
      </w:pPr>
      <w: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739509D" w14:textId="77777777" w:rsidR="005D6F2F" w:rsidRDefault="005D6F2F">
      <w:pPr>
        <w:jc w:val="left"/>
      </w:pPr>
    </w:p>
    <w:p w14:paraId="0CD64A70" w14:textId="77777777" w:rsidR="005D6F2F" w:rsidRDefault="00000000">
      <w:pPr>
        <w:numPr>
          <w:ilvl w:val="0"/>
          <w:numId w:val="2"/>
        </w:numPr>
      </w:pPr>
      <w: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3F27565" w14:textId="77777777" w:rsidR="005D6F2F" w:rsidRDefault="005D6F2F">
      <w:pPr>
        <w:pBdr>
          <w:top w:val="nil"/>
          <w:left w:val="nil"/>
          <w:bottom w:val="nil"/>
          <w:right w:val="nil"/>
          <w:between w:val="nil"/>
        </w:pBdr>
        <w:ind w:left="708"/>
        <w:rPr>
          <w:color w:val="000000"/>
          <w:sz w:val="14"/>
          <w:szCs w:val="14"/>
        </w:rPr>
      </w:pPr>
    </w:p>
    <w:p w14:paraId="578E5AD6" w14:textId="77777777" w:rsidR="005D6F2F" w:rsidRDefault="005D6F2F">
      <w:pPr>
        <w:pBdr>
          <w:top w:val="nil"/>
          <w:left w:val="nil"/>
          <w:bottom w:val="nil"/>
          <w:right w:val="nil"/>
          <w:between w:val="nil"/>
        </w:pBdr>
        <w:ind w:left="708"/>
        <w:rPr>
          <w:color w:val="000000"/>
          <w:sz w:val="14"/>
          <w:szCs w:val="14"/>
        </w:rPr>
      </w:pPr>
    </w:p>
    <w:p w14:paraId="0B3FB7F6" w14:textId="77777777" w:rsidR="005D6F2F" w:rsidRDefault="00000000">
      <w:pPr>
        <w:pStyle w:val="Nadpis2"/>
        <w:numPr>
          <w:ilvl w:val="0"/>
          <w:numId w:val="10"/>
        </w:numPr>
      </w:pPr>
      <w:bookmarkStart w:id="1" w:name="_heading=h.1fob9te" w:colFirst="0" w:colLast="0"/>
      <w:bookmarkEnd w:id="1"/>
      <w:r>
        <w:t>Spôsob ocenenia jednotlivých zložiek majetku a záväzkov – prvé ocenenie</w:t>
      </w:r>
    </w:p>
    <w:p w14:paraId="26810148" w14:textId="77777777" w:rsidR="005D6F2F" w:rsidRDefault="005D6F2F">
      <w:pPr>
        <w:rPr>
          <w:sz w:val="16"/>
          <w:szCs w:val="16"/>
        </w:rPr>
      </w:pPr>
    </w:p>
    <w:p w14:paraId="3E1AE160" w14:textId="77777777" w:rsidR="005D6F2F" w:rsidRDefault="00000000">
      <w:r>
        <w:t>Pri obstaraní majetku sa uplatňuje princíp obstarávacích cien. Ocenenie jednotlivých položiek majetku a záväzkov je takéto:</w:t>
      </w:r>
    </w:p>
    <w:p w14:paraId="2844FEE3" w14:textId="77777777" w:rsidR="005D6F2F" w:rsidRDefault="005D6F2F"/>
    <w:p w14:paraId="79F30A3A" w14:textId="77777777" w:rsidR="005D6F2F" w:rsidRDefault="00000000">
      <w:pPr>
        <w:numPr>
          <w:ilvl w:val="0"/>
          <w:numId w:val="1"/>
        </w:numPr>
      </w:pPr>
      <w:r>
        <w:t>Dlhodobý hmotný majetok  - obstarávacou cenou.</w:t>
      </w:r>
    </w:p>
    <w:p w14:paraId="7BDC4303" w14:textId="77777777" w:rsidR="005D6F2F" w:rsidRDefault="005D6F2F">
      <w:pPr>
        <w:ind w:left="539"/>
      </w:pPr>
    </w:p>
    <w:p w14:paraId="4C03B251" w14:textId="77777777" w:rsidR="005D6F2F" w:rsidRDefault="00000000">
      <w:pPr>
        <w:numPr>
          <w:ilvl w:val="0"/>
          <w:numId w:val="1"/>
        </w:numPr>
      </w:pPr>
      <w:r>
        <w:t>Dlhodobý finančný majetok – obstarávacou cenou. Obstarávacia cena predstavuje cenu, za ktorú sa majetok obstaral, a náklady súvisiace s jeho obstaraním.</w:t>
      </w:r>
    </w:p>
    <w:p w14:paraId="44DC9A61" w14:textId="77777777" w:rsidR="005D6F2F" w:rsidRDefault="005D6F2F">
      <w:pPr>
        <w:pBdr>
          <w:top w:val="nil"/>
          <w:left w:val="nil"/>
          <w:bottom w:val="nil"/>
          <w:right w:val="nil"/>
          <w:between w:val="nil"/>
        </w:pBdr>
        <w:ind w:left="708"/>
        <w:rPr>
          <w:color w:val="000000"/>
        </w:rPr>
      </w:pPr>
    </w:p>
    <w:p w14:paraId="5E1B439E" w14:textId="77777777" w:rsidR="005D6F2F" w:rsidRDefault="00000000">
      <w:pPr>
        <w:numPr>
          <w:ilvl w:val="0"/>
          <w:numId w:val="1"/>
        </w:numPr>
      </w:pPr>
      <w:r>
        <w:t>Zásoby – Obstarávacou cenou.</w:t>
      </w:r>
    </w:p>
    <w:p w14:paraId="56FDF012" w14:textId="77777777" w:rsidR="005D6F2F" w:rsidRDefault="005D6F2F"/>
    <w:p w14:paraId="66EFBD0D" w14:textId="77777777" w:rsidR="005D6F2F" w:rsidRDefault="00000000">
      <w:pPr>
        <w:numPr>
          <w:ilvl w:val="0"/>
          <w:numId w:val="1"/>
        </w:numPr>
      </w:pPr>
      <w:r>
        <w:t>Pohľadávky – menovitou hodnotou.</w:t>
      </w:r>
    </w:p>
    <w:p w14:paraId="163485C0" w14:textId="77777777" w:rsidR="005D6F2F" w:rsidRDefault="005D6F2F">
      <w:pPr>
        <w:ind w:left="539"/>
      </w:pPr>
    </w:p>
    <w:p w14:paraId="77FBCB0C" w14:textId="77777777" w:rsidR="005D6F2F" w:rsidRDefault="00000000">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11A98353" w14:textId="77777777" w:rsidR="005D6F2F" w:rsidRDefault="005D6F2F">
      <w:pPr>
        <w:ind w:left="539"/>
      </w:pPr>
    </w:p>
    <w:p w14:paraId="2F1FB349" w14:textId="77777777" w:rsidR="005D6F2F" w:rsidRDefault="00000000">
      <w:pPr>
        <w:numPr>
          <w:ilvl w:val="0"/>
          <w:numId w:val="1"/>
        </w:numPr>
      </w:pPr>
      <w:r>
        <w:t xml:space="preserve">Krátkodobý finančný majetok – menovitou hodnotou. </w:t>
      </w:r>
    </w:p>
    <w:p w14:paraId="6E2DD0D5" w14:textId="77777777" w:rsidR="005D6F2F" w:rsidRDefault="005D6F2F">
      <w:pPr>
        <w:ind w:left="539"/>
      </w:pPr>
    </w:p>
    <w:p w14:paraId="6EB168FF" w14:textId="77777777" w:rsidR="005D6F2F" w:rsidRDefault="00000000">
      <w:pPr>
        <w:numPr>
          <w:ilvl w:val="0"/>
          <w:numId w:val="1"/>
        </w:numPr>
      </w:pPr>
      <w:r>
        <w:t>Časové rozlíšenie na strane aktív súvahy – očakávanou menovitou hodnotou.</w:t>
      </w:r>
    </w:p>
    <w:p w14:paraId="2715F4F3" w14:textId="77777777" w:rsidR="005D6F2F" w:rsidRDefault="005D6F2F">
      <w:pPr>
        <w:pBdr>
          <w:top w:val="nil"/>
          <w:left w:val="nil"/>
          <w:bottom w:val="nil"/>
          <w:right w:val="nil"/>
          <w:between w:val="nil"/>
        </w:pBdr>
        <w:ind w:left="708"/>
        <w:rPr>
          <w:color w:val="000000"/>
        </w:rPr>
      </w:pPr>
    </w:p>
    <w:p w14:paraId="1062E0ED" w14:textId="77777777" w:rsidR="005D6F2F" w:rsidRDefault="00000000">
      <w:pPr>
        <w:numPr>
          <w:ilvl w:val="0"/>
          <w:numId w:val="1"/>
        </w:numPr>
      </w:pPr>
      <w:r>
        <w:t xml:space="preserve">Záväzky – menovitou hodnotou. </w:t>
      </w:r>
    </w:p>
    <w:p w14:paraId="3C5BA4FC" w14:textId="77777777" w:rsidR="005D6F2F" w:rsidRDefault="005D6F2F">
      <w:pPr>
        <w:ind w:left="851"/>
      </w:pPr>
    </w:p>
    <w:p w14:paraId="22D53CED" w14:textId="77777777" w:rsidR="005D6F2F" w:rsidRDefault="00000000">
      <w:pPr>
        <w:numPr>
          <w:ilvl w:val="0"/>
          <w:numId w:val="1"/>
        </w:numPr>
      </w:pPr>
      <w:r>
        <w:t xml:space="preserve">Rezervy – v očakávanej výške záväzku alebo </w:t>
      </w:r>
      <w:proofErr w:type="spellStart"/>
      <w:r>
        <w:t>poistnomatematickými</w:t>
      </w:r>
      <w:proofErr w:type="spellEnd"/>
      <w:r>
        <w:t xml:space="preserve"> metódami.</w:t>
      </w:r>
    </w:p>
    <w:p w14:paraId="698F20B8" w14:textId="77777777" w:rsidR="005D6F2F" w:rsidRDefault="005D6F2F"/>
    <w:p w14:paraId="32E71DC4" w14:textId="77777777" w:rsidR="005D6F2F" w:rsidRDefault="00000000">
      <w:pPr>
        <w:numPr>
          <w:ilvl w:val="0"/>
          <w:numId w:val="1"/>
        </w:numPr>
      </w:pPr>
      <w:r>
        <w:t>Časové rozlíšenie na strane pasív súvahy – očakávanou menovitou hodnotou.</w:t>
      </w:r>
    </w:p>
    <w:p w14:paraId="676DC9C2" w14:textId="77777777" w:rsidR="005D6F2F" w:rsidRDefault="005D6F2F"/>
    <w:p w14:paraId="79E20458" w14:textId="77777777" w:rsidR="005D6F2F" w:rsidRDefault="00000000">
      <w:pPr>
        <w:numPr>
          <w:ilvl w:val="0"/>
          <w:numId w:val="1"/>
        </w:numPr>
      </w:pPr>
      <w:r>
        <w:t>Daň z príjmov splatná – podľa slovenského zákona o dani z príjmov sa splatné dane z príjmov určujú z účtovného zisku pred zdanením pri sadzbe 21 % po úpravách o niektoré položky na daňové účely.</w:t>
      </w:r>
    </w:p>
    <w:p w14:paraId="6ECDA13F" w14:textId="77777777" w:rsidR="005D6F2F" w:rsidRDefault="005D6F2F"/>
    <w:p w14:paraId="61AFE2B3" w14:textId="77777777" w:rsidR="005D6F2F" w:rsidRDefault="00000000">
      <w:pPr>
        <w:pStyle w:val="Nadpis2"/>
        <w:numPr>
          <w:ilvl w:val="0"/>
          <w:numId w:val="10"/>
        </w:numPr>
      </w:pPr>
      <w:r>
        <w:t>Spôsob ocenenia jednotlivých zložiek majetku a záväzkov – nasledujúce ocenenie</w:t>
      </w:r>
    </w:p>
    <w:p w14:paraId="3398CDC3" w14:textId="77777777" w:rsidR="005D6F2F" w:rsidRDefault="005D6F2F"/>
    <w:p w14:paraId="081A786D" w14:textId="77777777" w:rsidR="005D6F2F" w:rsidRDefault="00000000">
      <w:pPr>
        <w:numPr>
          <w:ilvl w:val="0"/>
          <w:numId w:val="7"/>
        </w:numPr>
      </w:pPr>
      <w:bookmarkStart w:id="2" w:name="_heading=h.2et92p0" w:colFirst="0" w:colLast="0"/>
      <w:bookmarkEnd w:id="2"/>
      <w:r>
        <w:t xml:space="preserve">Predpokladané riziká, straty a zníženia hodnoty, ktoré sa týkajú majetku a záväzkov, sa vyjadrujú prostredníctvom rezerv, opravných položiek a odpisov. </w:t>
      </w:r>
    </w:p>
    <w:p w14:paraId="7A8AA51E" w14:textId="77777777" w:rsidR="005D6F2F" w:rsidRDefault="005D6F2F"/>
    <w:p w14:paraId="33ED6097" w14:textId="77777777" w:rsidR="005D6F2F" w:rsidRDefault="00000000">
      <w:pPr>
        <w:numPr>
          <w:ilvl w:val="0"/>
          <w:numId w:val="3"/>
        </w:numPr>
        <w:ind w:left="900" w:hanging="360"/>
      </w:pPr>
      <w:r>
        <w:rPr>
          <w:u w:val="single"/>
        </w:rPr>
        <w:t>Rezervy</w:t>
      </w:r>
      <w:r>
        <w:t xml:space="preserve"> – účtujú sa v očakávanej výške záväzku. Spoločnosť vytvára rezervu na súdne spory, rezervu na environmentálne záväzky, emisné kvóty a rezervu na odchodné a iné dlhodobé zamestnanecké požitky. Ku dňu, ku ktorému sa zostavuje účtovná závierka, sa posudzuje ich výška a odôvodnenosť. </w:t>
      </w:r>
    </w:p>
    <w:p w14:paraId="349F61E3" w14:textId="77777777" w:rsidR="005D6F2F" w:rsidRDefault="005D6F2F">
      <w:pPr>
        <w:ind w:left="539"/>
      </w:pPr>
    </w:p>
    <w:p w14:paraId="617B23EB" w14:textId="77777777" w:rsidR="005D6F2F" w:rsidRDefault="00000000">
      <w:pPr>
        <w:numPr>
          <w:ilvl w:val="0"/>
          <w:numId w:val="5"/>
        </w:numPr>
        <w:ind w:left="900" w:hanging="360"/>
      </w:pPr>
      <w:r>
        <w:rPr>
          <w:u w:val="single"/>
        </w:rPr>
        <w:t>Opravné položky</w:t>
      </w:r>
      <w:r>
        <w:t xml:space="preserve"> – účtujú sa v sume opodstatneného predpokladu zníženia hodnoty majetku oproti jeho oceneniu v účtovníctve.</w:t>
      </w:r>
    </w:p>
    <w:p w14:paraId="4C1DE223" w14:textId="77777777" w:rsidR="005D6F2F" w:rsidRDefault="005D6F2F"/>
    <w:p w14:paraId="3179248B" w14:textId="77777777" w:rsidR="005D6F2F" w:rsidRDefault="00000000">
      <w:pPr>
        <w:numPr>
          <w:ilvl w:val="0"/>
          <w:numId w:val="6"/>
        </w:numPr>
        <w:ind w:left="900" w:hanging="360"/>
      </w:pPr>
      <w:r>
        <w:rPr>
          <w:u w:val="single"/>
        </w:rPr>
        <w:t xml:space="preserve">Plán odpisov </w:t>
      </w:r>
    </w:p>
    <w:p w14:paraId="0F7BBB72" w14:textId="77777777" w:rsidR="005D6F2F" w:rsidRDefault="005D6F2F">
      <w:pPr>
        <w:ind w:left="900"/>
      </w:pPr>
    </w:p>
    <w:p w14:paraId="18D2BAD1" w14:textId="77777777" w:rsidR="005D6F2F" w:rsidRDefault="00000000">
      <w:pPr>
        <w:ind w:left="900"/>
      </w:pPr>
      <w:r>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67559274" w14:textId="77777777" w:rsidR="005D6F2F" w:rsidRDefault="005D6F2F">
      <w:pPr>
        <w:ind w:left="900"/>
      </w:pPr>
    </w:p>
    <w:p w14:paraId="58E064A0" w14:textId="77777777" w:rsidR="005D6F2F" w:rsidRDefault="00000000">
      <w:pPr>
        <w:ind w:left="900"/>
      </w:pPr>
      <w:r>
        <w:t>Priemerné životnosti podľa plánu odpisov sú:</w:t>
      </w:r>
    </w:p>
    <w:p w14:paraId="33812AF6" w14:textId="77777777" w:rsidR="005D6F2F" w:rsidRDefault="005D6F2F">
      <w:pPr>
        <w:ind w:left="900"/>
        <w:rPr>
          <w:b/>
        </w:rPr>
      </w:pPr>
    </w:p>
    <w:tbl>
      <w:tblPr>
        <w:tblStyle w:val="a0"/>
        <w:tblW w:w="8172" w:type="dxa"/>
        <w:tblInd w:w="970" w:type="dxa"/>
        <w:tblLayout w:type="fixed"/>
        <w:tblLook w:val="0000" w:firstRow="0" w:lastRow="0" w:firstColumn="0" w:lastColumn="0" w:noHBand="0" w:noVBand="0"/>
      </w:tblPr>
      <w:tblGrid>
        <w:gridCol w:w="3211"/>
        <w:gridCol w:w="2268"/>
        <w:gridCol w:w="2693"/>
      </w:tblGrid>
      <w:tr w:rsidR="005D6F2F" w14:paraId="4F5ED6FB" w14:textId="77777777">
        <w:tc>
          <w:tcPr>
            <w:tcW w:w="3211" w:type="dxa"/>
            <w:tcBorders>
              <w:top w:val="single" w:sz="8" w:space="0" w:color="000000"/>
              <w:bottom w:val="single" w:sz="4" w:space="0" w:color="000000"/>
            </w:tcBorders>
          </w:tcPr>
          <w:p w14:paraId="7D59FB3A" w14:textId="77777777" w:rsidR="005D6F2F" w:rsidRDefault="00000000">
            <w:pPr>
              <w:jc w:val="left"/>
              <w:rPr>
                <w:b/>
                <w:i/>
                <w:sz w:val="15"/>
                <w:szCs w:val="15"/>
              </w:rPr>
            </w:pPr>
            <w:r>
              <w:rPr>
                <w:b/>
                <w:i/>
                <w:sz w:val="15"/>
                <w:szCs w:val="15"/>
              </w:rPr>
              <w:t>Druh majetku</w:t>
            </w:r>
          </w:p>
        </w:tc>
        <w:tc>
          <w:tcPr>
            <w:tcW w:w="2268" w:type="dxa"/>
            <w:tcBorders>
              <w:top w:val="single" w:sz="8" w:space="0" w:color="000000"/>
              <w:bottom w:val="single" w:sz="4" w:space="0" w:color="000000"/>
            </w:tcBorders>
          </w:tcPr>
          <w:p w14:paraId="0007D470" w14:textId="77777777" w:rsidR="005D6F2F" w:rsidRDefault="00000000">
            <w:pPr>
              <w:jc w:val="center"/>
              <w:rPr>
                <w:b/>
                <w:i/>
                <w:sz w:val="15"/>
                <w:szCs w:val="15"/>
              </w:rPr>
            </w:pPr>
            <w:r>
              <w:rPr>
                <w:b/>
                <w:i/>
                <w:sz w:val="15"/>
                <w:szCs w:val="15"/>
              </w:rPr>
              <w:t>Životnosť</w:t>
            </w:r>
          </w:p>
        </w:tc>
        <w:tc>
          <w:tcPr>
            <w:tcW w:w="2693" w:type="dxa"/>
            <w:tcBorders>
              <w:top w:val="single" w:sz="8" w:space="0" w:color="000000"/>
              <w:bottom w:val="single" w:sz="4" w:space="0" w:color="000000"/>
            </w:tcBorders>
          </w:tcPr>
          <w:p w14:paraId="476D839C" w14:textId="77777777" w:rsidR="005D6F2F" w:rsidRDefault="00000000">
            <w:pPr>
              <w:jc w:val="center"/>
              <w:rPr>
                <w:b/>
                <w:i/>
                <w:sz w:val="15"/>
                <w:szCs w:val="15"/>
              </w:rPr>
            </w:pPr>
            <w:r>
              <w:rPr>
                <w:b/>
                <w:i/>
                <w:sz w:val="15"/>
                <w:szCs w:val="15"/>
              </w:rPr>
              <w:t>Ročná sadzba odpisov</w:t>
            </w:r>
          </w:p>
        </w:tc>
      </w:tr>
      <w:tr w:rsidR="005D6F2F" w14:paraId="09077E91" w14:textId="77777777">
        <w:tc>
          <w:tcPr>
            <w:tcW w:w="3211" w:type="dxa"/>
          </w:tcPr>
          <w:p w14:paraId="046A4476" w14:textId="77777777" w:rsidR="005D6F2F" w:rsidRDefault="00000000">
            <w:pPr>
              <w:rPr>
                <w:b/>
                <w:sz w:val="15"/>
                <w:szCs w:val="15"/>
              </w:rPr>
            </w:pPr>
            <w:r>
              <w:rPr>
                <w:sz w:val="15"/>
                <w:szCs w:val="15"/>
              </w:rPr>
              <w:t>Dopravné prostriedky</w:t>
            </w:r>
          </w:p>
        </w:tc>
        <w:tc>
          <w:tcPr>
            <w:tcW w:w="2268" w:type="dxa"/>
          </w:tcPr>
          <w:p w14:paraId="7BD11E35" w14:textId="77777777" w:rsidR="005D6F2F" w:rsidRDefault="00000000">
            <w:pPr>
              <w:jc w:val="center"/>
              <w:rPr>
                <w:sz w:val="15"/>
                <w:szCs w:val="15"/>
              </w:rPr>
            </w:pPr>
            <w:r>
              <w:rPr>
                <w:sz w:val="15"/>
                <w:szCs w:val="15"/>
              </w:rPr>
              <w:t>4 roky</w:t>
            </w:r>
          </w:p>
        </w:tc>
        <w:tc>
          <w:tcPr>
            <w:tcW w:w="2693" w:type="dxa"/>
          </w:tcPr>
          <w:p w14:paraId="2080D210" w14:textId="77777777" w:rsidR="005D6F2F" w:rsidRDefault="00000000">
            <w:pPr>
              <w:jc w:val="center"/>
              <w:rPr>
                <w:sz w:val="15"/>
                <w:szCs w:val="15"/>
              </w:rPr>
            </w:pPr>
            <w:r>
              <w:rPr>
                <w:sz w:val="15"/>
                <w:szCs w:val="15"/>
              </w:rPr>
              <w:t>25,0 %</w:t>
            </w:r>
          </w:p>
        </w:tc>
      </w:tr>
    </w:tbl>
    <w:p w14:paraId="7F8F307A" w14:textId="77777777" w:rsidR="005D6F2F" w:rsidRDefault="005D6F2F">
      <w:pPr>
        <w:ind w:left="900"/>
      </w:pPr>
    </w:p>
    <w:p w14:paraId="3343B42E" w14:textId="77777777" w:rsidR="005D6F2F" w:rsidRDefault="00000000">
      <w:pPr>
        <w:ind w:left="900"/>
      </w:pPr>
      <w:r>
        <w:t>Daňové odpisy sa uplatňujú podľa sadzieb uvedených v zákone o daniach z príjmov platných pre zrýchlené odpisovanie.</w:t>
      </w:r>
    </w:p>
    <w:p w14:paraId="476405ED" w14:textId="77777777" w:rsidR="005D6F2F" w:rsidRDefault="005D6F2F"/>
    <w:p w14:paraId="63443E4C" w14:textId="77777777" w:rsidR="005D6F2F" w:rsidRDefault="00000000">
      <w:pPr>
        <w:pStyle w:val="Nadpis2"/>
        <w:numPr>
          <w:ilvl w:val="1"/>
          <w:numId w:val="4"/>
        </w:numPr>
      </w:pPr>
      <w:r>
        <w:t>Prepočet údajov v cudzích menách na slovenskú menu</w:t>
      </w:r>
    </w:p>
    <w:p w14:paraId="4C16C459" w14:textId="77777777" w:rsidR="005D6F2F" w:rsidRDefault="005D6F2F"/>
    <w:p w14:paraId="207762E6" w14:textId="77777777" w:rsidR="005D6F2F" w:rsidRDefault="00000000">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1F19DFDB" w14:textId="77777777" w:rsidR="005D6F2F" w:rsidRDefault="005D6F2F"/>
    <w:p w14:paraId="3EADA748" w14:textId="77777777" w:rsidR="005D6F2F" w:rsidRDefault="005D6F2F">
      <w:pPr>
        <w:ind w:left="567"/>
        <w:rPr>
          <w:b/>
          <w:sz w:val="14"/>
          <w:szCs w:val="14"/>
        </w:rPr>
      </w:pPr>
    </w:p>
    <w:p w14:paraId="26F73D04" w14:textId="77777777" w:rsidR="005D6F2F" w:rsidRDefault="00000000">
      <w:pPr>
        <w:pStyle w:val="Nadpis1"/>
        <w:numPr>
          <w:ilvl w:val="0"/>
          <w:numId w:val="4"/>
        </w:numPr>
      </w:pPr>
      <w:r>
        <w:t>INFORMáCIE, KTORÉ VYSVETĽUJÚ A DOPĹňAJÚ SÚVAHU A VÝKAZ ZISKOV A STRáT</w:t>
      </w:r>
    </w:p>
    <w:p w14:paraId="75EC7D58" w14:textId="77777777" w:rsidR="005D6F2F" w:rsidRDefault="005D6F2F">
      <w:pPr>
        <w:rPr>
          <w:b/>
          <w:u w:val="single"/>
        </w:rPr>
      </w:pPr>
    </w:p>
    <w:p w14:paraId="0C919055" w14:textId="77777777" w:rsidR="005D6F2F" w:rsidRDefault="00000000">
      <w:pPr>
        <w:pStyle w:val="Nadpis2"/>
        <w:numPr>
          <w:ilvl w:val="1"/>
          <w:numId w:val="4"/>
        </w:numPr>
      </w:pPr>
      <w:r>
        <w:t xml:space="preserve">Záväzky </w:t>
      </w:r>
    </w:p>
    <w:p w14:paraId="475ACDFE" w14:textId="77777777" w:rsidR="005D6F2F" w:rsidRDefault="005D6F2F"/>
    <w:p w14:paraId="019D5D32" w14:textId="77777777" w:rsidR="005D6F2F" w:rsidRDefault="00000000">
      <w:pPr>
        <w:pStyle w:val="Nadpis3"/>
        <w:numPr>
          <w:ilvl w:val="2"/>
          <w:numId w:val="4"/>
        </w:numPr>
      </w:pPr>
      <w:r>
        <w:t>Záväzky podľa zostatkovej doby splatnosti</w:t>
      </w:r>
    </w:p>
    <w:p w14:paraId="0D0D0B6D" w14:textId="77777777" w:rsidR="005D6F2F" w:rsidRDefault="005D6F2F">
      <w:pPr>
        <w:tabs>
          <w:tab w:val="center" w:pos="4535"/>
        </w:tabs>
      </w:pPr>
    </w:p>
    <w:tbl>
      <w:tblPr>
        <w:tblStyle w:val="a1"/>
        <w:tblW w:w="9211" w:type="dxa"/>
        <w:tblInd w:w="0" w:type="dxa"/>
        <w:tblLayout w:type="fixed"/>
        <w:tblLook w:val="0400" w:firstRow="0" w:lastRow="0" w:firstColumn="0" w:lastColumn="0" w:noHBand="0" w:noVBand="1"/>
      </w:tblPr>
      <w:tblGrid>
        <w:gridCol w:w="5766"/>
        <w:gridCol w:w="807"/>
        <w:gridCol w:w="1319"/>
        <w:gridCol w:w="1319"/>
      </w:tblGrid>
      <w:tr w:rsidR="005D6F2F" w14:paraId="44C845F2" w14:textId="77777777">
        <w:tc>
          <w:tcPr>
            <w:tcW w:w="5766" w:type="dxa"/>
            <w:tcBorders>
              <w:top w:val="single" w:sz="8" w:space="0" w:color="000000"/>
              <w:left w:val="nil"/>
              <w:bottom w:val="nil"/>
              <w:right w:val="nil"/>
            </w:tcBorders>
            <w:shd w:val="clear" w:color="auto" w:fill="auto"/>
            <w:vAlign w:val="center"/>
          </w:tcPr>
          <w:p w14:paraId="487C1A48" w14:textId="77777777" w:rsidR="005D6F2F" w:rsidRDefault="00000000">
            <w:pPr>
              <w:jc w:val="left"/>
              <w:rPr>
                <w:b/>
                <w:i/>
                <w:sz w:val="15"/>
                <w:szCs w:val="15"/>
              </w:rPr>
            </w:pPr>
            <w:r>
              <w:rPr>
                <w:b/>
                <w:i/>
                <w:sz w:val="15"/>
                <w:szCs w:val="15"/>
              </w:rPr>
              <w:t>Položka</w:t>
            </w:r>
          </w:p>
        </w:tc>
        <w:tc>
          <w:tcPr>
            <w:tcW w:w="807" w:type="dxa"/>
            <w:tcBorders>
              <w:top w:val="single" w:sz="8" w:space="0" w:color="000000"/>
              <w:left w:val="nil"/>
              <w:bottom w:val="nil"/>
              <w:right w:val="nil"/>
            </w:tcBorders>
            <w:shd w:val="clear" w:color="auto" w:fill="auto"/>
            <w:vAlign w:val="center"/>
          </w:tcPr>
          <w:p w14:paraId="5C091EA6" w14:textId="77777777" w:rsidR="005D6F2F" w:rsidRDefault="005D6F2F">
            <w:pPr>
              <w:jc w:val="left"/>
              <w:rPr>
                <w:b/>
                <w:i/>
                <w:sz w:val="15"/>
                <w:szCs w:val="15"/>
              </w:rPr>
            </w:pPr>
          </w:p>
        </w:tc>
        <w:tc>
          <w:tcPr>
            <w:tcW w:w="1319" w:type="dxa"/>
            <w:tcBorders>
              <w:top w:val="single" w:sz="8" w:space="0" w:color="000000"/>
              <w:left w:val="nil"/>
              <w:bottom w:val="nil"/>
              <w:right w:val="nil"/>
            </w:tcBorders>
            <w:shd w:val="clear" w:color="auto" w:fill="auto"/>
          </w:tcPr>
          <w:p w14:paraId="64E9AA68" w14:textId="578FA98A" w:rsidR="005D6F2F" w:rsidRDefault="00000000">
            <w:pPr>
              <w:jc w:val="center"/>
            </w:pPr>
            <w:r>
              <w:rPr>
                <w:b/>
                <w:i/>
                <w:sz w:val="15"/>
                <w:szCs w:val="15"/>
              </w:rPr>
              <w:t>31. 12. 202</w:t>
            </w:r>
            <w:r w:rsidR="00093D4F">
              <w:rPr>
                <w:b/>
                <w:i/>
                <w:sz w:val="15"/>
                <w:szCs w:val="15"/>
              </w:rPr>
              <w:t>1</w:t>
            </w:r>
          </w:p>
        </w:tc>
        <w:tc>
          <w:tcPr>
            <w:tcW w:w="1319" w:type="dxa"/>
            <w:tcBorders>
              <w:top w:val="single" w:sz="8" w:space="0" w:color="000000"/>
              <w:left w:val="nil"/>
              <w:bottom w:val="nil"/>
              <w:right w:val="nil"/>
            </w:tcBorders>
            <w:shd w:val="clear" w:color="auto" w:fill="auto"/>
          </w:tcPr>
          <w:p w14:paraId="733B4B65" w14:textId="131FB993" w:rsidR="005D6F2F" w:rsidRDefault="00000000">
            <w:pPr>
              <w:jc w:val="center"/>
            </w:pPr>
            <w:r>
              <w:rPr>
                <w:b/>
                <w:i/>
                <w:sz w:val="15"/>
                <w:szCs w:val="15"/>
              </w:rPr>
              <w:t>31. 12. 20</w:t>
            </w:r>
            <w:r w:rsidR="00093D4F">
              <w:rPr>
                <w:b/>
                <w:i/>
                <w:sz w:val="15"/>
                <w:szCs w:val="15"/>
              </w:rPr>
              <w:t>20</w:t>
            </w:r>
          </w:p>
        </w:tc>
      </w:tr>
      <w:tr w:rsidR="005D6F2F" w14:paraId="71AAF4A4" w14:textId="77777777">
        <w:tc>
          <w:tcPr>
            <w:tcW w:w="5766" w:type="dxa"/>
            <w:tcBorders>
              <w:top w:val="single" w:sz="4" w:space="0" w:color="000000"/>
              <w:left w:val="nil"/>
              <w:bottom w:val="nil"/>
              <w:right w:val="nil"/>
            </w:tcBorders>
            <w:shd w:val="clear" w:color="auto" w:fill="auto"/>
            <w:vAlign w:val="center"/>
          </w:tcPr>
          <w:p w14:paraId="52303040" w14:textId="77777777" w:rsidR="005D6F2F" w:rsidRDefault="00000000">
            <w:pPr>
              <w:rPr>
                <w:b/>
                <w:i/>
                <w:sz w:val="15"/>
                <w:szCs w:val="15"/>
              </w:rPr>
            </w:pPr>
            <w:r>
              <w:rPr>
                <w:b/>
                <w:i/>
                <w:sz w:val="15"/>
                <w:szCs w:val="15"/>
              </w:rPr>
              <w:t>Dlhodobé záväzky:</w:t>
            </w:r>
          </w:p>
        </w:tc>
        <w:tc>
          <w:tcPr>
            <w:tcW w:w="807" w:type="dxa"/>
            <w:tcBorders>
              <w:top w:val="single" w:sz="4" w:space="0" w:color="000000"/>
              <w:left w:val="nil"/>
              <w:bottom w:val="nil"/>
              <w:right w:val="nil"/>
            </w:tcBorders>
            <w:shd w:val="clear" w:color="auto" w:fill="auto"/>
            <w:vAlign w:val="center"/>
          </w:tcPr>
          <w:p w14:paraId="1DB7F133" w14:textId="77777777" w:rsidR="005D6F2F" w:rsidRDefault="005D6F2F">
            <w:pPr>
              <w:jc w:val="center"/>
              <w:rPr>
                <w:i/>
                <w:sz w:val="15"/>
                <w:szCs w:val="15"/>
              </w:rPr>
            </w:pPr>
          </w:p>
        </w:tc>
        <w:tc>
          <w:tcPr>
            <w:tcW w:w="1319" w:type="dxa"/>
            <w:tcBorders>
              <w:top w:val="single" w:sz="4" w:space="0" w:color="000000"/>
              <w:left w:val="nil"/>
              <w:bottom w:val="nil"/>
              <w:right w:val="nil"/>
            </w:tcBorders>
            <w:shd w:val="clear" w:color="auto" w:fill="auto"/>
            <w:vAlign w:val="bottom"/>
          </w:tcPr>
          <w:p w14:paraId="34AD0539" w14:textId="60FB0CA5" w:rsidR="005D6F2F" w:rsidRDefault="00D217F6">
            <w:pPr>
              <w:jc w:val="right"/>
              <w:rPr>
                <w:sz w:val="15"/>
                <w:szCs w:val="15"/>
              </w:rPr>
            </w:pPr>
            <w:r>
              <w:rPr>
                <w:sz w:val="15"/>
                <w:szCs w:val="15"/>
              </w:rPr>
              <w:t>31</w:t>
            </w:r>
          </w:p>
        </w:tc>
        <w:tc>
          <w:tcPr>
            <w:tcW w:w="1319" w:type="dxa"/>
            <w:tcBorders>
              <w:top w:val="single" w:sz="4" w:space="0" w:color="000000"/>
              <w:left w:val="nil"/>
              <w:bottom w:val="nil"/>
              <w:right w:val="nil"/>
            </w:tcBorders>
            <w:shd w:val="clear" w:color="auto" w:fill="auto"/>
            <w:vAlign w:val="bottom"/>
          </w:tcPr>
          <w:p w14:paraId="6CAE316C" w14:textId="6AC637D4" w:rsidR="005D6F2F" w:rsidRDefault="00093D4F">
            <w:pPr>
              <w:jc w:val="right"/>
              <w:rPr>
                <w:sz w:val="15"/>
                <w:szCs w:val="15"/>
              </w:rPr>
            </w:pPr>
            <w:r>
              <w:rPr>
                <w:sz w:val="15"/>
                <w:szCs w:val="15"/>
              </w:rPr>
              <w:t>478</w:t>
            </w:r>
          </w:p>
        </w:tc>
      </w:tr>
      <w:tr w:rsidR="005D6F2F" w14:paraId="4E8BE1FE" w14:textId="77777777">
        <w:tc>
          <w:tcPr>
            <w:tcW w:w="5766" w:type="dxa"/>
            <w:tcBorders>
              <w:top w:val="nil"/>
              <w:left w:val="nil"/>
              <w:bottom w:val="nil"/>
              <w:right w:val="nil"/>
            </w:tcBorders>
            <w:shd w:val="clear" w:color="auto" w:fill="auto"/>
            <w:vAlign w:val="center"/>
          </w:tcPr>
          <w:p w14:paraId="467833E2" w14:textId="77777777" w:rsidR="005D6F2F" w:rsidRDefault="00000000">
            <w:pPr>
              <w:jc w:val="left"/>
              <w:rPr>
                <w:sz w:val="15"/>
                <w:szCs w:val="15"/>
              </w:rPr>
            </w:pPr>
            <w:r>
              <w:rPr>
                <w:sz w:val="15"/>
                <w:szCs w:val="15"/>
              </w:rPr>
              <w:t>Záväzky so zostatkovou dobou splatnosti jeden rok až päť rokov</w:t>
            </w:r>
          </w:p>
        </w:tc>
        <w:tc>
          <w:tcPr>
            <w:tcW w:w="807" w:type="dxa"/>
            <w:tcBorders>
              <w:top w:val="nil"/>
              <w:left w:val="nil"/>
              <w:bottom w:val="nil"/>
              <w:right w:val="nil"/>
            </w:tcBorders>
            <w:shd w:val="clear" w:color="auto" w:fill="auto"/>
            <w:vAlign w:val="center"/>
          </w:tcPr>
          <w:p w14:paraId="0C6B4C22" w14:textId="77777777" w:rsidR="005D6F2F" w:rsidRDefault="005D6F2F">
            <w:pPr>
              <w:jc w:val="center"/>
              <w:rPr>
                <w:i/>
                <w:sz w:val="15"/>
                <w:szCs w:val="15"/>
              </w:rPr>
            </w:pPr>
          </w:p>
        </w:tc>
        <w:tc>
          <w:tcPr>
            <w:tcW w:w="1319" w:type="dxa"/>
            <w:tcBorders>
              <w:top w:val="nil"/>
              <w:left w:val="nil"/>
              <w:bottom w:val="nil"/>
              <w:right w:val="nil"/>
            </w:tcBorders>
            <w:shd w:val="clear" w:color="auto" w:fill="auto"/>
            <w:vAlign w:val="bottom"/>
          </w:tcPr>
          <w:p w14:paraId="0B545E77" w14:textId="77777777" w:rsidR="005D6F2F" w:rsidRDefault="00000000">
            <w:pPr>
              <w:jc w:val="right"/>
              <w:rPr>
                <w:sz w:val="15"/>
                <w:szCs w:val="15"/>
              </w:rPr>
            </w:pPr>
            <w:r>
              <w:rPr>
                <w:sz w:val="15"/>
                <w:szCs w:val="15"/>
              </w:rPr>
              <w:t>-</w:t>
            </w:r>
          </w:p>
        </w:tc>
        <w:tc>
          <w:tcPr>
            <w:tcW w:w="1319" w:type="dxa"/>
            <w:tcBorders>
              <w:top w:val="nil"/>
              <w:left w:val="nil"/>
              <w:bottom w:val="nil"/>
              <w:right w:val="nil"/>
            </w:tcBorders>
            <w:shd w:val="clear" w:color="auto" w:fill="auto"/>
            <w:vAlign w:val="bottom"/>
          </w:tcPr>
          <w:p w14:paraId="3EB8B1DB" w14:textId="77777777" w:rsidR="005D6F2F" w:rsidRDefault="00000000">
            <w:pPr>
              <w:jc w:val="right"/>
              <w:rPr>
                <w:sz w:val="15"/>
                <w:szCs w:val="15"/>
              </w:rPr>
            </w:pPr>
            <w:r>
              <w:rPr>
                <w:sz w:val="15"/>
                <w:szCs w:val="15"/>
              </w:rPr>
              <w:t>-</w:t>
            </w:r>
          </w:p>
        </w:tc>
      </w:tr>
      <w:tr w:rsidR="005D6F2F" w14:paraId="0B3FAE69" w14:textId="77777777">
        <w:tc>
          <w:tcPr>
            <w:tcW w:w="5766" w:type="dxa"/>
            <w:tcBorders>
              <w:top w:val="nil"/>
              <w:left w:val="nil"/>
              <w:bottom w:val="nil"/>
              <w:right w:val="nil"/>
            </w:tcBorders>
            <w:shd w:val="clear" w:color="auto" w:fill="auto"/>
            <w:vAlign w:val="center"/>
          </w:tcPr>
          <w:p w14:paraId="6769B965" w14:textId="77777777" w:rsidR="005D6F2F" w:rsidRDefault="00000000">
            <w:pPr>
              <w:jc w:val="left"/>
              <w:rPr>
                <w:sz w:val="15"/>
                <w:szCs w:val="15"/>
              </w:rPr>
            </w:pPr>
            <w:r>
              <w:rPr>
                <w:sz w:val="15"/>
                <w:szCs w:val="15"/>
              </w:rPr>
              <w:t>Záväzky so zostatkovou dobou splatnosti nad päť rokov</w:t>
            </w:r>
          </w:p>
        </w:tc>
        <w:tc>
          <w:tcPr>
            <w:tcW w:w="807" w:type="dxa"/>
            <w:tcBorders>
              <w:top w:val="nil"/>
              <w:left w:val="nil"/>
              <w:bottom w:val="nil"/>
              <w:right w:val="nil"/>
            </w:tcBorders>
            <w:shd w:val="clear" w:color="auto" w:fill="auto"/>
            <w:vAlign w:val="center"/>
          </w:tcPr>
          <w:p w14:paraId="5DFA35A6" w14:textId="77777777" w:rsidR="005D6F2F" w:rsidRDefault="005D6F2F">
            <w:pPr>
              <w:jc w:val="center"/>
              <w:rPr>
                <w:i/>
                <w:sz w:val="15"/>
                <w:szCs w:val="15"/>
              </w:rPr>
            </w:pPr>
          </w:p>
        </w:tc>
        <w:tc>
          <w:tcPr>
            <w:tcW w:w="1319" w:type="dxa"/>
            <w:tcBorders>
              <w:top w:val="nil"/>
              <w:left w:val="nil"/>
              <w:bottom w:val="single" w:sz="4" w:space="0" w:color="000000"/>
              <w:right w:val="nil"/>
            </w:tcBorders>
            <w:shd w:val="clear" w:color="auto" w:fill="auto"/>
            <w:vAlign w:val="bottom"/>
          </w:tcPr>
          <w:p w14:paraId="62E918F7" w14:textId="77777777" w:rsidR="005D6F2F" w:rsidRDefault="00000000">
            <w:pPr>
              <w:jc w:val="right"/>
              <w:rPr>
                <w:sz w:val="15"/>
                <w:szCs w:val="15"/>
              </w:rPr>
            </w:pPr>
            <w:r>
              <w:rPr>
                <w:sz w:val="15"/>
                <w:szCs w:val="15"/>
              </w:rPr>
              <w:t>-</w:t>
            </w:r>
          </w:p>
        </w:tc>
        <w:tc>
          <w:tcPr>
            <w:tcW w:w="1319" w:type="dxa"/>
            <w:tcBorders>
              <w:top w:val="nil"/>
              <w:left w:val="nil"/>
              <w:bottom w:val="single" w:sz="4" w:space="0" w:color="000000"/>
              <w:right w:val="nil"/>
            </w:tcBorders>
            <w:shd w:val="clear" w:color="auto" w:fill="auto"/>
            <w:vAlign w:val="bottom"/>
          </w:tcPr>
          <w:p w14:paraId="236F98A5" w14:textId="77777777" w:rsidR="005D6F2F" w:rsidRDefault="00000000">
            <w:pPr>
              <w:jc w:val="right"/>
              <w:rPr>
                <w:sz w:val="15"/>
                <w:szCs w:val="15"/>
              </w:rPr>
            </w:pPr>
            <w:r>
              <w:rPr>
                <w:sz w:val="15"/>
                <w:szCs w:val="15"/>
              </w:rPr>
              <w:t>-</w:t>
            </w:r>
          </w:p>
        </w:tc>
      </w:tr>
      <w:tr w:rsidR="005D6F2F" w14:paraId="0E6C09D7" w14:textId="77777777">
        <w:tc>
          <w:tcPr>
            <w:tcW w:w="5766" w:type="dxa"/>
            <w:tcBorders>
              <w:top w:val="nil"/>
              <w:left w:val="nil"/>
              <w:bottom w:val="single" w:sz="8" w:space="0" w:color="000000"/>
              <w:right w:val="nil"/>
            </w:tcBorders>
            <w:shd w:val="clear" w:color="auto" w:fill="auto"/>
            <w:vAlign w:val="center"/>
          </w:tcPr>
          <w:p w14:paraId="2512BC07" w14:textId="77777777" w:rsidR="005D6F2F" w:rsidRDefault="00000000">
            <w:pPr>
              <w:rPr>
                <w:b/>
                <w:sz w:val="15"/>
                <w:szCs w:val="15"/>
              </w:rPr>
            </w:pPr>
            <w:r>
              <w:rPr>
                <w:b/>
                <w:sz w:val="15"/>
                <w:szCs w:val="15"/>
              </w:rPr>
              <w:t>Spolu dlhodobé záväzky</w:t>
            </w:r>
          </w:p>
        </w:tc>
        <w:tc>
          <w:tcPr>
            <w:tcW w:w="807" w:type="dxa"/>
            <w:tcBorders>
              <w:top w:val="nil"/>
              <w:left w:val="nil"/>
              <w:bottom w:val="single" w:sz="8" w:space="0" w:color="000000"/>
              <w:right w:val="nil"/>
            </w:tcBorders>
            <w:shd w:val="clear" w:color="auto" w:fill="auto"/>
            <w:vAlign w:val="center"/>
          </w:tcPr>
          <w:p w14:paraId="5AC40FC4" w14:textId="77777777" w:rsidR="005D6F2F" w:rsidRDefault="005D6F2F">
            <w:pPr>
              <w:jc w:val="center"/>
              <w:rPr>
                <w:b/>
                <w:sz w:val="15"/>
                <w:szCs w:val="15"/>
              </w:rPr>
            </w:pPr>
          </w:p>
        </w:tc>
        <w:tc>
          <w:tcPr>
            <w:tcW w:w="1319" w:type="dxa"/>
            <w:tcBorders>
              <w:top w:val="nil"/>
              <w:left w:val="nil"/>
              <w:bottom w:val="single" w:sz="8" w:space="0" w:color="000000"/>
              <w:right w:val="nil"/>
            </w:tcBorders>
            <w:shd w:val="clear" w:color="auto" w:fill="auto"/>
            <w:vAlign w:val="center"/>
          </w:tcPr>
          <w:p w14:paraId="2E9DA706" w14:textId="3BFB0BCD" w:rsidR="005D6F2F" w:rsidRDefault="00D217F6">
            <w:pPr>
              <w:jc w:val="right"/>
              <w:rPr>
                <w:b/>
                <w:sz w:val="15"/>
                <w:szCs w:val="15"/>
              </w:rPr>
            </w:pPr>
            <w:r>
              <w:rPr>
                <w:b/>
                <w:sz w:val="15"/>
                <w:szCs w:val="15"/>
              </w:rPr>
              <w:t>31</w:t>
            </w:r>
          </w:p>
        </w:tc>
        <w:tc>
          <w:tcPr>
            <w:tcW w:w="1319" w:type="dxa"/>
            <w:tcBorders>
              <w:top w:val="nil"/>
              <w:left w:val="nil"/>
              <w:bottom w:val="single" w:sz="8" w:space="0" w:color="000000"/>
              <w:right w:val="nil"/>
            </w:tcBorders>
            <w:shd w:val="clear" w:color="auto" w:fill="auto"/>
            <w:vAlign w:val="center"/>
          </w:tcPr>
          <w:p w14:paraId="711D5C55" w14:textId="570F013F" w:rsidR="005D6F2F" w:rsidRDefault="00093D4F">
            <w:pPr>
              <w:jc w:val="right"/>
              <w:rPr>
                <w:b/>
                <w:sz w:val="15"/>
                <w:szCs w:val="15"/>
              </w:rPr>
            </w:pPr>
            <w:r>
              <w:rPr>
                <w:b/>
                <w:sz w:val="15"/>
                <w:szCs w:val="15"/>
              </w:rPr>
              <w:t>478</w:t>
            </w:r>
          </w:p>
        </w:tc>
      </w:tr>
    </w:tbl>
    <w:p w14:paraId="61C23261" w14:textId="77777777" w:rsidR="005D6F2F" w:rsidRDefault="005D6F2F">
      <w:pPr>
        <w:rPr>
          <w:i/>
          <w:color w:val="FF0000"/>
        </w:rPr>
      </w:pPr>
    </w:p>
    <w:p w14:paraId="721392B2" w14:textId="77777777" w:rsidR="005D6F2F" w:rsidRDefault="005D6F2F">
      <w:pPr>
        <w:jc w:val="left"/>
        <w:rPr>
          <w:b/>
          <w:smallCaps/>
          <w:color w:val="000000"/>
          <w:sz w:val="18"/>
          <w:szCs w:val="18"/>
          <w:u w:val="single"/>
        </w:rPr>
      </w:pPr>
    </w:p>
    <w:p w14:paraId="73EFA03C" w14:textId="77777777" w:rsidR="005D6F2F" w:rsidRDefault="00000000">
      <w:pPr>
        <w:pStyle w:val="Nadpis1"/>
        <w:numPr>
          <w:ilvl w:val="0"/>
          <w:numId w:val="4"/>
        </w:numPr>
      </w:pPr>
      <w:r>
        <w:t>INÉ AKTÍVA A INÉ PASÍVA</w:t>
      </w:r>
    </w:p>
    <w:p w14:paraId="4AE31B74" w14:textId="77777777" w:rsidR="005D6F2F" w:rsidRDefault="005D6F2F"/>
    <w:p w14:paraId="05A0FC26" w14:textId="77777777" w:rsidR="005D6F2F" w:rsidRDefault="00000000">
      <w:pPr>
        <w:pStyle w:val="Nadpis2"/>
        <w:numPr>
          <w:ilvl w:val="1"/>
          <w:numId w:val="4"/>
        </w:numPr>
      </w:pPr>
      <w:r>
        <w:t>Podmienené záväzky</w:t>
      </w:r>
    </w:p>
    <w:p w14:paraId="0BF5EA77" w14:textId="77777777" w:rsidR="005D6F2F" w:rsidRDefault="005D6F2F"/>
    <w:p w14:paraId="74309498" w14:textId="3C6BABA0" w:rsidR="005D6F2F" w:rsidRDefault="00000000">
      <w: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202</w:t>
      </w:r>
      <w:r w:rsidR="00093D4F">
        <w:t>1</w:t>
      </w:r>
      <w:r>
        <w:t xml:space="preserve"> daňové priznania spoločnosti za roky 201</w:t>
      </w:r>
      <w:r w:rsidR="00093D4F">
        <w:t>7</w:t>
      </w:r>
      <w:r>
        <w:t xml:space="preserve"> až 202</w:t>
      </w:r>
      <w:r w:rsidR="00093D4F">
        <w:t>1</w:t>
      </w:r>
      <w:r>
        <w:t xml:space="preserve"> otvorené a môžu sa stať predmetom kontroly.</w:t>
      </w:r>
    </w:p>
    <w:p w14:paraId="06C1825C" w14:textId="77777777" w:rsidR="005D6F2F" w:rsidRDefault="005D6F2F"/>
    <w:p w14:paraId="48B2AFB4" w14:textId="77777777" w:rsidR="005D6F2F" w:rsidRDefault="00000000">
      <w:pPr>
        <w:pStyle w:val="Nadpis1"/>
        <w:numPr>
          <w:ilvl w:val="0"/>
          <w:numId w:val="4"/>
        </w:numPr>
      </w:pPr>
      <w:r>
        <w:t>SKUTOČNOSTI, KTORÉ NASTALI PO DNI, KU KTORÉMU SA ZOSTAVUJE ÚČTOVNÁ ZÁVIERKA, A DO DŇA ZOSTAVENIA ÚČTOVNEJ ZÁVIERKY</w:t>
      </w:r>
    </w:p>
    <w:p w14:paraId="0A0B73A5" w14:textId="77777777" w:rsidR="005D6F2F" w:rsidRDefault="005D6F2F">
      <w:pPr>
        <w:rPr>
          <w:sz w:val="15"/>
          <w:szCs w:val="15"/>
        </w:rPr>
      </w:pPr>
    </w:p>
    <w:p w14:paraId="74603FF4" w14:textId="6F681986" w:rsidR="005D6F2F" w:rsidRDefault="00000000">
      <w:r>
        <w:t>Po 31. decembri 202</w:t>
      </w:r>
      <w:r w:rsidR="00093D4F">
        <w:t>1</w:t>
      </w:r>
      <w: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2B826AA1" w14:textId="77777777" w:rsidR="005D6F2F" w:rsidRDefault="005D6F2F">
      <w:pPr>
        <w:pBdr>
          <w:top w:val="nil"/>
          <w:left w:val="nil"/>
          <w:bottom w:val="nil"/>
          <w:right w:val="nil"/>
          <w:between w:val="nil"/>
        </w:pBdr>
        <w:rPr>
          <w:i/>
          <w:color w:val="FF0000"/>
        </w:rPr>
      </w:pPr>
    </w:p>
    <w:p w14:paraId="4541670C" w14:textId="77777777" w:rsidR="005D6F2F" w:rsidRDefault="005D6F2F"/>
    <w:p w14:paraId="791B18EA" w14:textId="77777777" w:rsidR="005D6F2F" w:rsidRDefault="005D6F2F"/>
    <w:p w14:paraId="1F97B5E2" w14:textId="77777777" w:rsidR="005D6F2F" w:rsidRDefault="005D6F2F"/>
    <w:sectPr w:rsidR="005D6F2F">
      <w:headerReference w:type="default" r:id="rId8"/>
      <w:footerReference w:type="default" r:id="rId9"/>
      <w:pgSz w:w="11907" w:h="16840"/>
      <w:pgMar w:top="1418" w:right="1418" w:bottom="992" w:left="1418" w:header="567" w:footer="68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448F91" w14:textId="77777777" w:rsidR="00966AB6" w:rsidRDefault="00966AB6">
      <w:r>
        <w:separator/>
      </w:r>
    </w:p>
  </w:endnote>
  <w:endnote w:type="continuationSeparator" w:id="0">
    <w:p w14:paraId="0E0C9953" w14:textId="77777777" w:rsidR="00966AB6" w:rsidRDefault="00966A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panose1 w:val="020B0604020202020204"/>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320D2" w14:textId="77777777" w:rsidR="005D6F2F" w:rsidRDefault="00000000">
    <w:pPr>
      <w:pBdr>
        <w:top w:val="single" w:sz="4" w:space="1" w:color="000000"/>
        <w:left w:val="nil"/>
        <w:bottom w:val="nil"/>
        <w:right w:val="nil"/>
        <w:between w:val="nil"/>
      </w:pBdr>
      <w:tabs>
        <w:tab w:val="center" w:pos="4703"/>
        <w:tab w:val="right" w:pos="9406"/>
      </w:tabs>
      <w:jc w:val="right"/>
      <w:rPr>
        <w:color w:val="000000"/>
      </w:rPr>
    </w:pPr>
    <w:r>
      <w:rPr>
        <w:color w:val="000000"/>
      </w:rPr>
      <w:fldChar w:fldCharType="begin"/>
    </w:r>
    <w:r>
      <w:rPr>
        <w:color w:val="000000"/>
      </w:rPr>
      <w:instrText>PAGE</w:instrText>
    </w:r>
    <w:r>
      <w:rPr>
        <w:color w:val="000000"/>
      </w:rPr>
      <w:fldChar w:fldCharType="separate"/>
    </w:r>
    <w:r w:rsidR="00093D4F">
      <w:rPr>
        <w:noProof/>
        <w:color w:val="000000"/>
      </w:rPr>
      <w:t>1</w:t>
    </w:r>
    <w:r>
      <w:rPr>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C35FD3" w14:textId="77777777" w:rsidR="00966AB6" w:rsidRDefault="00966AB6">
      <w:r>
        <w:separator/>
      </w:r>
    </w:p>
  </w:footnote>
  <w:footnote w:type="continuationSeparator" w:id="0">
    <w:p w14:paraId="44E5B8E4" w14:textId="77777777" w:rsidR="00966AB6" w:rsidRDefault="00966A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5E772F" w14:textId="77777777" w:rsidR="005D6F2F" w:rsidRDefault="00000000">
    <w:pPr>
      <w:pBdr>
        <w:top w:val="single" w:sz="4" w:space="1" w:color="000000"/>
        <w:left w:val="single" w:sz="4" w:space="4" w:color="000000"/>
        <w:bottom w:val="single" w:sz="4" w:space="1" w:color="000000"/>
        <w:right w:val="single" w:sz="4" w:space="4" w:color="000000"/>
        <w:between w:val="nil"/>
      </w:pBdr>
      <w:tabs>
        <w:tab w:val="center" w:pos="4536"/>
        <w:tab w:val="right" w:pos="9072"/>
        <w:tab w:val="left" w:pos="4111"/>
        <w:tab w:val="left" w:pos="6663"/>
      </w:tabs>
      <w:rPr>
        <w:b/>
        <w:color w:val="000000"/>
      </w:rPr>
    </w:pPr>
    <w:r>
      <w:rPr>
        <w:b/>
        <w:color w:val="000000"/>
      </w:rPr>
      <w:t xml:space="preserve">Poznámky </w:t>
    </w:r>
    <w:proofErr w:type="spellStart"/>
    <w:r>
      <w:rPr>
        <w:b/>
        <w:color w:val="000000"/>
      </w:rPr>
      <w:t>Úč</w:t>
    </w:r>
    <w:proofErr w:type="spellEnd"/>
    <w:r>
      <w:rPr>
        <w:b/>
        <w:color w:val="000000"/>
      </w:rPr>
      <w:t xml:space="preserve"> PODV 3-01</w:t>
    </w:r>
    <w:r>
      <w:rPr>
        <w:b/>
        <w:color w:val="000000"/>
      </w:rPr>
      <w:tab/>
      <w:t>IČO: 36 843 954</w:t>
    </w:r>
    <w:r>
      <w:rPr>
        <w:b/>
        <w:color w:val="000000"/>
      </w:rPr>
      <w:tab/>
      <w:t>DIČ: 2022455193</w:t>
    </w:r>
  </w:p>
  <w:p w14:paraId="1A0F2CE1" w14:textId="77777777" w:rsidR="005D6F2F" w:rsidRDefault="005D6F2F">
    <w:pPr>
      <w:pBdr>
        <w:top w:val="nil"/>
        <w:left w:val="nil"/>
        <w:bottom w:val="nil"/>
        <w:right w:val="nil"/>
        <w:between w:val="nil"/>
      </w:pBdr>
      <w:tabs>
        <w:tab w:val="center" w:pos="4536"/>
        <w:tab w:val="right" w:pos="9072"/>
      </w:tabs>
      <w:rPr>
        <w:b/>
        <w:color w:val="000000"/>
      </w:rPr>
    </w:pPr>
  </w:p>
  <w:p w14:paraId="53396F4E" w14:textId="77777777" w:rsidR="005D6F2F" w:rsidRDefault="00000000">
    <w:pPr>
      <w:pBdr>
        <w:top w:val="nil"/>
        <w:left w:val="nil"/>
        <w:bottom w:val="nil"/>
        <w:right w:val="nil"/>
        <w:between w:val="nil"/>
      </w:pBdr>
      <w:tabs>
        <w:tab w:val="center" w:pos="4536"/>
        <w:tab w:val="right" w:pos="9072"/>
      </w:tabs>
      <w:rPr>
        <w:b/>
        <w:color w:val="000000"/>
      </w:rPr>
    </w:pPr>
    <w:r>
      <w:rPr>
        <w:b/>
        <w:color w:val="000000"/>
      </w:rPr>
      <w:t>Poznámky individuálnej účtovnej závierky</w:t>
    </w:r>
  </w:p>
  <w:p w14:paraId="7FEC4C59" w14:textId="2739F65C" w:rsidR="00093D4F" w:rsidRDefault="00000000">
    <w:pPr>
      <w:pBdr>
        <w:top w:val="nil"/>
        <w:left w:val="nil"/>
        <w:bottom w:val="nil"/>
        <w:right w:val="nil"/>
        <w:between w:val="nil"/>
      </w:pBdr>
      <w:tabs>
        <w:tab w:val="center" w:pos="4536"/>
        <w:tab w:val="right" w:pos="9072"/>
      </w:tabs>
      <w:rPr>
        <w:b/>
        <w:color w:val="000000"/>
      </w:rPr>
    </w:pPr>
    <w:r>
      <w:rPr>
        <w:b/>
        <w:color w:val="000000"/>
      </w:rPr>
      <w:t>Zostavenej k 31.12.202</w:t>
    </w:r>
    <w:r w:rsidR="00093D4F">
      <w:rPr>
        <w:b/>
        <w:color w:val="000000"/>
      </w:rPr>
      <w:t>1</w:t>
    </w:r>
  </w:p>
  <w:p w14:paraId="29D7DE40" w14:textId="77777777" w:rsidR="005D6F2F" w:rsidRDefault="00000000">
    <w:pPr>
      <w:pBdr>
        <w:top w:val="nil"/>
        <w:left w:val="nil"/>
        <w:bottom w:val="single" w:sz="4" w:space="1" w:color="000000"/>
        <w:right w:val="nil"/>
        <w:between w:val="nil"/>
      </w:pBdr>
      <w:tabs>
        <w:tab w:val="center" w:pos="4536"/>
        <w:tab w:val="right" w:pos="9072"/>
      </w:tabs>
      <w:rPr>
        <w:b/>
        <w:color w:val="000000"/>
      </w:rPr>
    </w:pPr>
    <w:r>
      <w:rPr>
        <w:b/>
        <w:color w:val="000000"/>
      </w:rPr>
      <w:t>(údaje v tabuľkách sú uvedené v celých eurách, ak nie je uvedené inak)</w:t>
    </w:r>
  </w:p>
  <w:p w14:paraId="59760D92" w14:textId="77777777" w:rsidR="005D6F2F" w:rsidRDefault="005D6F2F">
    <w:pPr>
      <w:pBdr>
        <w:top w:val="nil"/>
        <w:left w:val="nil"/>
        <w:bottom w:val="nil"/>
        <w:right w:val="nil"/>
        <w:between w:val="nil"/>
      </w:pBdr>
      <w:tabs>
        <w:tab w:val="center" w:pos="4536"/>
        <w:tab w:val="right" w:pos="9072"/>
      </w:tabs>
      <w:rPr>
        <w:b/>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C52F48"/>
    <w:multiLevelType w:val="multilevel"/>
    <w:tmpl w:val="21ECB6A0"/>
    <w:lvl w:ilvl="0">
      <w:start w:val="1"/>
      <w:numFmt w:val="upperRoman"/>
      <w:lvlText w:val="%1."/>
      <w:lvlJc w:val="left"/>
      <w:pPr>
        <w:ind w:left="539" w:hanging="539"/>
      </w:pPr>
    </w:lvl>
    <w:lvl w:ilvl="1">
      <w:start w:val="1"/>
      <w:numFmt w:val="decimal"/>
      <w:lvlText w:val="%2."/>
      <w:lvlJc w:val="left"/>
      <w:pPr>
        <w:ind w:left="539" w:hanging="539"/>
      </w:pPr>
      <w:rPr>
        <w:b w:val="0"/>
        <w:i w:val="0"/>
        <w:smallCaps w:val="0"/>
        <w:strike w:val="0"/>
        <w:u w:val="none"/>
        <w:vertAlign w:val="baseline"/>
      </w:rPr>
    </w:lvl>
    <w:lvl w:ilvl="2">
      <w:start w:val="1"/>
      <w:numFmt w:val="decimal"/>
      <w:lvlText w:val="%2.%3."/>
      <w:lvlJc w:val="left"/>
      <w:pPr>
        <w:ind w:left="539" w:hanging="539"/>
      </w:pPr>
    </w:lvl>
    <w:lvl w:ilvl="3">
      <w:start w:val="1"/>
      <w:numFmt w:val="decimal"/>
      <w:lvlText w:val="%2.%3.%4"/>
      <w:lvlJc w:val="left"/>
      <w:pPr>
        <w:ind w:left="539" w:hanging="539"/>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24B27CBB"/>
    <w:multiLevelType w:val="multilevel"/>
    <w:tmpl w:val="CA98B314"/>
    <w:lvl w:ilvl="0">
      <w:start w:val="1"/>
      <w:numFmt w:val="decimal"/>
      <w:lvlText w:val="%1."/>
      <w:lvlJc w:val="left"/>
      <w:pPr>
        <w:ind w:left="539" w:hanging="53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4D951DE"/>
    <w:multiLevelType w:val="multilevel"/>
    <w:tmpl w:val="125C9528"/>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1EF6AB3"/>
    <w:multiLevelType w:val="multilevel"/>
    <w:tmpl w:val="48BCE5B0"/>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4C069D0"/>
    <w:multiLevelType w:val="multilevel"/>
    <w:tmpl w:val="37868A20"/>
    <w:lvl w:ilvl="0">
      <w:start w:val="1"/>
      <w:numFmt w:val="upperRoman"/>
      <w:lvlText w:val="%1."/>
      <w:lvlJc w:val="left"/>
      <w:pPr>
        <w:ind w:left="539" w:hanging="539"/>
      </w:pPr>
    </w:lvl>
    <w:lvl w:ilvl="1">
      <w:start w:val="1"/>
      <w:numFmt w:val="decimal"/>
      <w:lvlText w:val="%2."/>
      <w:lvlJc w:val="left"/>
      <w:pPr>
        <w:ind w:left="539" w:hanging="539"/>
      </w:pPr>
      <w:rPr>
        <w:b w:val="0"/>
        <w:i w:val="0"/>
        <w:smallCaps w:val="0"/>
        <w:strike w:val="0"/>
        <w:u w:val="none"/>
        <w:vertAlign w:val="baseline"/>
      </w:rPr>
    </w:lvl>
    <w:lvl w:ilvl="2">
      <w:start w:val="1"/>
      <w:numFmt w:val="decimal"/>
      <w:lvlText w:val="%2.%3."/>
      <w:lvlJc w:val="left"/>
      <w:pPr>
        <w:ind w:left="539" w:hanging="539"/>
      </w:pPr>
    </w:lvl>
    <w:lvl w:ilvl="3">
      <w:start w:val="1"/>
      <w:numFmt w:val="decimal"/>
      <w:lvlText w:val="%2.%3.%4"/>
      <w:lvlJc w:val="left"/>
      <w:pPr>
        <w:ind w:left="539" w:hanging="539"/>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39C03043"/>
    <w:multiLevelType w:val="multilevel"/>
    <w:tmpl w:val="6BF27F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972666A"/>
    <w:multiLevelType w:val="multilevel"/>
    <w:tmpl w:val="6EDEA5CC"/>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6D953A49"/>
    <w:multiLevelType w:val="multilevel"/>
    <w:tmpl w:val="A54A7822"/>
    <w:lvl w:ilvl="0">
      <w:start w:val="1"/>
      <w:numFmt w:val="lowerLetter"/>
      <w:pStyle w:val="Nadpis1"/>
      <w:lvlText w:val="%1)"/>
      <w:lvlJc w:val="left"/>
      <w:pPr>
        <w:ind w:left="539" w:hanging="539"/>
      </w:pPr>
    </w:lvl>
    <w:lvl w:ilvl="1">
      <w:start w:val="1"/>
      <w:numFmt w:val="bullet"/>
      <w:pStyle w:val="Nadpis2"/>
      <w:lvlText w:val="●"/>
      <w:lvlJc w:val="left"/>
      <w:pPr>
        <w:ind w:left="1364" w:hanging="284"/>
      </w:pPr>
      <w:rPr>
        <w:rFonts w:ascii="Noto Sans Symbols" w:eastAsia="Noto Sans Symbols" w:hAnsi="Noto Sans Symbols" w:cs="Noto Sans Symbols"/>
      </w:rPr>
    </w:lvl>
    <w:lvl w:ilvl="2">
      <w:start w:val="1"/>
      <w:numFmt w:val="lowerRoman"/>
      <w:pStyle w:val="Nadpis3"/>
      <w:lvlText w:val="%3."/>
      <w:lvlJc w:val="right"/>
      <w:pPr>
        <w:ind w:left="2160" w:hanging="180"/>
      </w:pPr>
    </w:lvl>
    <w:lvl w:ilvl="3">
      <w:start w:val="1"/>
      <w:numFmt w:val="decimal"/>
      <w:pStyle w:val="Nadpis4"/>
      <w:lvlText w:val="%4."/>
      <w:lvlJc w:val="left"/>
      <w:pPr>
        <w:ind w:left="2880" w:hanging="360"/>
      </w:pPr>
    </w:lvl>
    <w:lvl w:ilvl="4">
      <w:start w:val="1"/>
      <w:numFmt w:val="lowerLetter"/>
      <w:pStyle w:val="Nadpis5"/>
      <w:lvlText w:val="%5."/>
      <w:lvlJc w:val="left"/>
      <w:pPr>
        <w:ind w:left="3600" w:hanging="360"/>
      </w:pPr>
    </w:lvl>
    <w:lvl w:ilvl="5">
      <w:start w:val="1"/>
      <w:numFmt w:val="lowerRoman"/>
      <w:pStyle w:val="Nadpis6"/>
      <w:lvlText w:val="%6."/>
      <w:lvlJc w:val="right"/>
      <w:pPr>
        <w:ind w:left="4320" w:hanging="180"/>
      </w:pPr>
    </w:lvl>
    <w:lvl w:ilvl="6">
      <w:start w:val="1"/>
      <w:numFmt w:val="decimal"/>
      <w:pStyle w:val="Nadpis7"/>
      <w:lvlText w:val="%7."/>
      <w:lvlJc w:val="left"/>
      <w:pPr>
        <w:ind w:left="5040" w:hanging="360"/>
      </w:pPr>
    </w:lvl>
    <w:lvl w:ilvl="7">
      <w:start w:val="1"/>
      <w:numFmt w:val="lowerLetter"/>
      <w:pStyle w:val="Nadpis8"/>
      <w:lvlText w:val="%8."/>
      <w:lvlJc w:val="left"/>
      <w:pPr>
        <w:ind w:left="5760" w:hanging="360"/>
      </w:pPr>
    </w:lvl>
    <w:lvl w:ilvl="8">
      <w:start w:val="1"/>
      <w:numFmt w:val="lowerRoman"/>
      <w:pStyle w:val="Nadpis9"/>
      <w:lvlText w:val="%9."/>
      <w:lvlJc w:val="right"/>
      <w:pPr>
        <w:ind w:left="6480" w:hanging="180"/>
      </w:pPr>
    </w:lvl>
  </w:abstractNum>
  <w:abstractNum w:abstractNumId="8" w15:restartNumberingAfterBreak="0">
    <w:nsid w:val="736703FC"/>
    <w:multiLevelType w:val="multilevel"/>
    <w:tmpl w:val="F10CE872"/>
    <w:lvl w:ilvl="0">
      <w:start w:val="1"/>
      <w:numFmt w:val="lowerLetter"/>
      <w:lvlText w:val="%1)"/>
      <w:lvlJc w:val="left"/>
      <w:pPr>
        <w:ind w:left="539" w:hanging="53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743C795A"/>
    <w:multiLevelType w:val="multilevel"/>
    <w:tmpl w:val="6A04805E"/>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132595552">
    <w:abstractNumId w:val="7"/>
  </w:num>
  <w:num w:numId="2" w16cid:durableId="176623796">
    <w:abstractNumId w:val="1"/>
  </w:num>
  <w:num w:numId="3" w16cid:durableId="2075468041">
    <w:abstractNumId w:val="3"/>
  </w:num>
  <w:num w:numId="4" w16cid:durableId="171333631">
    <w:abstractNumId w:val="4"/>
  </w:num>
  <w:num w:numId="5" w16cid:durableId="1293630477">
    <w:abstractNumId w:val="6"/>
  </w:num>
  <w:num w:numId="6" w16cid:durableId="1504587670">
    <w:abstractNumId w:val="9"/>
  </w:num>
  <w:num w:numId="7" w16cid:durableId="1588034408">
    <w:abstractNumId w:val="8"/>
  </w:num>
  <w:num w:numId="8" w16cid:durableId="1146358436">
    <w:abstractNumId w:val="0"/>
  </w:num>
  <w:num w:numId="9" w16cid:durableId="1643001044">
    <w:abstractNumId w:val="2"/>
  </w:num>
  <w:num w:numId="10" w16cid:durableId="210456957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6F2F"/>
    <w:rsid w:val="00093D4F"/>
    <w:rsid w:val="005D6F2F"/>
    <w:rsid w:val="00966AB6"/>
    <w:rsid w:val="00D217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4:docId w14:val="1EC5A5F4"/>
  <w15:docId w15:val="{6ED6B28D-B037-ED45-BA0E-071EBA9C6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Verdana" w:hAnsi="Verdana" w:cs="Verdana"/>
        <w:sz w:val="17"/>
        <w:szCs w:val="17"/>
        <w:lang w:val="sk-SK" w:eastAsia="sk-SK"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81150"/>
    <w:rPr>
      <w:lang w:eastAsia="en-US"/>
    </w:rPr>
  </w:style>
  <w:style w:type="paragraph" w:styleId="Nadpis1">
    <w:name w:val="heading 1"/>
    <w:basedOn w:val="Normlny"/>
    <w:next w:val="Normlny"/>
    <w:uiPriority w:val="9"/>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uiPriority w:val="9"/>
    <w:unhideWhenUsed/>
    <w:qFormat/>
    <w:rsid w:val="00111C30"/>
    <w:pPr>
      <w:keepNext/>
      <w:numPr>
        <w:ilvl w:val="1"/>
        <w:numId w:val="1"/>
      </w:numPr>
      <w:outlineLvl w:val="1"/>
    </w:pPr>
    <w:rPr>
      <w:rFonts w:cs="Arial"/>
      <w:b/>
      <w:bCs/>
      <w:iCs/>
      <w:szCs w:val="28"/>
    </w:rPr>
  </w:style>
  <w:style w:type="paragraph" w:styleId="Nadpis3">
    <w:name w:val="heading 3"/>
    <w:basedOn w:val="Normlny"/>
    <w:next w:val="Normlny"/>
    <w:uiPriority w:val="9"/>
    <w:unhideWhenUsed/>
    <w:qFormat/>
    <w:rsid w:val="00111C30"/>
    <w:pPr>
      <w:keepNext/>
      <w:numPr>
        <w:ilvl w:val="2"/>
        <w:numId w:val="1"/>
      </w:numPr>
      <w:outlineLvl w:val="2"/>
    </w:pPr>
    <w:rPr>
      <w:rFonts w:cs="Arial"/>
      <w:bCs/>
      <w:szCs w:val="26"/>
      <w:u w:val="single"/>
    </w:rPr>
  </w:style>
  <w:style w:type="paragraph" w:styleId="Nadpis4">
    <w:name w:val="heading 4"/>
    <w:basedOn w:val="Normlny"/>
    <w:next w:val="Normlny"/>
    <w:uiPriority w:val="9"/>
    <w:semiHidden/>
    <w:unhideWhenUsed/>
    <w:qFormat/>
    <w:rsid w:val="00111C30"/>
    <w:pPr>
      <w:keepNext/>
      <w:numPr>
        <w:ilvl w:val="3"/>
        <w:numId w:val="1"/>
      </w:numPr>
      <w:outlineLvl w:val="3"/>
    </w:pPr>
    <w:rPr>
      <w:bCs/>
      <w:i/>
      <w:szCs w:val="28"/>
    </w:rPr>
  </w:style>
  <w:style w:type="paragraph" w:styleId="Nadpis5">
    <w:name w:val="heading 5"/>
    <w:basedOn w:val="Normlny"/>
    <w:next w:val="Normlny"/>
    <w:uiPriority w:val="9"/>
    <w:semiHidden/>
    <w:unhideWhenUsed/>
    <w:qFormat/>
    <w:rsid w:val="00111C30"/>
    <w:pPr>
      <w:numPr>
        <w:ilvl w:val="4"/>
        <w:numId w:val="1"/>
      </w:numPr>
      <w:spacing w:before="240" w:after="60"/>
      <w:outlineLvl w:val="4"/>
    </w:pPr>
    <w:rPr>
      <w:b/>
      <w:bCs/>
      <w:i/>
      <w:iCs/>
      <w:szCs w:val="26"/>
    </w:rPr>
  </w:style>
  <w:style w:type="paragraph" w:styleId="Nadpis6">
    <w:name w:val="heading 6"/>
    <w:basedOn w:val="Normlny"/>
    <w:next w:val="Normlny"/>
    <w:uiPriority w:val="9"/>
    <w:semiHidden/>
    <w:unhideWhenUsed/>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uiPriority w:val="10"/>
    <w:qFormat/>
    <w:pPr>
      <w:keepNext/>
      <w:keepLines/>
      <w:spacing w:before="480" w:after="120"/>
    </w:pPr>
    <w:rPr>
      <w:b/>
      <w:sz w:val="72"/>
      <w:szCs w:val="72"/>
    </w:rPr>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70" w:type="dxa"/>
        <w:bottom w:w="0" w:type="dxa"/>
        <w:right w:w="70" w:type="dxa"/>
      </w:tblCellMar>
    </w:tblPr>
  </w:style>
  <w:style w:type="table" w:customStyle="1" w:styleId="a1">
    <w:basedOn w:val="TableNormal"/>
    <w:tblPr>
      <w:tblStyleRowBandSize w:val="1"/>
      <w:tblStyleColBandSize w:val="1"/>
      <w:tblCellMar>
        <w:top w:w="0" w:type="dxa"/>
        <w:left w:w="70" w:type="dxa"/>
        <w:bottom w:w="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mgH63GmY3WK2cKwZry0fbi3fypg==">AMUW2mVeQ6f6yKHnW3RuPHfpDDrDBibzJ0UMpN7J+831k8yQ/+ZskQKdJR6EHefyb0F+rNoloClVJ+blfIgCbaECaeSGLLXTnlC8HhHeA1/8hap/LjCOik5TkeX866ZOl67uYXAxwvuBinGP3tYm6/dA0zsIb3cNkA==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3</Pages>
  <Words>1298</Words>
  <Characters>7403</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Alena Durkova</dc:creator>
  <cp:lastModifiedBy>Mikolaj, Mário</cp:lastModifiedBy>
  <cp:revision>2</cp:revision>
  <dcterms:created xsi:type="dcterms:W3CDTF">2021-08-19T10:15:00Z</dcterms:created>
  <dcterms:modified xsi:type="dcterms:W3CDTF">2022-10-13T13:14:00Z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