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/>
        <w:keepLines w:val="false"/>
        <w:pageBreakBefore w:val="false"/>
        <w:widowControl w:val="false"/>
        <w:pBdr>
          <w:bottom w:val="single" w:sz="8" w:space="1" w:color="000001"/>
        </w:pBdr>
        <w:shd w:val="clear" w:fill="auto"/>
        <w:spacing w:lineRule="auto" w:line="343" w:before="0" w:after="0"/>
        <w:ind w:left="0" w:right="0" w:hanging="0"/>
        <w:jc w:val="center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highlight w:val="white"/>
          <w:u w:val="none"/>
          <w:vertAlign w:val="baseline"/>
        </w:rPr>
      </w:pPr>
      <w:bookmarkStart w:id="0" w:name="gjdgxs"/>
      <w:bookmarkEnd w:id="0"/>
      <w:r>
        <w:rPr>
          <w:rFonts w:eastAsia="Arial" w:cs="Arial" w:ascii="Arial" w:hAnsi="Arial"/>
          <w:b/>
          <w:i w:val="false"/>
          <w:smallCaps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FFFFFF" w:val="clear"/>
          <w:vertAlign w:val="baseline"/>
        </w:rPr>
        <w:t xml:space="preserve">NÁRODNÉ CENTRUM SCLEROSIS MULTIPLEX, </w:t>
      </w: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FFFFFF" w:val="clear"/>
          <w:vertAlign w:val="baseline"/>
        </w:rPr>
        <w:t xml:space="preserve">n.o., 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0"/>
        <w:ind w:left="0" w:right="0" w:hanging="0"/>
        <w:jc w:val="center"/>
        <w:rPr>
          <w:rFonts w:ascii="Arial Narrow" w:hAnsi="Arial Narrow" w:eastAsia="Arial Narrow" w:cs="Arial Narrow"/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highlight w:val="white"/>
          <w:u w:val="none"/>
          <w:vertAlign w:val="baseline"/>
        </w:rPr>
      </w:pPr>
      <w:r>
        <w:rPr>
          <w:rFonts w:eastAsia="Arial Narrow" w:cs="Arial Narrow" w:ascii="Arial Narrow" w:hAnsi="Arial Narrow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FFFFFF" w:val="clear"/>
          <w:vertAlign w:val="baseline"/>
        </w:rPr>
        <w:t>Sídlo:</w:t>
      </w:r>
      <w:r>
        <w:rPr>
          <w:rFonts w:eastAsia="Arial Narrow" w:cs="Arial Narrow" w:ascii="Arial Narrow" w:hAnsi="Arial Narrow"/>
          <w:b/>
        </w:rPr>
        <w:t xml:space="preserve"> Pod Kalváriou 65, 08001 Prešov</w:t>
      </w:r>
      <w:r>
        <w:rPr>
          <w:rFonts w:eastAsia="Arial Narrow" w:cs="Arial Narrow" w:ascii="Arial Narrow" w:hAnsi="Arial Narrow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FFFFFF" w:val="clear"/>
          <w:vertAlign w:val="baseline"/>
        </w:rPr>
        <w:t xml:space="preserve"> 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288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highlight w:val="white"/>
          <w:u w:val="none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FFFFFF" w:val="clear"/>
          <w:vertAlign w:val="baseline"/>
        </w:rPr>
        <w:t>REG.: OÚ MVSR v Prešove, č.: OVVS-241/2008-NO        IČO: 42092175        DIČ: 202268062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0"/>
        <w:ind w:left="0" w:right="0" w:hanging="0"/>
        <w:jc w:val="left"/>
        <w:rPr>
          <w:rFonts w:ascii="Times New Roman" w:hAnsi="Times New Roman" w:eastAsia="Times New Roman" w:cs="Times New Roman"/>
          <w:b w:val="false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highlight w:val="white"/>
          <w:u w:val="none"/>
          <w:vertAlign w:val="baseline"/>
        </w:rPr>
      </w:pPr>
      <w:r>
        <w:rPr>
          <w:rFonts w:eastAsia="Times New Roman" w:cs="Times New Roman" w:ascii="Times New Roman" w:hAnsi="Times New Roman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4"/>
          <w:szCs w:val="24"/>
          <w:u w:val="none"/>
          <w:shd w:fill="FFFFFF" w:val="clear"/>
          <w:vertAlign w:val="baseline"/>
        </w:rPr>
        <w:t> </w:t>
      </w:r>
      <w:r>
        <w:rPr>
          <w:rFonts w:eastAsia="Arial" w:cs="Arial" w:ascii="Arial" w:hAnsi="Arial"/>
          <w:b/>
          <w:i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FFFFFF" w:val="clear"/>
          <w:vertAlign w:val="baseline"/>
        </w:rPr>
        <w:br/>
        <w:t xml:space="preserve">                                                       </w:t>
      </w:r>
      <w:r>
        <w:rPr>
          <w:rFonts w:eastAsia="Arial" w:cs="Arial" w:ascii="Arial" w:hAnsi="Arial"/>
          <w:b/>
          <w:i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FFFFFF" w:val="clear"/>
          <w:vertAlign w:val="baseline"/>
        </w:rPr>
        <w:t>VÝROČNÁ SPRÁVA   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0"/>
        <w:ind w:left="0" w:right="0" w:hanging="0"/>
        <w:jc w:val="center"/>
        <w:rPr>
          <w:rFonts w:ascii="Arial" w:hAnsi="Arial" w:eastAsia="Arial" w:cs="Arial"/>
          <w:b/>
          <w:b/>
          <w:i/>
          <w:i/>
          <w:caps w:val="false"/>
          <w:smallCaps w:val="false"/>
          <w:strike w:val="false"/>
          <w:dstrike w:val="false"/>
          <w:color w:val="000000"/>
          <w:position w:val="0"/>
          <w:sz w:val="24"/>
          <w:sz w:val="28"/>
          <w:szCs w:val="28"/>
          <w:highlight w:val="white"/>
          <w:u w:val="none"/>
          <w:vertAlign w:val="baseline"/>
        </w:rPr>
      </w:pPr>
      <w:r>
        <w:rPr>
          <w:rFonts w:eastAsia="Arial" w:cs="Arial" w:ascii="Arial" w:hAnsi="Arial"/>
          <w:b/>
          <w:i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FFFFFF" w:val="clear"/>
          <w:vertAlign w:val="baseline"/>
        </w:rPr>
        <w:t>o činnosti NCSM za r. 20</w:t>
      </w:r>
      <w:r>
        <w:rPr>
          <w:rFonts w:eastAsia="Arial" w:cs="Arial" w:ascii="Arial" w:hAnsi="Arial"/>
          <w:b/>
          <w:i/>
          <w:sz w:val="28"/>
          <w:szCs w:val="28"/>
        </w:rPr>
        <w:t>21</w:t>
      </w:r>
      <w:r>
        <w:rPr>
          <w:rFonts w:eastAsia="Arial" w:cs="Arial" w:ascii="Arial" w:hAnsi="Arial"/>
          <w:b/>
          <w:i/>
          <w:caps w:val="false"/>
          <w:smallCaps w:val="false"/>
          <w:strike w:val="false"/>
          <w:dstrike w:val="false"/>
          <w:color w:val="000000"/>
          <w:position w:val="0"/>
          <w:sz w:val="28"/>
          <w:sz w:val="28"/>
          <w:szCs w:val="28"/>
          <w:u w:val="none"/>
          <w:shd w:fill="FFFFFF" w:val="clear"/>
          <w:vertAlign w:val="baseline"/>
        </w:rPr>
        <w:t>.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0"/>
        <w:ind w:left="0" w:right="0" w:hanging="0"/>
        <w:jc w:val="left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Národné centrum Sclerosis multiplex, n.o. registrované Obvodným úradom v Prešove dňa 22.8.2008 pod číslom OVVS-241/2008-NO bolo založené </w:t>
      </w: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za účelom vybudovania zariadenia sociálnych služieb s liečebnou rehabilitáciou špecializovanou na sklerózu multiplex.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0"/>
        <w:ind w:left="0" w:right="0" w:hanging="0"/>
        <w:jc w:val="both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0"/>
        <w:ind w:left="0" w:right="0" w:hanging="0"/>
        <w:jc w:val="both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Sclerosis multiplex /d'alej len SM/ je závažné demyelinizačné ochorenie centrálnej nervovej sústavy, na ktoré zatial' nepoznajú liek nikde na svete. SM postihuje najmä mladých ľudí v najproduktívnejšom období ich života – v priemere od 18 – 36 rokov. Sclerosis multiplex /SM/ alebo roztrúsená skleróza nie je nákazlivá, ani dedičná, ani nemá nič spoločné so zabúdaním. Je to choroba, pri ktorej dochádza k poškodeniu obalu nervu kdekoľvek v organizme človek stráca silu v končatinách, stráca rovnováhu a nezriedka je už v mladom veku odkázaný na používanie barlí alebo invalidného vozíka. Je to choroba zatiaľ nevyliečiteľná, ale 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FFFFFF" w:val="clear"/>
          <w:vertAlign w:val="baseline"/>
        </w:rPr>
        <w:t>nie je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 smrteľná. SM JE LIEČITEĽNÁ – to znamená – dajú sa zmierniť príznaky, 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FFFFFF" w:val="clear"/>
          <w:vertAlign w:val="baseline"/>
        </w:rPr>
        <w:t>progresia choroby sa dá spomaliť ale aj zastaviť.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288" w:before="0" w:after="0"/>
        <w:ind w:left="0" w:right="0" w:hanging="0"/>
        <w:jc w:val="center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Starostlivosť o pacientov s SM na Slovensku je len 5% oproti iným krajinám EU /Európska platforma SM/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288" w:before="0" w:after="0"/>
        <w:ind w:left="0" w:right="0" w:hanging="0"/>
        <w:jc w:val="center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V SR je viac ako 15 000 osôb s SM,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288" w:before="0" w:after="0"/>
        <w:ind w:left="0" w:right="0" w:hanging="0"/>
        <w:jc w:val="center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v Prešovskom kraji viac ako 2800.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288" w:before="0" w:after="0"/>
        <w:ind w:left="0" w:right="0" w:hanging="0"/>
        <w:jc w:val="center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Každý rok pribúda cca 1500 novodiagnostikovaných.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0"/>
        <w:ind w:left="0" w:right="0" w:hanging="0"/>
        <w:jc w:val="both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Špecializovaná rehabilitácia je pre klientov s SM životne dôležitá a nevyhnutná v každom štádiu choroby, lebo len rehabiltácia má 100% účinok v liečbe SM. S SM sa dá žiť do pomerne vysokého veku, pomerne aktívne a aj bez invalidného vozíka, len sa treba naučiť – ako. Na druhej strane, klienti v ťažkých štádiách si vyžadujú špeciálnu starostlivosť v špecializovanom zariadení.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288" w:before="0" w:after="0"/>
        <w:ind w:left="0" w:right="0" w:hanging="0"/>
        <w:jc w:val="both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Keďže pacient s SM v ťažšom štádiu sa nedostane do kúpeľov z rôznych dôvodov, keďže mladí pacienti s SM sú odkázaní na starostlivosť iných ako svojich príbuzných, keďže príbuzní už nevládzu sa starať o svojich ležiacich ...a keďže na Slovensku NEEXISTUJE žiadne pracovisko, ktoré by poskytovalo primeranú a nevyhnutnú komplexnú starostlivosť pacientom so Sklerózou multiplex, </w:t>
      </w: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je životne dôležité "vybudovať" Zariadenie sociálnych služieb s rehabilitáciou špecializovanou na SM.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240" w:before="0" w:after="120"/>
        <w:ind w:left="0" w:right="0" w:hanging="0"/>
        <w:jc w:val="left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0"/>
        <w:ind w:left="0" w:right="0" w:hanging="0"/>
        <w:jc w:val="both"/>
        <w:rPr>
          <w:rFonts w:ascii="Arial" w:hAnsi="Arial" w:eastAsia="Arial" w:cs="Arial"/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Správna rada NCSM: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0"/>
        <w:ind w:left="0" w:right="0" w:hanging="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1.   </w:t>
      </w:r>
      <w:r>
        <w:rPr>
          <w:rFonts w:eastAsia="Arial" w:cs="Arial" w:ascii="Arial" w:hAnsi="Arial"/>
          <w:sz w:val="20"/>
          <w:szCs w:val="20"/>
        </w:rPr>
        <w:t>Ing. Peter Ilenčík, predseda Správnej rady na základe rozhodnutia správne rady zo dňa 17.3.2017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0"/>
        <w:ind w:left="0" w:right="0" w:hanging="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2. Veronika Semanová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0"/>
        <w:ind w:left="0" w:right="0" w:hanging="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3. Štefan Seman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0"/>
        <w:ind w:left="0" w:right="0" w:hanging="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0"/>
        <w:ind w:left="0" w:right="0" w:hanging="0"/>
        <w:jc w:val="left"/>
        <w:rPr>
          <w:rFonts w:ascii="Arial" w:hAnsi="Arial" w:eastAsia="Arial" w:cs="Arial"/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Dozorná rada: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96" w:before="0" w:after="200"/>
        <w:ind w:left="0" w:right="0" w:hanging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1.   Mgr. Teťana Ustohalová                                                                                                                               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96" w:before="0" w:after="200"/>
        <w:ind w:left="0" w:right="0" w:hanging="0"/>
        <w:jc w:val="left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 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2.   RNDr. Juraj Daniel – Čarný                                                                                                                         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96" w:before="0" w:after="200"/>
        <w:ind w:left="0" w:right="0" w:hanging="0"/>
        <w:jc w:val="left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 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3. Mgr. Filip Hvizdoš 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0"/>
        <w:ind w:left="0" w:right="0" w:hanging="0"/>
        <w:jc w:val="both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V  kalendárnom roku  20</w:t>
      </w:r>
      <w:r>
        <w:rPr>
          <w:rFonts w:eastAsia="Arial" w:cs="Arial" w:ascii="Arial" w:hAnsi="Arial"/>
          <w:sz w:val="20"/>
          <w:szCs w:val="20"/>
        </w:rPr>
        <w:t>21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 </w:t>
      </w:r>
      <w:r>
        <w:rPr>
          <w:rFonts w:eastAsia="Arial" w:cs="Arial" w:ascii="Arial" w:hAnsi="Arial"/>
          <w:sz w:val="20"/>
          <w:szCs w:val="20"/>
        </w:rPr>
        <w:t>ne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došlo k personálnym zmenám v zložení </w:t>
      </w:r>
      <w:r>
        <w:rPr>
          <w:rFonts w:eastAsia="Arial" w:cs="Arial" w:ascii="Arial" w:hAnsi="Arial"/>
          <w:sz w:val="20"/>
          <w:szCs w:val="20"/>
        </w:rPr>
        <w:t>S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právnej rady. </w:t>
        <w:br/>
        <w:t>V  kalendárnom roku  20</w:t>
      </w:r>
      <w:r>
        <w:rPr>
          <w:rFonts w:eastAsia="Arial" w:cs="Arial" w:ascii="Arial" w:hAnsi="Arial"/>
          <w:sz w:val="20"/>
          <w:szCs w:val="20"/>
        </w:rPr>
        <w:t>20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 nedošlo k žiadnym personálnym zmenám v zložení Dozornej rady. 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240"/>
        <w:ind w:left="0" w:right="0" w:hanging="0"/>
        <w:jc w:val="both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Všetci členovia Správnej aj Dozornej rady pracujú bez nároku na odmenu, na báze dobrovoľnosti.</w:t>
        <w:br/>
        <w:br/>
      </w: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FFFFFF" w:val="clear"/>
          <w:vertAlign w:val="baseline"/>
        </w:rPr>
        <w:t>ČINNOSŤ NÁRODNÉHO CENTRA SCLEROSIS MULTIPLEX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0"/>
        <w:ind w:left="0" w:right="0" w:hanging="0"/>
        <w:jc w:val="both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Táto výročná správa bude „popreplietaná“ činnosťou pacientov s SM – členov klubu SM v Prešove, pretože sa jednoducho nedá oddeliť činnosť NCSM od činnosti členov klubu. Činnosť členov klubu je zameraná predovšetkým na rehabilitáciu a na fundraising pre vybudovanie NCSM, čo je nevyhnutné pre ďalšie zvyšovanie kvality života pacientov s SM v celej SR. 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  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240" w:before="0" w:after="120"/>
        <w:ind w:left="0" w:right="0" w:hanging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"/>
        <w:pageBreakBefore w:val="false"/>
        <w:numPr>
          <w:ilvl w:val="0"/>
          <w:numId w:val="1"/>
        </w:numPr>
        <w:ind w:left="720" w:hanging="36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 xml:space="preserve">NCSM </w:t>
      </w:r>
      <w:r>
        <w:rPr>
          <w:rFonts w:eastAsia="Arial" w:cs="Arial" w:ascii="Arial" w:hAnsi="Arial"/>
          <w:sz w:val="20"/>
          <w:szCs w:val="20"/>
        </w:rPr>
        <w:t xml:space="preserve">- je registrovaný poskytovateľ Terénnej sociálnej služby krízovej intervencie v Registri poskytovateľov sociálnych služieb na VÚC Prešovského samosprávneho kraja. </w:t>
      </w:r>
    </w:p>
    <w:p>
      <w:pPr>
        <w:pStyle w:val="Normal"/>
        <w:pageBreakBefore w:val="false"/>
        <w:numPr>
          <w:ilvl w:val="0"/>
          <w:numId w:val="1"/>
        </w:numPr>
        <w:ind w:left="720" w:hanging="360"/>
        <w:jc w:val="both"/>
        <w:rPr/>
      </w:pPr>
      <w:r>
        <w:rPr>
          <w:rFonts w:eastAsia="Arial" w:cs="Arial" w:ascii="Arial" w:hAnsi="Arial"/>
          <w:sz w:val="20"/>
          <w:szCs w:val="20"/>
        </w:rPr>
        <w:t xml:space="preserve">je členom Partnerstva sociálnej inklúzie subregiónu Šariš a členom Európskej organizácie na rehabilitáciu SM /RIMS </w:t>
      </w:r>
      <w:hyperlink r:id="rId2">
        <w:r>
          <w:rPr>
            <w:rStyle w:val="Internetovodkaz"/>
            <w:rFonts w:eastAsia="Arial" w:cs="Arial" w:ascii="Arial" w:hAnsi="Arial"/>
            <w:sz w:val="20"/>
            <w:szCs w:val="20"/>
          </w:rPr>
          <w:t>http://www.eurims.org/</w:t>
        </w:r>
      </w:hyperlink>
    </w:p>
    <w:p>
      <w:pPr>
        <w:pStyle w:val="Normal"/>
        <w:pageBreakBefore w:val="false"/>
        <w:numPr>
          <w:ilvl w:val="0"/>
          <w:numId w:val="1"/>
        </w:numPr>
        <w:ind w:left="720" w:hanging="36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"/>
        <w:pageBreakBefore w:val="false"/>
        <w:numPr>
          <w:ilvl w:val="0"/>
          <w:numId w:val="1"/>
        </w:numPr>
        <w:ind w:left="720" w:hanging="360"/>
        <w:jc w:val="both"/>
        <w:rPr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 xml:space="preserve">- spolupracuje s Európskou platformou Sclerosis multiplex /EMSP www.emsp.org/, s Medzinárodnou federáciou SM, </w:t>
      </w:r>
      <w:r>
        <w:rPr>
          <w:rFonts w:eastAsia="Arial" w:cs="Arial" w:ascii="Arial" w:hAnsi="Arial"/>
          <w:b/>
          <w:sz w:val="20"/>
          <w:szCs w:val="20"/>
        </w:rPr>
        <w:t>s Klubom SM v Prešove</w:t>
      </w:r>
      <w:r>
        <w:rPr>
          <w:rFonts w:eastAsia="Arial" w:cs="Arial" w:ascii="Arial" w:hAnsi="Arial"/>
          <w:sz w:val="20"/>
          <w:szCs w:val="20"/>
        </w:rPr>
        <w:t xml:space="preserve"> a s ďalšími organizáciami SM na Slovensku. </w:t>
      </w:r>
    </w:p>
    <w:p>
      <w:pPr>
        <w:pStyle w:val="Normal"/>
        <w:pageBreakBefore w:val="false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"/>
        <w:pageBreakBefore w:val="false"/>
        <w:numPr>
          <w:ilvl w:val="0"/>
          <w:numId w:val="3"/>
        </w:numPr>
        <w:tabs>
          <w:tab w:val="left" w:pos="0" w:leader="none"/>
        </w:tabs>
        <w:spacing w:lineRule="auto" w:line="288" w:before="240" w:after="0"/>
        <w:ind w:left="707" w:hanging="283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"/>
        <w:pageBreakBefore w:val="false"/>
        <w:ind w:left="0" w:hanging="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b/>
          <w:sz w:val="20"/>
          <w:szCs w:val="20"/>
        </w:rPr>
        <w:t xml:space="preserve">       </w:t>
      </w:r>
      <w:r>
        <w:rPr>
          <w:rFonts w:eastAsia="Arial" w:cs="Arial" w:ascii="Arial" w:hAnsi="Arial"/>
          <w:b/>
          <w:sz w:val="20"/>
          <w:szCs w:val="20"/>
        </w:rPr>
        <w:t>Nové sídlo NCSM</w:t>
      </w:r>
      <w:r>
        <w:rPr>
          <w:rFonts w:eastAsia="Arial" w:cs="Arial" w:ascii="Arial" w:hAnsi="Arial"/>
          <w:sz w:val="20"/>
          <w:szCs w:val="20"/>
        </w:rPr>
        <w:t>: Pod Kalváriou 65, 08001 Prešov, od 1.2.2021</w:t>
      </w:r>
    </w:p>
    <w:p>
      <w:pPr>
        <w:pStyle w:val="Normal"/>
        <w:pageBreakBefore w:val="false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 xml:space="preserve">       </w:t>
      </w:r>
    </w:p>
    <w:p>
      <w:pPr>
        <w:pStyle w:val="Normal"/>
        <w:pageBreakBefore w:val="false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 xml:space="preserve">      </w:t>
      </w:r>
      <w:r>
        <w:rPr>
          <w:rFonts w:eastAsia="Arial" w:cs="Arial" w:ascii="Arial" w:hAnsi="Arial"/>
          <w:b/>
          <w:sz w:val="20"/>
          <w:szCs w:val="20"/>
        </w:rPr>
        <w:t>Sociálne služby:</w:t>
      </w:r>
      <w:r>
        <w:rPr>
          <w:rFonts w:eastAsia="Arial" w:cs="Arial" w:ascii="Arial" w:hAnsi="Arial"/>
          <w:sz w:val="20"/>
          <w:szCs w:val="20"/>
        </w:rPr>
        <w:t xml:space="preserve"> Terénna sociálna služba krízovej intervencie, sociálne poradenstvo, sociálna rehabilitácia,</w:t>
      </w:r>
    </w:p>
    <w:p>
      <w:pPr>
        <w:pStyle w:val="Normal"/>
        <w:pageBreakBefore w:val="false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 xml:space="preserve">                                    </w:t>
      </w:r>
      <w:r>
        <w:rPr>
          <w:rFonts w:eastAsia="Arial" w:cs="Arial" w:ascii="Arial" w:hAnsi="Arial"/>
          <w:sz w:val="20"/>
          <w:szCs w:val="20"/>
        </w:rPr>
        <w:t>sprostredkovanie rehabilitačných služieb, kompenzačných príspevkov / osobnej asistencie,</w:t>
      </w:r>
    </w:p>
    <w:p>
      <w:pPr>
        <w:pStyle w:val="Normal"/>
        <w:pageBreakBefore w:val="false"/>
        <w:numPr>
          <w:ilvl w:val="0"/>
          <w:numId w:val="1"/>
        </w:numPr>
        <w:ind w:left="720" w:hanging="360"/>
        <w:jc w:val="both"/>
        <w:rPr>
          <w:rFonts w:ascii="Arial" w:hAnsi="Arial" w:eastAsia="Arial" w:cs="Arial"/>
          <w:sz w:val="20"/>
          <w:szCs w:val="20"/>
          <w:u w:val="none"/>
        </w:rPr>
      </w:pPr>
      <w:r>
        <w:rPr>
          <w:rFonts w:eastAsia="Arial" w:cs="Arial" w:ascii="Arial" w:hAnsi="Arial"/>
          <w:sz w:val="20"/>
          <w:szCs w:val="20"/>
          <w:u w:val="none"/>
        </w:rPr>
      </w:r>
    </w:p>
    <w:p>
      <w:pPr>
        <w:pStyle w:val="Normal"/>
        <w:pageBreakBefore w:val="false"/>
        <w:ind w:left="0" w:hanging="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 xml:space="preserve">      </w:t>
      </w:r>
      <w:r>
        <w:rPr>
          <w:rFonts w:eastAsia="Arial" w:cs="Arial" w:ascii="Arial" w:hAnsi="Arial"/>
          <w:b/>
          <w:sz w:val="20"/>
          <w:szCs w:val="20"/>
        </w:rPr>
        <w:t xml:space="preserve"> </w:t>
      </w:r>
      <w:r>
        <w:rPr>
          <w:rFonts w:eastAsia="Arial" w:cs="Arial" w:ascii="Arial" w:hAnsi="Arial"/>
          <w:b/>
          <w:sz w:val="20"/>
          <w:szCs w:val="20"/>
        </w:rPr>
        <w:t xml:space="preserve">Chránená dielňa: </w:t>
      </w:r>
      <w:r>
        <w:rPr>
          <w:rFonts w:eastAsia="Arial" w:cs="Arial" w:ascii="Arial" w:hAnsi="Arial"/>
          <w:sz w:val="20"/>
          <w:szCs w:val="20"/>
        </w:rPr>
        <w:t>2 pracovní asistenti, 5 zŤP zamestnanci, z toho 3 s dg. Sclerosis multiplex,</w:t>
      </w:r>
    </w:p>
    <w:p>
      <w:pPr>
        <w:pStyle w:val="Normal"/>
        <w:pageBreakBefore w:val="false"/>
        <w:numPr>
          <w:ilvl w:val="0"/>
          <w:numId w:val="2"/>
        </w:numPr>
        <w:ind w:left="720" w:hanging="360"/>
        <w:jc w:val="both"/>
        <w:rPr>
          <w:rFonts w:ascii="Arial" w:hAnsi="Arial" w:eastAsia="Arial" w:cs="Arial"/>
          <w:sz w:val="20"/>
          <w:szCs w:val="20"/>
          <w:u w:val="none"/>
        </w:rPr>
      </w:pPr>
      <w:r>
        <w:rPr>
          <w:rFonts w:eastAsia="Arial" w:cs="Arial" w:ascii="Arial" w:hAnsi="Arial"/>
          <w:sz w:val="20"/>
          <w:szCs w:val="20"/>
        </w:rPr>
        <w:t>Výroba dekoratívnych predmetov z papiera a dreva</w:t>
      </w:r>
    </w:p>
    <w:p>
      <w:pPr>
        <w:pStyle w:val="Normal"/>
        <w:pageBreakBefore w:val="false"/>
        <w:numPr>
          <w:ilvl w:val="0"/>
          <w:numId w:val="2"/>
        </w:numPr>
        <w:ind w:left="720" w:hanging="360"/>
        <w:jc w:val="both"/>
        <w:rPr>
          <w:rFonts w:ascii="Arial" w:hAnsi="Arial" w:eastAsia="Arial" w:cs="Arial"/>
          <w:sz w:val="20"/>
          <w:szCs w:val="20"/>
          <w:u w:val="none"/>
        </w:rPr>
      </w:pPr>
      <w:r>
        <w:rPr>
          <w:rFonts w:eastAsia="Arial" w:cs="Arial" w:ascii="Arial" w:hAnsi="Arial"/>
          <w:sz w:val="20"/>
          <w:szCs w:val="20"/>
        </w:rPr>
        <w:t>účasť na remeselných jarmokoch, predaj výrobkov cez internet…</w:t>
      </w:r>
    </w:p>
    <w:p>
      <w:pPr>
        <w:pStyle w:val="Normal"/>
        <w:pageBreakBefore w:val="false"/>
        <w:ind w:left="0" w:hanging="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288" w:before="240" w:after="240"/>
        <w:ind w:left="0" w:right="0" w:hanging="0"/>
        <w:jc w:val="left"/>
        <w:rPr>
          <w:rFonts w:ascii="Arial" w:hAnsi="Arial" w:eastAsia="Arial" w:cs="Arial"/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single"/>
          <w:vertAlign w:val="baseline"/>
        </w:rPr>
      </w:pP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FFFFFF" w:val="clear"/>
          <w:vertAlign w:val="baseline"/>
        </w:rPr>
        <w:t>ČLENSTVO: 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240"/>
        <w:ind w:left="0" w:right="0" w:hanging="0"/>
        <w:jc w:val="both"/>
        <w:rPr/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RIMS – REHABILITATION IN MULTIPLE SCLEROSIS, </w:t>
      </w:r>
      <w:hyperlink r:id="rId3">
        <w:r>
          <w:rPr>
            <w:rStyle w:val="Internetovodkaz"/>
            <w:rFonts w:eastAsia="Arial" w:cs="Arial" w:ascii="Arial" w:hAnsi="Arial"/>
            <w:i w:val="false"/>
            <w:caps w:val="false"/>
            <w:smallCaps w:val="false"/>
            <w:strike w:val="false"/>
            <w:dstrike w:val="false"/>
            <w:color w:val="0000FF"/>
            <w:position w:val="0"/>
            <w:sz w:val="20"/>
            <w:sz w:val="20"/>
            <w:szCs w:val="20"/>
            <w:u w:val="single"/>
            <w:shd w:fill="FFFFFF" w:val="clear"/>
            <w:vertAlign w:val="baseline"/>
          </w:rPr>
          <w:t>www.eurims.org</w:t>
        </w:r>
      </w:hyperlink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240"/>
        <w:ind w:left="0" w:right="0" w:hanging="0"/>
        <w:jc w:val="both"/>
        <w:rPr>
          <w:rFonts w:ascii="Arial" w:hAnsi="Arial" w:eastAsia="Arial" w:cs="Arial"/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single"/>
          <w:vertAlign w:val="baseline"/>
        </w:rPr>
      </w:pP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FFFFFF" w:val="clear"/>
          <w:vertAlign w:val="baseline"/>
        </w:rPr>
        <w:t>SPOLUPRÁCA: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240"/>
        <w:ind w:left="0" w:right="0" w:hanging="0"/>
        <w:jc w:val="both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EMSP - Európska platforma Sclerosis multiplex, Brusel, BE,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240"/>
        <w:ind w:left="0" w:right="0" w:hanging="0"/>
        <w:jc w:val="both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MSIF - Medzinárodná federácia Sclerosis multiplex, Londýn, UK,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240"/>
        <w:ind w:left="0" w:right="0" w:hanging="0"/>
        <w:jc w:val="both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Národné centrum Sclerosis multiplex Melsbroek, Haakadal, Nórsko,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240"/>
        <w:ind w:left="0" w:right="0" w:hanging="0"/>
        <w:jc w:val="both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Národné centrum Sclerosis multiplex Melsbroek, Belgicko,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240"/>
        <w:ind w:left="0" w:right="0" w:hanging="0"/>
        <w:jc w:val="both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Rehabilitačné centrum Sclerosis multiplex, Borne Sulinovo, PL,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240"/>
        <w:ind w:left="0" w:right="0" w:hanging="0"/>
        <w:jc w:val="both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Kluby a iné organizácie s SM v SR aj v zahraničí.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240"/>
        <w:ind w:left="0" w:right="0" w:hanging="0"/>
        <w:jc w:val="both"/>
        <w:rPr>
          <w:rFonts w:ascii="Arial" w:hAnsi="Arial" w:eastAsia="Arial" w:cs="Arial"/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single"/>
          <w:vertAlign w:val="baseline"/>
        </w:rPr>
      </w:pP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single"/>
          <w:shd w:fill="FFFFFF" w:val="clear"/>
          <w:vertAlign w:val="baseline"/>
        </w:rPr>
        <w:t>Ďalšie AKTIVITY: </w:t>
      </w:r>
    </w:p>
    <w:p>
      <w:pPr>
        <w:pStyle w:val="Normal"/>
        <w:spacing w:lineRule="auto" w:line="343" w:before="280" w:after="280"/>
        <w:jc w:val="both"/>
        <w:rPr>
          <w:rFonts w:ascii="Arial" w:hAnsi="Arial" w:eastAsia="Arial" w:cs="Arial"/>
          <w:color w:val="FF0000"/>
          <w:sz w:val="20"/>
          <w:szCs w:val="20"/>
        </w:rPr>
      </w:pPr>
      <w:r>
        <w:rPr>
          <w:rFonts w:eastAsia="Arial" w:cs="Arial" w:ascii="Arial" w:hAnsi="Arial"/>
          <w:b/>
          <w:color w:val="FF0000"/>
          <w:sz w:val="20"/>
          <w:szCs w:val="20"/>
          <w:u w:val="single"/>
        </w:rPr>
        <w:t>FUNDRAISING:</w:t>
      </w:r>
      <w:r>
        <w:rPr>
          <w:rFonts w:eastAsia="Arial" w:cs="Arial" w:ascii="Arial" w:hAnsi="Arial"/>
          <w:color w:val="FF0000"/>
          <w:sz w:val="20"/>
          <w:szCs w:val="20"/>
          <w:u w:val="single"/>
        </w:rPr>
        <w:t> </w:t>
      </w:r>
    </w:p>
    <w:p>
      <w:pPr>
        <w:pStyle w:val="Normal"/>
        <w:spacing w:lineRule="auto" w:line="343" w:before="280" w:after="28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b/>
          <w:i/>
          <w:sz w:val="20"/>
          <w:szCs w:val="20"/>
          <w:u w:val="single"/>
        </w:rPr>
        <w:t>2%.z dane.FO.a PO</w:t>
      </w:r>
      <w:r>
        <w:rPr>
          <w:rFonts w:eastAsia="Arial" w:cs="Arial" w:ascii="Arial" w:hAnsi="Arial"/>
          <w:i/>
          <w:sz w:val="20"/>
          <w:szCs w:val="20"/>
        </w:rPr>
        <w:t>,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240"/>
        <w:ind w:left="0" w:right="0" w:hanging="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 xml:space="preserve">V roku 2020 NCSM </w:t>
      </w:r>
      <w:r>
        <w:rPr>
          <w:rFonts w:eastAsia="Arial" w:cs="Arial" w:ascii="Arial" w:hAnsi="Arial"/>
          <w:sz w:val="20"/>
          <w:szCs w:val="20"/>
          <w:u w:val="single"/>
        </w:rPr>
        <w:t>nebolo</w:t>
      </w:r>
      <w:r>
        <w:rPr>
          <w:rFonts w:eastAsia="Arial" w:cs="Arial" w:ascii="Arial" w:hAnsi="Arial"/>
          <w:sz w:val="20"/>
          <w:szCs w:val="20"/>
        </w:rPr>
        <w:t xml:space="preserve"> zaregistrované v Notárskej komore na príjem 2% z daní FO a PO v r. 2021.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240"/>
        <w:ind w:left="0" w:right="0" w:hanging="0"/>
        <w:jc w:val="both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Marec - zaslanie Výkazu o poskytovaní soc. sl. na PSK - Odbor sociálnych vecí.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240"/>
        <w:ind w:left="0" w:right="0" w:hanging="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jún - vklad Výročnej správy NCSM za rok 2021 a finančnej správy NCSM do Registra účtovných závierok .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tabs>
          <w:tab w:val="left" w:pos="0" w:leader="none"/>
        </w:tabs>
        <w:spacing w:lineRule="auto" w:line="343" w:before="0" w:after="240"/>
        <w:ind w:left="0" w:right="0" w:hanging="0"/>
        <w:jc w:val="both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sz w:val="20"/>
          <w:szCs w:val="20"/>
        </w:rPr>
        <w:t>-</w:t>
      </w:r>
      <w:r>
        <w:rPr>
          <w:rFonts w:eastAsia="Arial" w:cs="Arial" w:ascii="Arial" w:hAnsi="Arial"/>
          <w:b/>
          <w:sz w:val="20"/>
          <w:szCs w:val="20"/>
        </w:rPr>
        <w:t xml:space="preserve"> </w:t>
      </w: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Štatistický úrad 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- už </w:t>
      </w:r>
      <w:r>
        <w:rPr>
          <w:rFonts w:eastAsia="Arial" w:cs="Arial" w:ascii="Arial" w:hAnsi="Arial"/>
          <w:sz w:val="20"/>
          <w:szCs w:val="20"/>
        </w:rPr>
        <w:t>4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. rok - na základe náhodného výberu nás Štat. úrad SR vyzval na štvrťročné zasielanie výkazov o výdavkoch NCSM - zodpovedný Ing. Peter Ilenčík.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tabs>
          <w:tab w:val="left" w:pos="0" w:leader="none"/>
        </w:tabs>
        <w:spacing w:lineRule="auto" w:line="343" w:before="0" w:after="240"/>
        <w:ind w:left="0" w:right="0" w:hanging="0"/>
        <w:jc w:val="both"/>
        <w:rPr>
          <w:rFonts w:ascii="Arial" w:hAnsi="Arial" w:eastAsia="Arial" w:cs="Arial"/>
          <w:b/>
          <w:b/>
          <w:color w:val="FF0000"/>
          <w:sz w:val="20"/>
          <w:szCs w:val="20"/>
          <w:u w:val="single"/>
        </w:rPr>
      </w:pPr>
      <w:r>
        <w:rPr>
          <w:rFonts w:eastAsia="Arial" w:cs="Arial" w:ascii="Arial" w:hAnsi="Arial"/>
          <w:b/>
          <w:color w:val="FF0000"/>
          <w:sz w:val="20"/>
          <w:szCs w:val="20"/>
          <w:u w:val="single"/>
        </w:rPr>
        <w:t>CHRÁNENÁ DIELŇA: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tabs>
          <w:tab w:val="left" w:pos="0" w:leader="none"/>
        </w:tabs>
        <w:spacing w:lineRule="auto" w:line="343" w:before="0" w:after="240"/>
        <w:ind w:left="0" w:right="0" w:hanging="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  <w:t>V zriadenej  chránenej dielni NCSM /4.9.2018, projekt realizovaný vďaka podpore z Európskeho sociálneho fondu v rámci Operačného programu Ľudské zdroje/ v súčasnosti v NCSM pracuje 9 zamestnancov, z toho v chránenej dielni 6 ŤZP zamestnanci a dvaja pracovní asistenti, z toho 2 v administratíve NCSM. V chránenej dielni poskytujeme socálne poradenstvo ambulantne, po telefóne, e mailom, soc. sieťami ľuďom s SM nie len z prešovského okresu ale z celej republiky (Mgr. Juliana Ilenčíková - špeciálny pedagóg s SM) a “vyrábame” dekoratívne predmety z dreva, papiera, - koníky, hodiny, obrazy - srdcia v ráme, vianočné ozdoby, betlehémy, vtáčie búdky, kŕmitká, šijeme plátené srdiečka plnené levanduľou (aj s vianočným motívom). V roku 2019 a 2021 bol našimi výrobkami reprezentovaný Prešovský samosprávny kraj v rámci programu “Rozvoj vidieka” na Agrokomplexe v Nitre. Osvetu SM sme šírili a šikovnosť eSeMkárov sme prezentovali na Vianočných trhoch v Eperii v Prešove celý december. Počas týchto trhov sa k nám prihlásili 2 noví eSeMkári a porozprávali sme sa s x ľuďmi - s rodičmi, príbuznými a priateľmi eSeMkárov.</w:t>
      </w:r>
    </w:p>
    <w:p>
      <w:pPr>
        <w:pStyle w:val="Normal"/>
        <w:jc w:val="both"/>
        <w:rPr>
          <w:rFonts w:ascii="Arial" w:hAnsi="Arial" w:eastAsia="Arial" w:cs="Arial"/>
          <w:b/>
          <w:b/>
          <w:i w:val="false"/>
          <w:i w:val="false"/>
          <w:caps w:val="false"/>
          <w:smallCaps w:val="false"/>
          <w:strike w:val="false"/>
          <w:dstrike w:val="false"/>
          <w:color w:val="FF0000"/>
          <w:position w:val="0"/>
          <w:sz w:val="24"/>
          <w:sz w:val="20"/>
          <w:szCs w:val="20"/>
          <w:highlight w:val="white"/>
          <w:u w:val="single"/>
          <w:vertAlign w:val="baseline"/>
        </w:rPr>
      </w:pP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FF0000"/>
          <w:position w:val="0"/>
          <w:sz w:val="20"/>
          <w:sz w:val="20"/>
          <w:szCs w:val="20"/>
          <w:u w:val="single"/>
          <w:shd w:fill="FFFFFF" w:val="clear"/>
          <w:vertAlign w:val="baseline"/>
        </w:rPr>
        <w:t>POSKYTOVANIE SLUŽIEB: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280" w:after="280"/>
        <w:ind w:left="0" w:right="0" w:hanging="0"/>
        <w:jc w:val="both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NCSM bolo 29.12.2015 zapísané do Registra poskytovateľov služieb ako poskytovateľ Terénnej sociálnej služby krízovej intervencie. Úlohou terénnych pracovníkov je vyhľadávať ľudí s SM a poskytovať im sociálne poradenstvo a pomoc.  Služby sa poskytujú v okrese Prešov a Sabinov, telefonicky a internetom v celej SR. Zodpovedný: Ing. Peter Ilenčík. V roku 201</w:t>
      </w:r>
      <w:r>
        <w:rPr>
          <w:rFonts w:eastAsia="Arial" w:cs="Arial" w:ascii="Arial" w:hAnsi="Arial"/>
          <w:sz w:val="20"/>
          <w:szCs w:val="20"/>
        </w:rPr>
        <w:t>9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 sme v rámci TSS pom</w:t>
      </w:r>
      <w:r>
        <w:rPr>
          <w:rFonts w:eastAsia="Arial" w:cs="Arial" w:ascii="Arial" w:hAnsi="Arial"/>
          <w:sz w:val="20"/>
          <w:szCs w:val="20"/>
        </w:rPr>
        <w:t>á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hali 2 klientom s SM</w:t>
      </w:r>
      <w:r>
        <w:rPr>
          <w:rFonts w:eastAsia="Arial" w:cs="Arial" w:ascii="Arial" w:hAnsi="Arial"/>
          <w:sz w:val="20"/>
          <w:szCs w:val="20"/>
        </w:rPr>
        <w:t xml:space="preserve"> / dobr. sl. 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280" w:after="280"/>
        <w:ind w:left="0" w:right="0" w:hanging="0"/>
        <w:jc w:val="both"/>
        <w:rPr>
          <w:rFonts w:ascii="Arial" w:hAnsi="Arial" w:eastAsia="Arial" w:cs="Arial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Ďakujeme Ing. Petrovi Ilenčíkovi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 za bezplatné zriadenie a vedenie webovej stránky NCSM. Tiež </w:t>
      </w: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srdečne ďakujeme pani Márii Botňákovej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, profesionálnej ekonómke, za jej bezplatné vedenie účtovníctva pre NCSM /aj pre Klub SM v PO/.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280" w:after="280"/>
        <w:ind w:left="0" w:right="0" w:hanging="0"/>
        <w:jc w:val="both"/>
        <w:rPr>
          <w:rFonts w:ascii="Arial" w:hAnsi="Arial" w:eastAsia="Arial" w:cs="Arial"/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Ďakujeme všetkým organizáciám, všetkým členom aj nečlenom klubu, ktorí aktívne prispeli k činnosti NCSM,  aj dobrovoľníkom ďakujeme za ich pomoc – sú to hlavne naše deti, ich priatelia, naši príbuzní a priatelia študenti . Ďakujeme všetkým dobrým ľuďom, ktorí nás prišli podporiť na našich akciách.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343" w:before="0" w:after="0"/>
        <w:ind w:left="0" w:right="0" w:hanging="0"/>
        <w:jc w:val="both"/>
        <w:rPr>
          <w:rFonts w:ascii="Arial" w:hAnsi="Arial" w:eastAsia="Arial" w:cs="Arial"/>
          <w:b/>
          <w:b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4"/>
          <w:sz w:val="20"/>
          <w:szCs w:val="20"/>
          <w:highlight w:val="white"/>
          <w:u w:val="none"/>
          <w:vertAlign w:val="baseline"/>
        </w:rPr>
      </w:pP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Ďakujeme Vám za Vašu podporu a tešíme sa na ďalšiu spoluprácu.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240" w:before="0" w:after="120"/>
        <w:ind w:left="0" w:right="0" w:hanging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Mgr. Juliana Ilenčíková</w:t>
      </w:r>
      <w:r>
        <w:rPr>
          <w:rFonts w:eastAsia="Arial" w:cs="Arial" w:ascii="Arial" w:hAnsi="Arial"/>
          <w:sz w:val="20"/>
          <w:szCs w:val="20"/>
        </w:rPr>
        <w:t xml:space="preserve">, 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riaditeľka NCSM                                                                                  V </w:t>
      </w:r>
      <w:r>
        <w:rPr>
          <w:rFonts w:eastAsia="Arial" w:cs="Arial" w:ascii="Arial" w:hAnsi="Arial"/>
          <w:sz w:val="20"/>
          <w:szCs w:val="20"/>
        </w:rPr>
        <w:t>Prešove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 xml:space="preserve"> </w:t>
      </w:r>
      <w:r>
        <w:rPr>
          <w:rFonts w:eastAsia="Arial" w:cs="Arial" w:ascii="Arial" w:hAnsi="Arial"/>
          <w:sz w:val="20"/>
          <w:szCs w:val="20"/>
        </w:rPr>
        <w:t>29.3</w:t>
      </w:r>
      <w:r>
        <w:rPr>
          <w:rFonts w:eastAsia="Arial" w:cs="Arial" w:ascii="Arial" w:hAnsi="Arial"/>
          <w:i w:val="false"/>
          <w:caps w:val="false"/>
          <w:smallCaps w:val="false"/>
          <w:strike w:val="false"/>
          <w:dstrike w:val="false"/>
          <w:color w:val="000000"/>
          <w:position w:val="0"/>
          <w:sz w:val="20"/>
          <w:sz w:val="20"/>
          <w:szCs w:val="20"/>
          <w:u w:val="none"/>
          <w:shd w:fill="FFFFFF" w:val="clear"/>
          <w:vertAlign w:val="baseline"/>
        </w:rPr>
        <w:t>.20</w:t>
      </w:r>
      <w:r>
        <w:rPr>
          <w:rFonts w:eastAsia="Arial" w:cs="Arial" w:ascii="Arial" w:hAnsi="Arial"/>
          <w:sz w:val="20"/>
          <w:szCs w:val="20"/>
        </w:rPr>
        <w:t>22</w:t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240" w:before="0" w:after="120"/>
        <w:ind w:left="0" w:right="0" w:hanging="0"/>
        <w:jc w:val="left"/>
        <w:rPr>
          <w:rFonts w:ascii="Arial" w:hAnsi="Arial" w:eastAsia="Arial" w:cs="Arial"/>
          <w:sz w:val="20"/>
          <w:szCs w:val="20"/>
        </w:rPr>
      </w:pPr>
      <w:r>
        <w:rPr>
          <w:rFonts w:eastAsia="Arial" w:cs="Arial" w:ascii="Arial" w:hAnsi="Arial"/>
          <w:sz w:val="20"/>
          <w:szCs w:val="20"/>
        </w:rPr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240" w:before="0" w:after="120"/>
        <w:ind w:left="0" w:right="0" w:hanging="0"/>
        <w:jc w:val="left"/>
        <w:rPr>
          <w:rFonts w:ascii="Arial" w:hAnsi="Arial" w:eastAsia="Arial" w:cs="Arial"/>
          <w:b/>
          <w:b/>
          <w:color w:val="FF0000"/>
          <w:sz w:val="28"/>
          <w:szCs w:val="28"/>
        </w:rPr>
      </w:pPr>
      <w:r>
        <w:rPr>
          <w:rFonts w:eastAsia="Arial" w:cs="Arial" w:ascii="Arial" w:hAnsi="Arial"/>
          <w:b/>
          <w:color w:val="FF0000"/>
          <w:sz w:val="28"/>
          <w:szCs w:val="28"/>
        </w:rPr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240" w:before="0" w:after="120"/>
        <w:ind w:left="0" w:right="0" w:hanging="0"/>
        <w:jc w:val="left"/>
        <w:rPr>
          <w:rFonts w:ascii="Arial" w:hAnsi="Arial" w:eastAsia="Arial" w:cs="Arial"/>
          <w:b/>
          <w:b/>
          <w:color w:val="FF0000"/>
          <w:sz w:val="28"/>
          <w:szCs w:val="28"/>
        </w:rPr>
      </w:pPr>
      <w:r>
        <w:rPr>
          <w:rFonts w:eastAsia="Arial" w:cs="Arial" w:ascii="Arial" w:hAnsi="Arial"/>
          <w:b/>
          <w:color w:val="FF0000"/>
          <w:sz w:val="28"/>
          <w:szCs w:val="28"/>
        </w:rPr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240" w:before="0" w:after="120"/>
        <w:ind w:left="0" w:right="0" w:hanging="0"/>
        <w:jc w:val="left"/>
        <w:rPr>
          <w:rFonts w:ascii="Arial" w:hAnsi="Arial" w:eastAsia="Arial" w:cs="Arial"/>
          <w:b/>
          <w:b/>
          <w:color w:val="FF0000"/>
          <w:sz w:val="28"/>
          <w:szCs w:val="28"/>
        </w:rPr>
      </w:pPr>
      <w:r>
        <w:rPr>
          <w:rFonts w:eastAsia="Arial" w:cs="Arial" w:ascii="Arial" w:hAnsi="Arial"/>
          <w:b/>
          <w:color w:val="FF0000"/>
          <w:sz w:val="28"/>
          <w:szCs w:val="28"/>
        </w:rPr>
      </w:r>
    </w:p>
    <w:p>
      <w:pPr>
        <w:pStyle w:val="Normal"/>
        <w:keepNext/>
        <w:keepLines w:val="false"/>
        <w:pageBreakBefore w:val="false"/>
        <w:widowControl w:val="false"/>
        <w:pBdr/>
        <w:shd w:val="clear" w:fill="auto"/>
        <w:spacing w:lineRule="auto" w:line="240" w:before="0" w:after="120"/>
        <w:ind w:left="0" w:right="0" w:hanging="0"/>
        <w:jc w:val="left"/>
        <w:rPr/>
      </w:pPr>
      <w:r>
        <w:rPr/>
      </w:r>
    </w:p>
    <w:sectPr>
      <w:type w:val="nextPage"/>
      <w:pgSz w:w="11906" w:h="16838"/>
      <w:pgMar w:left="708" w:right="433" w:header="0" w:top="850" w:footer="0" w:bottom="703" w:gutter="0"/>
      <w:pgNumType w:start="1"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Wingdings">
    <w:charset w:val="02"/>
    <w:family w:val="auto"/>
    <w:pitch w:val="default"/>
  </w:font>
  <w:font w:name="OpenSymbol">
    <w:altName w:val="Arial Unicode MS"/>
    <w:charset w:val="01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l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l"/>
      <w:lvlJc w:val="left"/>
      <w:pPr>
        <w:ind w:left="1080" w:hanging="360"/>
      </w:pPr>
      <w:rPr>
        <w:rFonts w:ascii="Wingdings" w:hAnsi="Wingdings" w:cs="Wingdings" w:hint="default"/>
      </w:rPr>
    </w:lvl>
    <w:lvl w:ilvl="2">
      <w:start w:val="1"/>
      <w:numFmt w:val="bullet"/>
      <w:lvlText w:val="l"/>
      <w:lvlJc w:val="left"/>
      <w:pPr>
        <w:ind w:left="14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l"/>
      <w:lvlJc w:val="left"/>
      <w:pPr>
        <w:ind w:left="1800" w:hanging="360"/>
      </w:pPr>
      <w:rPr>
        <w:rFonts w:ascii="Wingdings" w:hAnsi="Wingdings" w:cs="Wingdings" w:hint="default"/>
      </w:rPr>
    </w:lvl>
    <w:lvl w:ilvl="4">
      <w:start w:val="1"/>
      <w:numFmt w:val="bullet"/>
      <w:lvlText w:val="l"/>
      <w:lvlJc w:val="left"/>
      <w:pPr>
        <w:ind w:left="2160" w:hanging="360"/>
      </w:pPr>
      <w:rPr>
        <w:rFonts w:ascii="Wingdings" w:hAnsi="Wingdings" w:cs="Wingdings" w:hint="default"/>
      </w:rPr>
    </w:lvl>
    <w:lvl w:ilvl="5">
      <w:start w:val="1"/>
      <w:numFmt w:val="bullet"/>
      <w:lvlText w:val="l"/>
      <w:lvlJc w:val="left"/>
      <w:pPr>
        <w:ind w:left="2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l"/>
      <w:lvlJc w:val="left"/>
      <w:pPr>
        <w:ind w:left="2880" w:hanging="360"/>
      </w:pPr>
      <w:rPr>
        <w:rFonts w:ascii="Wingdings" w:hAnsi="Wingdings" w:cs="Wingdings" w:hint="default"/>
      </w:rPr>
    </w:lvl>
    <w:lvl w:ilvl="7">
      <w:start w:val="1"/>
      <w:numFmt w:val="bullet"/>
      <w:lvlText w:val="l"/>
      <w:lvlJc w:val="left"/>
      <w:pPr>
        <w:ind w:left="3240" w:hanging="360"/>
      </w:pPr>
      <w:rPr>
        <w:rFonts w:ascii="Wingdings" w:hAnsi="Wingdings" w:cs="Wingdings" w:hint="default"/>
      </w:rPr>
    </w:lvl>
    <w:lvl w:ilvl="8">
      <w:start w:val="1"/>
      <w:numFmt w:val="bullet"/>
      <w:lvlText w:val="l"/>
      <w:lvlJc w:val="left"/>
      <w:pPr>
        <w:ind w:left="360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rFonts w:ascii="OpenSymbol" w:hAnsi="OpenSymbol" w:cs="OpenSymbol" w:hint="default"/>
        <w:sz w:val="20"/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OpenSymbol" w:hAnsi="OpenSymbol" w:cs="OpenSymbol" w:hint="default"/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rFonts w:ascii="OpenSymbol" w:hAnsi="OpenSymbol" w:cs="OpenSymbol" w:hint="default"/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rFonts w:ascii="OpenSymbol" w:hAnsi="OpenSymbol" w:cs="OpenSymbol" w:hint="default"/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rFonts w:ascii="OpenSymbol" w:hAnsi="OpenSymbol" w:cs="OpenSymbol" w:hint="default"/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rFonts w:ascii="OpenSymbol" w:hAnsi="OpenSymbol" w:cs="OpenSymbol" w:hint="default"/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rFonts w:ascii="OpenSymbol" w:hAnsi="OpenSymbol" w:cs="OpenSymbol" w:hint="default"/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rFonts w:ascii="OpenSymbol" w:hAnsi="OpenSymbol" w:cs="OpenSymbol" w:hint="default"/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rFonts w:ascii="OpenSymbol" w:hAnsi="OpenSymbol" w:cs="OpenSymbol" w:hint="default"/>
        <w:u w:val="none"/>
      </w:rPr>
    </w:lvl>
  </w:abstractNum>
  <w:abstractNum w:abstractNumId="3">
    <w:lvl w:ilvl="0">
      <w:start w:val="1"/>
      <w:numFmt w:val="bullet"/>
      <w:lvlText w:val="l"/>
      <w:lvlJc w:val="left"/>
      <w:pPr>
        <w:ind w:left="707" w:hanging="282"/>
      </w:pPr>
      <w:rPr>
        <w:rFonts w:ascii="Wingdings" w:hAnsi="Wingdings" w:cs="Wingdings" w:hint="default"/>
      </w:rPr>
    </w:lvl>
    <w:lvl w:ilvl="1">
      <w:start w:val="1"/>
      <w:numFmt w:val="bullet"/>
      <w:lvlText w:val="l"/>
      <w:lvlJc w:val="left"/>
      <w:pPr>
        <w:ind w:left="1414" w:hanging="283"/>
      </w:pPr>
      <w:rPr>
        <w:rFonts w:ascii="Wingdings" w:hAnsi="Wingdings" w:cs="Wingdings" w:hint="default"/>
      </w:rPr>
    </w:lvl>
    <w:lvl w:ilvl="2">
      <w:start w:val="1"/>
      <w:numFmt w:val="bullet"/>
      <w:lvlText w:val="l"/>
      <w:lvlJc w:val="left"/>
      <w:pPr>
        <w:ind w:left="2121" w:hanging="283"/>
      </w:pPr>
      <w:rPr>
        <w:rFonts w:ascii="Wingdings" w:hAnsi="Wingdings" w:cs="Wingdings" w:hint="default"/>
      </w:rPr>
    </w:lvl>
    <w:lvl w:ilvl="3">
      <w:start w:val="1"/>
      <w:numFmt w:val="bullet"/>
      <w:lvlText w:val="l"/>
      <w:lvlJc w:val="left"/>
      <w:pPr>
        <w:ind w:left="2828" w:hanging="283"/>
      </w:pPr>
      <w:rPr>
        <w:rFonts w:ascii="Wingdings" w:hAnsi="Wingdings" w:cs="Wingdings" w:hint="default"/>
      </w:rPr>
    </w:lvl>
    <w:lvl w:ilvl="4">
      <w:start w:val="1"/>
      <w:numFmt w:val="bullet"/>
      <w:lvlText w:val="l"/>
      <w:lvlJc w:val="left"/>
      <w:pPr>
        <w:ind w:left="3535" w:hanging="283"/>
      </w:pPr>
      <w:rPr>
        <w:rFonts w:ascii="Wingdings" w:hAnsi="Wingdings" w:cs="Wingdings" w:hint="default"/>
      </w:rPr>
    </w:lvl>
    <w:lvl w:ilvl="5">
      <w:start w:val="1"/>
      <w:numFmt w:val="bullet"/>
      <w:lvlText w:val="l"/>
      <w:lvlJc w:val="left"/>
      <w:pPr>
        <w:ind w:left="4242" w:hanging="283"/>
      </w:pPr>
      <w:rPr>
        <w:rFonts w:ascii="Wingdings" w:hAnsi="Wingdings" w:cs="Wingdings" w:hint="default"/>
      </w:rPr>
    </w:lvl>
    <w:lvl w:ilvl="6">
      <w:start w:val="1"/>
      <w:numFmt w:val="bullet"/>
      <w:lvlText w:val="l"/>
      <w:lvlJc w:val="left"/>
      <w:pPr>
        <w:ind w:left="4949" w:hanging="283"/>
      </w:pPr>
      <w:rPr>
        <w:rFonts w:ascii="Wingdings" w:hAnsi="Wingdings" w:cs="Wingdings" w:hint="default"/>
      </w:rPr>
    </w:lvl>
    <w:lvl w:ilvl="7">
      <w:start w:val="1"/>
      <w:numFmt w:val="bullet"/>
      <w:lvlText w:val="l"/>
      <w:lvlJc w:val="left"/>
      <w:pPr>
        <w:ind w:left="5656" w:hanging="282"/>
      </w:pPr>
      <w:rPr>
        <w:rFonts w:ascii="Wingdings" w:hAnsi="Wingdings" w:cs="Wingdings" w:hint="default"/>
      </w:rPr>
    </w:lvl>
    <w:lvl w:ilvl="8">
      <w:start w:val="1"/>
      <w:numFmt w:val="bullet"/>
      <w:lvlText w:val="l"/>
      <w:lvlJc w:val="left"/>
      <w:pPr>
        <w:ind w:left="6363" w:hanging="283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zxx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</w:pPr>
    <w:rPr>
      <w:rFonts w:ascii="Liberation Serif" w:hAnsi="Liberation Serif" w:eastAsia="SimSun" w:cs="Arial"/>
      <w:color w:val="auto"/>
      <w:sz w:val="24"/>
      <w:szCs w:val="24"/>
      <w:lang w:val="zxx" w:eastAsia="zh-CN" w:bidi="hi-IN"/>
    </w:rPr>
  </w:style>
  <w:style w:type="paragraph" w:styleId="Nadpis1">
    <w:name w:val="Heading 1"/>
    <w:basedOn w:val="Normal1"/>
    <w:next w:val="Normal"/>
    <w:qFormat/>
    <w:pPr>
      <w:keepNext/>
      <w:keepLines/>
      <w:pageBreakBefore w:val="false"/>
      <w:spacing w:lineRule="auto" w:line="240" w:before="480" w:after="120"/>
    </w:pPr>
    <w:rPr>
      <w:b/>
      <w:sz w:val="48"/>
      <w:szCs w:val="48"/>
    </w:rPr>
  </w:style>
  <w:style w:type="paragraph" w:styleId="Nadpis2">
    <w:name w:val="Heading 2"/>
    <w:basedOn w:val="Normal1"/>
    <w:next w:val="Normal"/>
    <w:qFormat/>
    <w:pPr>
      <w:keepNext/>
      <w:keepLines/>
      <w:pageBreakBefore w:val="false"/>
      <w:spacing w:lineRule="auto" w:line="240" w:before="360" w:after="80"/>
    </w:pPr>
    <w:rPr>
      <w:b/>
      <w:sz w:val="36"/>
      <w:szCs w:val="36"/>
    </w:rPr>
  </w:style>
  <w:style w:type="paragraph" w:styleId="Nadpis3">
    <w:name w:val="Heading 3"/>
    <w:basedOn w:val="Normal1"/>
    <w:next w:val="Normal"/>
    <w:qFormat/>
    <w:pPr>
      <w:keepNext/>
      <w:keepLines/>
      <w:pageBreakBefore w:val="false"/>
      <w:spacing w:lineRule="auto" w:line="240" w:before="280" w:after="80"/>
    </w:pPr>
    <w:rPr>
      <w:b/>
      <w:sz w:val="28"/>
      <w:szCs w:val="28"/>
    </w:rPr>
  </w:style>
  <w:style w:type="paragraph" w:styleId="Nadpis4">
    <w:name w:val="Heading 4"/>
    <w:basedOn w:val="Normal1"/>
    <w:next w:val="Normal"/>
    <w:qFormat/>
    <w:pPr>
      <w:keepNext/>
      <w:keepLines/>
      <w:pageBreakBefore w:val="false"/>
      <w:spacing w:lineRule="auto" w:line="240" w:before="240" w:after="40"/>
    </w:pPr>
    <w:rPr>
      <w:b/>
      <w:sz w:val="24"/>
      <w:szCs w:val="24"/>
    </w:rPr>
  </w:style>
  <w:style w:type="paragraph" w:styleId="Nadpis5">
    <w:name w:val="Heading 5"/>
    <w:basedOn w:val="Normal1"/>
    <w:next w:val="Normal"/>
    <w:qFormat/>
    <w:pPr>
      <w:keepNext/>
      <w:keepLines/>
      <w:pageBreakBefore w:val="false"/>
      <w:spacing w:lineRule="auto" w:line="240" w:before="220" w:after="40"/>
    </w:pPr>
    <w:rPr>
      <w:b/>
      <w:sz w:val="22"/>
      <w:szCs w:val="22"/>
    </w:rPr>
  </w:style>
  <w:style w:type="paragraph" w:styleId="Nadpis6">
    <w:name w:val="Heading 6"/>
    <w:basedOn w:val="Normal1"/>
    <w:next w:val="Normal"/>
    <w:qFormat/>
    <w:pPr>
      <w:keepNext/>
      <w:keepLines/>
      <w:pageBreakBefore w:val="false"/>
      <w:spacing w:lineRule="auto" w:line="240" w:before="200" w:after="40"/>
    </w:pPr>
    <w:rPr>
      <w:b/>
      <w:sz w:val="20"/>
      <w:szCs w:val="20"/>
    </w:rPr>
  </w:style>
  <w:style w:type="character" w:styleId="ListLabel1">
    <w:name w:val="ListLabel 1"/>
    <w:qFormat/>
    <w:rPr>
      <w:rFonts w:ascii="Arial" w:hAnsi="Arial"/>
      <w:sz w:val="20"/>
      <w:u w:val="none"/>
    </w:rPr>
  </w:style>
  <w:style w:type="character" w:styleId="ListLabel2">
    <w:name w:val="ListLabel 2"/>
    <w:qFormat/>
    <w:rPr>
      <w:u w:val="none"/>
    </w:rPr>
  </w:style>
  <w:style w:type="character" w:styleId="ListLabel3">
    <w:name w:val="ListLabel 3"/>
    <w:qFormat/>
    <w:rPr>
      <w:u w:val="none"/>
    </w:rPr>
  </w:style>
  <w:style w:type="character" w:styleId="ListLabel4">
    <w:name w:val="ListLabel 4"/>
    <w:qFormat/>
    <w:rPr>
      <w:u w:val="none"/>
    </w:rPr>
  </w:style>
  <w:style w:type="character" w:styleId="ListLabel5">
    <w:name w:val="ListLabel 5"/>
    <w:qFormat/>
    <w:rPr>
      <w:u w:val="none"/>
    </w:rPr>
  </w:style>
  <w:style w:type="character" w:styleId="ListLabel6">
    <w:name w:val="ListLabel 6"/>
    <w:qFormat/>
    <w:rPr>
      <w:u w:val="none"/>
    </w:rPr>
  </w:style>
  <w:style w:type="character" w:styleId="ListLabel7">
    <w:name w:val="ListLabel 7"/>
    <w:qFormat/>
    <w:rPr>
      <w:u w:val="none"/>
    </w:rPr>
  </w:style>
  <w:style w:type="character" w:styleId="ListLabel8">
    <w:name w:val="ListLabel 8"/>
    <w:qFormat/>
    <w:rPr>
      <w:u w:val="none"/>
    </w:rPr>
  </w:style>
  <w:style w:type="character" w:styleId="ListLabel9">
    <w:name w:val="ListLabel 9"/>
    <w:qFormat/>
    <w:rPr>
      <w:u w:val="none"/>
    </w:rPr>
  </w:style>
  <w:style w:type="character" w:styleId="Internetovodkaz">
    <w:name w:val="Internetový odkaz"/>
    <w:rPr>
      <w:color w:val="000080"/>
      <w:u w:val="single"/>
      <w:lang w:val="zxx" w:eastAsia="zxx" w:bidi="zxx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ormal1" w:default="1">
    <w:name w:val="LO-normal"/>
    <w:qFormat/>
    <w:pPr>
      <w:widowControl/>
      <w:bidi w:val="0"/>
      <w:jc w:val="left"/>
    </w:pPr>
    <w:rPr>
      <w:rFonts w:ascii="Liberation Serif" w:hAnsi="Liberation Serif" w:eastAsia="SimSun" w:cs="Arial"/>
      <w:color w:val="auto"/>
      <w:sz w:val="24"/>
      <w:szCs w:val="24"/>
      <w:lang w:val="zxx" w:eastAsia="zh-CN" w:bidi="hi-IN"/>
    </w:rPr>
  </w:style>
  <w:style w:type="paragraph" w:styleId="Nzov">
    <w:name w:val="Title"/>
    <w:basedOn w:val="Normal1"/>
    <w:next w:val="Normal"/>
    <w:qFormat/>
    <w:pPr>
      <w:keepNext/>
      <w:pageBreakBefore w:val="false"/>
      <w:spacing w:lineRule="auto" w:line="240" w:before="240" w:after="120"/>
    </w:pPr>
    <w:rPr>
      <w:rFonts w:ascii="Arial" w:hAnsi="Arial" w:eastAsia="Arial" w:cs="Arial"/>
      <w:sz w:val="28"/>
      <w:szCs w:val="28"/>
    </w:rPr>
  </w:style>
  <w:style w:type="paragraph" w:styleId="Podnadpis">
    <w:name w:val="Subtitle"/>
    <w:basedOn w:val="Normal1"/>
    <w:next w:val="Normal"/>
    <w:qFormat/>
    <w:pPr>
      <w:keepNext/>
      <w:pageBreakBefore w:val="false"/>
      <w:spacing w:lineRule="auto" w:line="240" w:before="240" w:after="120"/>
      <w:jc w:val="center"/>
    </w:pPr>
    <w:rPr>
      <w:rFonts w:ascii="Arial" w:hAnsi="Arial" w:eastAsia="Arial" w:cs="Arial"/>
      <w:i/>
      <w:sz w:val="28"/>
      <w:szCs w:val="28"/>
    </w:rPr>
  </w:style>
  <w:style w:type="table" w:default="1" w:styleId="TableNormal">
    <w:name w:val="Table Normal"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www.eurims.org/" TargetMode="External"/><Relationship Id="rId3" Type="http://schemas.openxmlformats.org/officeDocument/2006/relationships/hyperlink" Target="http://www.eurims.org/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LibreOffice/5.3.1.2$Windows_x86 LibreOffice_project/e80a0e0fd1875e1696614d24c32df0f95f03deb2</Application>
  <Pages>3</Pages>
  <Words>1078</Words>
  <Characters>6212</Characters>
  <CharactersWithSpaces>7730</CharactersWithSpaces>
  <Paragraphs>61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cp:revision>0</cp:revision>
  <dc:subject/>
  <dc:title/>
</cp:coreProperties>
</file>