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9072"/>
      </w:tblGrid>
      <w:tr>
        <w:trPr>
          <w:trHeight w:val="2880" w:hRule="atLeast"/>
        </w:trPr>
        <w:tc>
          <w:tcPr>
            <w:tcW w:w="9072" w:type="dxa"/>
            <w:tcBorders/>
          </w:tcPr>
          <w:p>
            <w:pPr>
              <w:pStyle w:val="NoSpacing"/>
              <w:widowControl w:val="false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Podtatranská hydina, a.s. Slavkovská cesta 54, 06001 Kežmarok</w:t>
            </w:r>
          </w:p>
        </w:tc>
      </w:tr>
      <w:tr>
        <w:trPr>
          <w:trHeight w:val="1440" w:hRule="atLeast"/>
        </w:trPr>
        <w:tc>
          <w:tcPr>
            <w:tcW w:w="9072" w:type="dxa"/>
            <w:tcBorders>
              <w:bottom w:val="single" w:sz="4" w:space="0" w:color="4F81BD"/>
            </w:tcBorders>
            <w:vAlign w:val="center"/>
          </w:tcPr>
          <w:p>
            <w:pPr>
              <w:pStyle w:val="NoSpacing"/>
              <w:widowControl w:val="false"/>
              <w:jc w:val="center"/>
              <w:rPr>
                <w:rFonts w:ascii="Cambria" w:hAnsi="Cambria"/>
                <w:sz w:val="80"/>
                <w:szCs w:val="80"/>
              </w:rPr>
            </w:pPr>
            <w:r>
              <w:rPr>
                <w:rFonts w:ascii="Cambria" w:hAnsi="Cambria"/>
                <w:sz w:val="80"/>
                <w:szCs w:val="80"/>
              </w:rPr>
              <w:t>Výročná správa 20</w:t>
            </w:r>
            <w:r>
              <w:rPr>
                <w:rFonts w:eastAsia="Times New Roman" w:cs="Times New Roman" w:ascii="Cambria" w:hAnsi="Cambria"/>
                <w:color w:val="auto"/>
                <w:kern w:val="0"/>
                <w:sz w:val="80"/>
                <w:szCs w:val="80"/>
                <w:lang w:val="sk-SK" w:eastAsia="en-US" w:bidi="ar-SA"/>
              </w:rPr>
              <w:t>21</w:t>
            </w:r>
          </w:p>
        </w:tc>
      </w:tr>
      <w:tr>
        <w:trPr>
          <w:trHeight w:val="720" w:hRule="atLeast"/>
        </w:trPr>
        <w:tc>
          <w:tcPr>
            <w:tcW w:w="9072" w:type="dxa"/>
            <w:tcBorders>
              <w:top w:val="single" w:sz="4" w:space="0" w:color="4F81BD"/>
            </w:tcBorders>
            <w:vAlign w:val="center"/>
          </w:tcPr>
          <w:p>
            <w:pPr>
              <w:pStyle w:val="NoSpacing"/>
              <w:widowControl w:val="false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Podtatranská hydina a.s.</w:t>
            </w:r>
          </w:p>
        </w:tc>
      </w:tr>
      <w:tr>
        <w:trPr>
          <w:trHeight w:val="360" w:hRule="atLeast"/>
        </w:trPr>
        <w:tc>
          <w:tcPr>
            <w:tcW w:w="9072" w:type="dxa"/>
            <w:tcBorders/>
            <w:vAlign w:val="center"/>
          </w:tcPr>
          <w:p>
            <w:pPr>
              <w:pStyle w:val="NoSpacing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0" w:hRule="atLeast"/>
        </w:trPr>
        <w:tc>
          <w:tcPr>
            <w:tcW w:w="9072" w:type="dxa"/>
            <w:tcBorders/>
            <w:vAlign w:val="center"/>
          </w:tcPr>
          <w:p>
            <w:pPr>
              <w:pStyle w:val="NoSpacing"/>
              <w:widowControl w:val="false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  <w:tr>
        <w:trPr>
          <w:trHeight w:val="360" w:hRule="atLeast"/>
        </w:trPr>
        <w:tc>
          <w:tcPr>
            <w:tcW w:w="9072" w:type="dxa"/>
            <w:tcBorders/>
            <w:vAlign w:val="center"/>
          </w:tcPr>
          <w:p>
            <w:pPr>
              <w:pStyle w:val="NoSpacing"/>
              <w:widowControl w:val="false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tbl>
      <w:tblPr>
        <w:tblpPr w:bottomFromText="0" w:horzAnchor="margin" w:leftFromText="187" w:rightFromText="187" w:tblpX="0" w:tblpXSpec="center" w:tblpY="0" w:tblpYSpec="bottom" w:topFromText="0" w:vertAnchor="margin"/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9072"/>
      </w:tblGrid>
      <w:tr>
        <w:trPr/>
        <w:tc>
          <w:tcPr>
            <w:tcW w:w="9072" w:type="dxa"/>
            <w:tcBorders/>
          </w:tcPr>
          <w:p>
            <w:pPr>
              <w:pStyle w:val="NoSpacing"/>
              <w:widowControl w:val="false"/>
              <w:jc w:val="center"/>
              <w:rPr/>
            </w:pPr>
            <w:r>
              <w:rPr/>
              <w:t>Výročná správa vyhotovená podľa § 20 zákona č.431/2002 Z.z. o účtovníctve</w:t>
            </w:r>
          </w:p>
          <w:p>
            <w:pPr>
              <w:pStyle w:val="NoSpacing"/>
              <w:widowControl w:val="false"/>
              <w:jc w:val="center"/>
              <w:rPr/>
            </w:pPr>
            <w:r>
              <w:rPr/>
              <w:t>v znení neskorších predpisov</w:t>
            </w:r>
          </w:p>
        </w:tc>
      </w:tr>
    </w:tbl>
    <w:p>
      <w:pPr>
        <w:pStyle w:val="Normal"/>
        <w:rPr/>
      </w:pPr>
      <w:r>
        <w:rPr/>
      </w:r>
      <w:r>
        <w:br w:type="page"/>
      </w:r>
    </w:p>
    <w:p>
      <w:pPr>
        <w:pStyle w:val="Normal"/>
        <w:jc w:val="both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má povinnosť auditu podľa § 19 zákona č.431/2002 Z.z. o účtovníctve v znení neskorších predpisov, a preto má aj povinnosť vyhotoviť výročnú správu podľa § 20 zákona o účtovníctve. 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Táto výročná správa podlieha tiež overeniu audítorom do jedného roka od skončenia účtovného obdobia. Táto výročná správa bude elektronicky uložená do registra účtovných závierok a jeho cestou aj do zbierky listín obchodného registra tak, ako to ustanovuje § 23 ods. 2 a § 23b ods. 4 zákona o účtovníctve.</w:t>
      </w:r>
    </w:p>
    <w:p>
      <w:pPr>
        <w:pStyle w:val="Normal"/>
        <w:ind w:left="0" w:hanging="0"/>
        <w:jc w:val="both"/>
        <w:rPr/>
      </w:pPr>
      <w:r>
        <w:rPr/>
      </w:r>
    </w:p>
    <w:p>
      <w:pPr>
        <w:pStyle w:val="Normal"/>
        <w:ind w:left="0" w:hanging="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1) Identifikačné údaje – základné informácie</w:t>
      </w:r>
    </w:p>
    <w:p>
      <w:pPr>
        <w:pStyle w:val="Normal"/>
        <w:ind w:left="0" w:hanging="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tbl>
      <w:tblPr>
        <w:tblW w:w="9212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3794"/>
        <w:gridCol w:w="5417"/>
      </w:tblGrid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Obchodné meno:</w:t>
            </w:r>
          </w:p>
        </w:tc>
        <w:tc>
          <w:tcPr>
            <w:tcW w:w="5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Podtatranská hydina, a.s.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IČO:</w:t>
            </w:r>
          </w:p>
        </w:tc>
        <w:tc>
          <w:tcPr>
            <w:tcW w:w="5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31 651 682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DIČ:</w:t>
            </w:r>
          </w:p>
        </w:tc>
        <w:tc>
          <w:tcPr>
            <w:tcW w:w="5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2020515563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 DPH:</w:t>
            </w:r>
          </w:p>
        </w:tc>
        <w:tc>
          <w:tcPr>
            <w:tcW w:w="5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SK2020515563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Adresa sídla:</w:t>
            </w:r>
          </w:p>
        </w:tc>
        <w:tc>
          <w:tcPr>
            <w:tcW w:w="5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Slavkovská cesta 54, 060 01 Kežmarok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Obchodný register:</w:t>
            </w:r>
          </w:p>
        </w:tc>
        <w:tc>
          <w:tcPr>
            <w:tcW w:w="5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Obchodný register 0kresného súdu Prešov, Oddiel: Sa, Vložka číslo: 99/P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Predseda predstavenstva:</w:t>
            </w:r>
          </w:p>
        </w:tc>
        <w:tc>
          <w:tcPr>
            <w:tcW w:w="5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Simona Konkoľová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Člen predstavenstva:</w:t>
            </w:r>
          </w:p>
        </w:tc>
        <w:tc>
          <w:tcPr>
            <w:tcW w:w="5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Daniel Leščinský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Člen predstavenstva:</w:t>
            </w:r>
          </w:p>
        </w:tc>
        <w:tc>
          <w:tcPr>
            <w:tcW w:w="5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Vladislav Boďo</w:t>
            </w:r>
          </w:p>
        </w:tc>
      </w:tr>
    </w:tbl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má zvolenú dozornú radu v zložení:   </w:t>
      </w:r>
      <w:r>
        <w:rPr>
          <w:b/>
          <w:sz w:val="24"/>
          <w:szCs w:val="24"/>
        </w:rPr>
        <w:t xml:space="preserve">Ivona Hanková               </w:t>
      </w:r>
    </w:p>
    <w:p>
      <w:pPr>
        <w:pStyle w:val="Normal"/>
        <w:ind w:left="0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</w:t>
      </w:r>
      <w:r>
        <w:rPr>
          <w:b/>
          <w:sz w:val="24"/>
          <w:szCs w:val="24"/>
        </w:rPr>
        <w:t xml:space="preserve">Jana Bočkay                    </w:t>
      </w:r>
    </w:p>
    <w:p>
      <w:pPr>
        <w:pStyle w:val="Normal"/>
        <w:ind w:left="0" w:hanging="0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</w:t>
      </w:r>
      <w:r>
        <w:rPr>
          <w:b/>
          <w:sz w:val="24"/>
          <w:szCs w:val="24"/>
        </w:rPr>
        <w:t xml:space="preserve">Eva Bafiová     </w:t>
      </w:r>
    </w:p>
    <w:p>
      <w:pPr>
        <w:pStyle w:val="Normal"/>
        <w:ind w:left="0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Činnosť spoločnosti upravujú Stanovy spoločnosti. </w:t>
      </w:r>
    </w:p>
    <w:p>
      <w:pPr>
        <w:pStyle w:val="Normal"/>
        <w:ind w:left="0" w:hanging="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Identifikačné údaje – doplňujúce informácie</w:t>
      </w:r>
    </w:p>
    <w:p>
      <w:pPr>
        <w:pStyle w:val="Normal"/>
        <w:ind w:left="0" w:hanging="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tbl>
      <w:tblPr>
        <w:tblW w:w="9212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4077"/>
        <w:gridCol w:w="5134"/>
      </w:tblGrid>
      <w:tr>
        <w:trPr/>
        <w:tc>
          <w:tcPr>
            <w:tcW w:w="4077" w:type="dxa"/>
            <w:tcBorders/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20</w:t>
            </w: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21</w:t>
            </w:r>
          </w:p>
        </w:tc>
        <w:tc>
          <w:tcPr>
            <w:tcW w:w="5134" w:type="dxa"/>
            <w:tcBorders/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Strata </w:t>
            </w: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723 353</w:t>
            </w:r>
            <w:r>
              <w:rPr>
                <w:sz w:val="24"/>
                <w:szCs w:val="24"/>
              </w:rPr>
              <w:t xml:space="preserve"> eur</w:t>
            </w:r>
          </w:p>
        </w:tc>
      </w:tr>
      <w:tr>
        <w:trPr/>
        <w:tc>
          <w:tcPr>
            <w:tcW w:w="4077" w:type="dxa"/>
            <w:tcBorders/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5134" w:type="dxa"/>
            <w:tcBorders/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2 330 160 eur</w:t>
            </w:r>
          </w:p>
        </w:tc>
      </w:tr>
      <w:tr>
        <w:trPr/>
        <w:tc>
          <w:tcPr>
            <w:tcW w:w="4077" w:type="dxa"/>
            <w:tcBorders/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5134" w:type="dxa"/>
            <w:tcBorders/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333 233 eur</w:t>
            </w:r>
          </w:p>
        </w:tc>
      </w:tr>
      <w:tr>
        <w:trPr/>
        <w:tc>
          <w:tcPr>
            <w:tcW w:w="4077" w:type="dxa"/>
            <w:tcBorders/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prepoč</w:t>
            </w:r>
          </w:p>
        </w:tc>
        <w:tc>
          <w:tcPr>
            <w:tcW w:w="5134" w:type="dxa"/>
            <w:tcBorders/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313</w:t>
            </w:r>
          </w:p>
        </w:tc>
      </w:tr>
      <w:tr>
        <w:trPr/>
        <w:tc>
          <w:tcPr>
            <w:tcW w:w="4077" w:type="dxa"/>
            <w:tcBorders/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</w:t>
            </w:r>
          </w:p>
        </w:tc>
        <w:tc>
          <w:tcPr>
            <w:tcW w:w="5134" w:type="dxa"/>
            <w:tcBorders/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Spracovanie, výroba hydiny, vajec, zveriny a rýb</w:t>
            </w:r>
          </w:p>
        </w:tc>
      </w:tr>
    </w:tbl>
    <w:p>
      <w:pPr>
        <w:pStyle w:val="Normal"/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  <w:r>
        <w:rPr>
          <w:sz w:val="24"/>
          <w:szCs w:val="24"/>
        </w:rPr>
        <w:t>Nákup, výroba a sprac. mäsa a mäsových výrobkov</w:t>
      </w:r>
    </w:p>
    <w:p>
      <w:pPr>
        <w:pStyle w:val="Normal"/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  <w:r>
        <w:rPr>
          <w:sz w:val="24"/>
          <w:szCs w:val="24"/>
        </w:rPr>
        <w:t>Nakladanie s biologickým odpadom</w:t>
      </w:r>
    </w:p>
    <w:p>
      <w:pPr>
        <w:pStyle w:val="Normal"/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  <w:r>
        <w:rPr>
          <w:sz w:val="24"/>
          <w:szCs w:val="24"/>
        </w:rPr>
        <w:t>Príprava a predaj na priamu konzumáciu tepelne</w:t>
      </w:r>
    </w:p>
    <w:p>
      <w:pPr>
        <w:pStyle w:val="Normal"/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  <w:r>
        <w:rPr>
          <w:sz w:val="24"/>
          <w:szCs w:val="24"/>
        </w:rPr>
        <w:t>rýchlo upravov. mäsových výrobkov a obvyklých</w:t>
      </w:r>
    </w:p>
    <w:p>
      <w:pPr>
        <w:pStyle w:val="Normal"/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  <w:r>
        <w:rPr>
          <w:sz w:val="24"/>
          <w:szCs w:val="24"/>
        </w:rPr>
        <w:t>príloh, ako aj bezmäsitých jedál</w:t>
      </w:r>
    </w:p>
    <w:p>
      <w:pPr>
        <w:pStyle w:val="Normal"/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  <w:r>
        <w:rPr>
          <w:sz w:val="24"/>
          <w:szCs w:val="24"/>
        </w:rPr>
        <w:t>Pohostinská činnosť</w:t>
      </w:r>
    </w:p>
    <w:p>
      <w:pPr>
        <w:pStyle w:val="Normal"/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  <w:r>
        <w:rPr>
          <w:sz w:val="24"/>
          <w:szCs w:val="24"/>
        </w:rPr>
        <w:t xml:space="preserve">Maloobchodná a veľkoobchodná činnosť  rozsahu  </w:t>
      </w:r>
    </w:p>
    <w:p>
      <w:pPr>
        <w:pStyle w:val="Normal"/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  <w:r>
        <w:rPr>
          <w:sz w:val="24"/>
          <w:szCs w:val="24"/>
        </w:rPr>
        <w:t xml:space="preserve">voľných živností                                                                           </w:t>
      </w:r>
    </w:p>
    <w:p>
      <w:pPr>
        <w:pStyle w:val="Normal"/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Účtovným obdobím spoločnosti je kalendárny rok. Spoločnosť nevlastní obchodný podiel v inej spoločnosti, ani nie je vlastnená inou spoločnosťou.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2. Povinné informácie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a) Informácie o vývoji účtovnej jednotky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Spoločnosť bola založená v roku 1992. Od svojho založenia si spoločnosť relatívne stabilne udržiava svoje postavenie vo svojej oblasti pôsobenia. Vývoj na trhu však prináša zvýšenú konkurenciu a požiadavky, ktorým sa musíme neustále prispôsobovať.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stabilne a dlhodobo zamestnáva okolo 313 pracovníkov a prispieva tým k lokálnej zamestnanosti. 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0" w:hanging="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SÚVAHA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0" w:hanging="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Vybrané ukazovatele o majetku a záväzkoch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9212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5915"/>
        <w:gridCol w:w="1706"/>
        <w:gridCol w:w="1591"/>
      </w:tblGrid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STRANA AKTÍV SÚVAHY</w:t>
            </w:r>
          </w:p>
          <w:p>
            <w:pPr>
              <w:pStyle w:val="Normal"/>
              <w:widowControl w:val="false"/>
              <w:ind w:left="0" w:hanging="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</w:t>
            </w:r>
            <w:r>
              <w:rPr>
                <w:rFonts w:eastAsia="Calibri" w:cs="Times New Roman"/>
                <w:b/>
                <w:color w:val="auto"/>
                <w:kern w:val="0"/>
                <w:sz w:val="24"/>
                <w:szCs w:val="24"/>
                <w:lang w:val="sk-SK" w:eastAsia="en-US" w:bidi="ar-SA"/>
              </w:rPr>
              <w:t>21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</w:t>
            </w:r>
            <w:r>
              <w:rPr>
                <w:rFonts w:eastAsia="Calibri" w:cs="Times New Roman"/>
                <w:b/>
                <w:color w:val="auto"/>
                <w:kern w:val="0"/>
                <w:sz w:val="24"/>
                <w:szCs w:val="24"/>
                <w:lang w:val="sk-SK" w:eastAsia="en-US" w:bidi="ar-SA"/>
              </w:rPr>
              <w:t>20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7159450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8601698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 Neobežný majetok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1858466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3500187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1858356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3498707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 Obežný majetok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5298096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5098314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B.I Zásoby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1231442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1759466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1980791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1200788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2085863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2138060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2888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3197</w:t>
            </w:r>
          </w:p>
        </w:tc>
      </w:tr>
    </w:tbl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9212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5915"/>
        <w:gridCol w:w="1706"/>
        <w:gridCol w:w="1591"/>
      </w:tblGrid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STRANA PASÍV SÚVAHY</w:t>
            </w:r>
          </w:p>
          <w:p>
            <w:pPr>
              <w:pStyle w:val="Normal"/>
              <w:widowControl w:val="false"/>
              <w:ind w:left="0" w:hanging="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</w:t>
            </w:r>
            <w:r>
              <w:rPr>
                <w:rFonts w:eastAsia="Calibri" w:cs="Times New Roman"/>
                <w:b/>
                <w:color w:val="auto"/>
                <w:kern w:val="0"/>
                <w:sz w:val="24"/>
                <w:szCs w:val="24"/>
                <w:lang w:val="sk-SK" w:eastAsia="en-US" w:bidi="ar-SA"/>
              </w:rPr>
              <w:t>21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</w:t>
            </w:r>
            <w:r>
              <w:rPr>
                <w:rFonts w:eastAsia="Calibri" w:cs="Times New Roman"/>
                <w:b/>
                <w:color w:val="auto"/>
                <w:kern w:val="0"/>
                <w:sz w:val="24"/>
                <w:szCs w:val="24"/>
                <w:lang w:val="sk-SK" w:eastAsia="en-US" w:bidi="ar-SA"/>
              </w:rPr>
              <w:t>20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VLASTNÉ IMANIE A ZÁV</w:t>
            </w:r>
            <w:r>
              <w:rPr>
                <w:rFonts w:cs="Calibri"/>
                <w:b/>
                <w:sz w:val="24"/>
                <w:szCs w:val="24"/>
              </w:rPr>
              <w:t>Ä</w:t>
            </w:r>
            <w:r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7159450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8601698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 Vlastné imanie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-3493149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-2769796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A.1 Základné imanie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2330160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2330160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 Emisné ážio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333233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333233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-5433189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-4808878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-723353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-624311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 Záväzky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10593662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11312555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292329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376456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6878258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7583626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3423075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3352473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58937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58939</w:t>
            </w:r>
          </w:p>
        </w:tc>
      </w:tr>
    </w:tbl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Komentár k súvahe - aktíva: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hospodári s dlhodobým hmotným majetkom v hodnote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5 151 836</w:t>
      </w:r>
      <w:r>
        <w:rPr>
          <w:sz w:val="24"/>
          <w:szCs w:val="24"/>
        </w:rPr>
        <w:t xml:space="preserve"> €. Dlhodobý hmotný majetok je už opotrebovaný na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63,93</w:t>
      </w:r>
      <w:r>
        <w:rPr>
          <w:sz w:val="24"/>
          <w:szCs w:val="24"/>
        </w:rPr>
        <w:t xml:space="preserve"> %. 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Dlhodobý nehmotný majetok predstavuje  softvér. Opravná položka k dlhodobému majetku nebola tvorená.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Spoločnosť nevlastní cenné papiere ani obchodný podiel v inej spoločnosti.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Stav zásob je vo výške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1 231 442</w:t>
      </w:r>
      <w:r>
        <w:rPr>
          <w:sz w:val="24"/>
          <w:szCs w:val="24"/>
        </w:rPr>
        <w:t xml:space="preserve"> €, došlo k 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zníženiu</w:t>
      </w:r>
      <w:r>
        <w:rPr>
          <w:sz w:val="24"/>
          <w:szCs w:val="24"/>
        </w:rPr>
        <w:t xml:space="preserve"> ich stavu oproti minulému roku. Opravná položka k zásobám nebola tvorená.  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Vývoj stavu krátkodobých pohľadávok je nepriaznivý, vzrástol ich celkový objem v porovnaní s rokom 20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20</w:t>
      </w:r>
      <w:r>
        <w:rPr>
          <w:sz w:val="24"/>
          <w:szCs w:val="24"/>
        </w:rPr>
        <w:t xml:space="preserve">. Pohľadávky po lehote splatnosti sú v sume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374 353</w:t>
      </w:r>
      <w:r>
        <w:rPr>
          <w:sz w:val="24"/>
          <w:szCs w:val="24"/>
        </w:rPr>
        <w:t xml:space="preserve"> eur, a preto spoločnosť  dotvorila k nim opravnú položku v sume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61 079</w:t>
      </w:r>
      <w:r>
        <w:rPr>
          <w:sz w:val="24"/>
          <w:szCs w:val="24"/>
        </w:rPr>
        <w:t xml:space="preserve"> eur, čo predstavuje 16,3 % ich objemu. Celkom OP v sume 75 024 eur.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Časové rozlíšenie aktív predstavujú náklady budúcich období, a to najmä – poistenie majetku  a telefónne poplatky a príjmy budúcich období celkom v objeme 2 888 eur.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Komentár k súvahe - pasíva: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Celé základné imanie spoločnosti v sume 2 330 160 eur zapísané v obchodnom registri je splatené. Vlastné imanie spoločnosti je v sume –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3 493 149</w:t>
      </w:r>
      <w:r>
        <w:rPr>
          <w:sz w:val="24"/>
          <w:szCs w:val="24"/>
        </w:rPr>
        <w:t xml:space="preserve"> eur a celkové záväzky sú v sume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10 593 662</w:t>
      </w:r>
      <w:r>
        <w:rPr>
          <w:sz w:val="24"/>
          <w:szCs w:val="24"/>
        </w:rPr>
        <w:t xml:space="preserve"> eur. Z celkovej sumy záväzkov, dlhodobé záväzky sú v sume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292 329</w:t>
      </w:r>
      <w:r>
        <w:rPr>
          <w:sz w:val="24"/>
          <w:szCs w:val="24"/>
        </w:rPr>
        <w:t xml:space="preserve"> € a krátkodobé v sume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6 878 258</w:t>
      </w:r>
      <w:r>
        <w:rPr>
          <w:sz w:val="24"/>
          <w:szCs w:val="24"/>
        </w:rPr>
        <w:t xml:space="preserve"> €. Záväzky z obchodné styku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klesli</w:t>
      </w:r>
      <w:r>
        <w:rPr>
          <w:sz w:val="24"/>
          <w:szCs w:val="24"/>
        </w:rPr>
        <w:t xml:space="preserve"> oproti minulému roku o 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8,27</w:t>
      </w:r>
      <w:r>
        <w:rPr>
          <w:sz w:val="24"/>
          <w:szCs w:val="24"/>
        </w:rPr>
        <w:t xml:space="preserve"> %. 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Krátkodobé rezervy v sume  3 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423 075</w:t>
      </w:r>
      <w:r>
        <w:rPr>
          <w:sz w:val="24"/>
          <w:szCs w:val="24"/>
        </w:rPr>
        <w:t xml:space="preserve"> eur sú najmä – rezerva na právne spory - DPH, rezerva na nevyčerpané dovolenky a s tým súvisiace sociálne a zdravotné poistenie.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Spoločnosť nemá žiadne bankové úvery.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Časové rozlíšenie pasív predstavujú výnosy budúcich období, a to najmä – zostatok dotácie z Agentúry SAPARD, ktorý bude postupne preúčtovaný do výnosov vo výške odpisov tých investícií, na ktoré bola akciovej spoločnosti poskytnutá dotácia od Slovenskej poľnohospodárskej  a platobnej agentúry. Výdavky budúcich období predstavujú nevyplatené cestovné náhrady zamestnancov.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0" w:hanging="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VÝKAZ ZISKOV A STRÁT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0" w:hanging="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Vybrané ukazovatele o výsledku hospodárenia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9212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5915"/>
        <w:gridCol w:w="1706"/>
        <w:gridCol w:w="1591"/>
      </w:tblGrid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</w:t>
            </w:r>
            <w:r>
              <w:rPr>
                <w:rFonts w:eastAsia="Calibri" w:cs="Times New Roman"/>
                <w:b/>
                <w:color w:val="auto"/>
                <w:kern w:val="0"/>
                <w:sz w:val="24"/>
                <w:szCs w:val="24"/>
                <w:lang w:val="sk-SK" w:eastAsia="en-US" w:bidi="ar-SA"/>
              </w:rPr>
              <w:t>21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</w:t>
            </w:r>
            <w:r>
              <w:rPr>
                <w:rFonts w:eastAsia="Calibri" w:cs="Times New Roman"/>
                <w:b/>
                <w:color w:val="auto"/>
                <w:kern w:val="0"/>
                <w:sz w:val="24"/>
                <w:szCs w:val="24"/>
                <w:lang w:val="sk-SK" w:eastAsia="en-US" w:bidi="ar-SA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21 916 940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29 404 764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26 148 973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32 213 321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5 060 860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6 624 987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13 125 642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18 442 730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3 730 438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4 337 047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-151 133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356 882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V. Aktivácia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30 795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32 183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2 308 221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1 087 401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2 044 150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1 332 091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26 974 874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32 791 412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3 987 403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5 982 140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10 169 746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15 732 668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D. Služby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1 909 340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1 888 339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E. Osobné náklady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6 445 749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6 188 812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370 711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440 817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2 151 252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1 327 566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57 929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11 943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1 405 090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1 185 555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-825 901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-578 091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1 567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2 534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4 019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-2 534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-2 452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Celkový výsledok hospodárenia pred zdanením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-828 435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-580 543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- 105 082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43 768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-723 353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-624 311</w:t>
            </w:r>
          </w:p>
        </w:tc>
      </w:tr>
    </w:tbl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Komentár k výkazu ziskov a strát (výsledovka):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Spoločnosť zaznamenala pokles výnosov z hospodárskej činnosti. Celkový výsledok hospodárenia strata v sume -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 xml:space="preserve">723 353 </w:t>
      </w:r>
      <w:r>
        <w:rPr>
          <w:sz w:val="24"/>
          <w:szCs w:val="24"/>
        </w:rPr>
        <w:t xml:space="preserve"> eur je tvorený hlavne v hospodárskej činnosti. Vo finančnej oblasti spoločnosť dosiahla stratu  vo výške – 2 534 eur spôsobenú najmä  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bankovými poplatkami</w:t>
      </w:r>
      <w:r>
        <w:rPr>
          <w:sz w:val="24"/>
          <w:szCs w:val="24"/>
        </w:rPr>
        <w:t xml:space="preserve">. 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Výnosy predstavujú hodnotu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26 148 973</w:t>
      </w:r>
      <w:r>
        <w:rPr>
          <w:sz w:val="24"/>
          <w:szCs w:val="24"/>
        </w:rPr>
        <w:t xml:space="preserve"> € k nim prislúchajúce náklady sú vo výške </w:t>
      </w:r>
      <w:r>
        <w:rPr>
          <w:sz w:val="20"/>
          <w:szCs w:val="20"/>
        </w:rPr>
        <w:t xml:space="preserve"> </w:t>
      </w:r>
      <w:r>
        <w:rPr>
          <w:rFonts w:eastAsia="Times New Roman" w:cs="Times New Roman"/>
          <w:color w:val="auto"/>
          <w:sz w:val="20"/>
          <w:szCs w:val="20"/>
          <w:lang w:val="cs-CZ" w:eastAsia="zh-CN" w:bidi="ar-SA"/>
        </w:rPr>
        <w:t xml:space="preserve">26 872 326 </w:t>
      </w:r>
    </w:p>
    <w:p>
      <w:pPr>
        <w:pStyle w:val="Normal"/>
        <w:widowControl/>
        <w:suppressAutoHyphens w:val="true"/>
        <w:bidi w:val="0"/>
        <w:spacing w:before="0" w:after="120"/>
        <w:ind w:left="0" w:right="-113" w:hanging="0"/>
        <w:jc w:val="both"/>
        <w:rPr>
          <w:sz w:val="24"/>
          <w:szCs w:val="24"/>
        </w:rPr>
      </w:pPr>
      <w:r>
        <w:rPr>
          <w:rStyle w:val="Ra"/>
          <w:sz w:val="24"/>
          <w:szCs w:val="24"/>
        </w:rPr>
        <w:t>Spoločnosť dosiahla tržby z predaja tovaru 5</w:t>
      </w:r>
      <w:r>
        <w:rPr>
          <w:rStyle w:val="Ra"/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 xml:space="preserve"> 060 860</w:t>
      </w:r>
      <w:r>
        <w:rPr>
          <w:rStyle w:val="Ra"/>
          <w:sz w:val="24"/>
          <w:szCs w:val="24"/>
        </w:rPr>
        <w:t xml:space="preserve"> €-p</w:t>
      </w:r>
      <w:r>
        <w:rPr>
          <w:rStyle w:val="Ra"/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okles</w:t>
      </w:r>
      <w:r>
        <w:rPr>
          <w:rStyle w:val="Ra"/>
          <w:sz w:val="24"/>
          <w:szCs w:val="24"/>
        </w:rPr>
        <w:t xml:space="preserve"> oproti minulému roku  2</w:t>
      </w:r>
      <w:r>
        <w:rPr>
          <w:rStyle w:val="Ra"/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3,61</w:t>
      </w:r>
      <w:r>
        <w:rPr>
          <w:rStyle w:val="Ra"/>
          <w:sz w:val="24"/>
          <w:szCs w:val="24"/>
        </w:rPr>
        <w:t xml:space="preserve"> % a vlastných výrobkov v sume 1</w:t>
      </w:r>
      <w:r>
        <w:rPr>
          <w:rStyle w:val="Ra"/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3 125 642</w:t>
      </w:r>
      <w:r>
        <w:rPr>
          <w:rStyle w:val="Ra"/>
          <w:sz w:val="24"/>
          <w:szCs w:val="24"/>
        </w:rPr>
        <w:t xml:space="preserve"> €, čo predstavuje pokles oproti minulému roku o 2</w:t>
      </w:r>
      <w:r>
        <w:rPr>
          <w:rStyle w:val="Ra"/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8,83</w:t>
      </w:r>
      <w:r>
        <w:rPr>
          <w:rStyle w:val="Ra"/>
          <w:sz w:val="24"/>
          <w:szCs w:val="24"/>
        </w:rPr>
        <w:t xml:space="preserve"> %. Náklady na hospodársku činnosť spolu sú v sume 2</w:t>
      </w:r>
      <w:r>
        <w:rPr>
          <w:rStyle w:val="Ra"/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6 974 874</w:t>
      </w:r>
      <w:r>
        <w:rPr>
          <w:rStyle w:val="Ra"/>
          <w:sz w:val="24"/>
          <w:szCs w:val="24"/>
        </w:rPr>
        <w:t xml:space="preserve"> €.</w:t>
      </w:r>
    </w:p>
    <w:p>
      <w:pPr>
        <w:pStyle w:val="Normal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b) Informácie o udalostiach osobitného významu, ktoré nastali po skončení účtovného obdobia.</w:t>
      </w:r>
      <w:r>
        <w:rPr>
          <w:sz w:val="24"/>
          <w:szCs w:val="24"/>
        </w:rPr>
        <w:t xml:space="preserve"> </w:t>
      </w:r>
    </w:p>
    <w:p>
      <w:pPr>
        <w:pStyle w:val="NormalWeb"/>
        <w:spacing w:before="280" w:after="280"/>
        <w:rPr/>
      </w:pPr>
      <w:r>
        <w:rPr>
          <w:rStyle w:val="Ra"/>
        </w:rPr>
        <w:t xml:space="preserve">Po skončení účtovného obdobia nenastali údalosti osobitného významu a spoločnosť nezaznamenáva významné riziká, ktoré by limitovali jej budúci vývoj. </w:t>
      </w:r>
    </w:p>
    <w:p>
      <w:pPr>
        <w:pStyle w:val="NormalWeb"/>
        <w:spacing w:before="280" w:after="280"/>
        <w:rPr/>
      </w:pPr>
      <w:r>
        <w:rPr>
          <w:rStyle w:val="Ra"/>
        </w:rPr>
        <w:t>V súvislosti s aktuálnou situáciou spôsobenou pandémiou koronavírusu, spoločnosť zvážila všetky potenciálne dopady COVID 19 na jej podnikateľské aktivity a dospela k záveru ,že nemajú významný vplyv na jej schopnosť pokračovať nepretržite v činnosti a fungovať ako zdravý subjekt nasledujúcich 12 mesiacov.</w:t>
      </w:r>
    </w:p>
    <w:p>
      <w:pPr>
        <w:pStyle w:val="NormalWeb"/>
        <w:spacing w:before="280" w:after="280"/>
        <w:rPr>
          <w:rStyle w:val="Ra"/>
        </w:rPr>
      </w:pPr>
      <w:r>
        <w:rPr>
          <w:rStyle w:val="Ra"/>
        </w:rPr>
        <w:t xml:space="preserve">Manažment bude pokračovať v monitorovaní potenciálneho dopadu a podnikne všetky možné kroky na zmiernenie akýchkoľvek negatívnych účinkov na spoločnosť a jej zamestnancov. </w:t>
      </w:r>
    </w:p>
    <w:p>
      <w:pPr>
        <w:pStyle w:val="Normal"/>
        <w:ind w:left="0" w:hanging="0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c) Informácie o predpokladanom budúcom vývoji účtovnej jednotky – podnikateľský zámer</w:t>
      </w:r>
    </w:p>
    <w:p>
      <w:pPr>
        <w:pStyle w:val="Normal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ind w:left="0" w:hanging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 súčasnom turbulentnom období je veľmi ťažké s jasnou predstavou stanoviť zámery na rok 2022. Cez blízku firmu Domäsko plánujeme radikálne obnoviť technológie chladenia, fotovoltiku výroby pary a technológie na výrobu mäsových výrobkov  /</w:t>
      </w:r>
      <w:r>
        <w:rPr>
          <w:rFonts w:ascii="Times New Roman" w:hAnsi="Times New Roman"/>
          <w:b w:val="false"/>
          <w:bCs w:val="false"/>
          <w:i w:val="false"/>
          <w:iCs w:val="false"/>
          <w:sz w:val="24"/>
          <w:szCs w:val="24"/>
        </w:rPr>
        <w:t>náražka, balička, udiarne, masírovačka/.</w:t>
      </w:r>
    </w:p>
    <w:p>
      <w:pPr>
        <w:pStyle w:val="Normal"/>
        <w:ind w:left="0" w:hanging="0"/>
        <w:jc w:val="both"/>
        <w:rPr>
          <w:b w:val="false"/>
          <w:b w:val="false"/>
          <w:bCs w:val="false"/>
          <w:i w:val="false"/>
          <w:i w:val="false"/>
          <w:iCs w:val="false"/>
          <w:sz w:val="24"/>
          <w:szCs w:val="24"/>
        </w:rPr>
      </w:pPr>
      <w:r>
        <w:rPr>
          <w:b w:val="false"/>
          <w:bCs w:val="false"/>
          <w:i w:val="false"/>
          <w:iCs w:val="false"/>
          <w:sz w:val="24"/>
          <w:szCs w:val="24"/>
        </w:rPr>
      </w:r>
    </w:p>
    <w:p>
      <w:pPr>
        <w:pStyle w:val="Normal"/>
        <w:ind w:left="0" w:hanging="0"/>
        <w:jc w:val="both"/>
        <w:rPr>
          <w:rFonts w:ascii="Times New Roman" w:hAnsi="Times New Roman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z w:val="24"/>
          <w:szCs w:val="24"/>
        </w:rPr>
        <w:t>Predpokladáme celkovú sumu investícií vo výške 5 mil. eur, z toho 75 % by predstavovali dotačné zdroje. Umožnilo by to výrazne znížiť energetickú náročnosť výroby a taktiež náklady na údržbu. Prinieslo by to tiež úsporu cca 10 pracovných miest.</w:t>
      </w:r>
    </w:p>
    <w:p>
      <w:pPr>
        <w:pStyle w:val="Normal"/>
        <w:ind w:left="0" w:hanging="0"/>
        <w:jc w:val="both"/>
        <w:rPr>
          <w:b w:val="false"/>
          <w:b w:val="false"/>
          <w:bCs w:val="false"/>
          <w:i w:val="false"/>
          <w:i w:val="false"/>
          <w:iCs w:val="false"/>
          <w:sz w:val="24"/>
          <w:szCs w:val="24"/>
        </w:rPr>
      </w:pPr>
      <w:r>
        <w:rPr>
          <w:b w:val="false"/>
          <w:bCs w:val="false"/>
          <w:i w:val="false"/>
          <w:iCs w:val="false"/>
          <w:sz w:val="24"/>
          <w:szCs w:val="24"/>
        </w:rPr>
      </w:r>
    </w:p>
    <w:p>
      <w:pPr>
        <w:pStyle w:val="Normal"/>
        <w:ind w:left="0" w:hanging="0"/>
        <w:jc w:val="both"/>
        <w:rPr>
          <w:rFonts w:ascii="Times New Roman" w:hAnsi="Times New Roman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z w:val="24"/>
          <w:szCs w:val="24"/>
        </w:rPr>
        <w:t>Veríme, že uplynulé a súčasne obdobia dokázali, aké je dôležité pre každý štát držať si potravinovú bezpečnosť, kde výroba a spracovanie hydiny bezpochyby patrí.</w:t>
      </w:r>
    </w:p>
    <w:p>
      <w:pPr>
        <w:pStyle w:val="Normal"/>
        <w:ind w:left="0" w:hanging="0"/>
        <w:jc w:val="both"/>
        <w:rPr>
          <w:b w:val="false"/>
          <w:b w:val="false"/>
          <w:bCs w:val="false"/>
          <w:i w:val="false"/>
          <w:i w:val="false"/>
          <w:iCs w:val="false"/>
          <w:sz w:val="24"/>
          <w:szCs w:val="24"/>
        </w:rPr>
      </w:pPr>
      <w:r>
        <w:rPr>
          <w:b w:val="false"/>
          <w:bCs w:val="false"/>
          <w:i w:val="false"/>
          <w:iCs w:val="false"/>
          <w:sz w:val="24"/>
          <w:szCs w:val="24"/>
        </w:rPr>
      </w:r>
    </w:p>
    <w:p>
      <w:pPr>
        <w:pStyle w:val="Normal"/>
        <w:ind w:left="0" w:hanging="0"/>
        <w:jc w:val="both"/>
        <w:rPr>
          <w:i/>
          <w:i/>
          <w:sz w:val="24"/>
          <w:szCs w:val="24"/>
        </w:rPr>
      </w:pPr>
      <w:r>
        <w:rPr>
          <w:sz w:val="24"/>
          <w:szCs w:val="24"/>
          <w:u w:val="single"/>
        </w:rPr>
        <w:t>d) Informácie o nákladoch na činnosť v oblasti výskumu a vývoja</w:t>
      </w:r>
      <w:r>
        <w:rPr>
          <w:sz w:val="24"/>
          <w:szCs w:val="24"/>
        </w:rPr>
        <w:t xml:space="preserve"> – </w:t>
      </w:r>
      <w:r>
        <w:rPr>
          <w:b/>
          <w:i/>
          <w:sz w:val="24"/>
          <w:szCs w:val="24"/>
        </w:rPr>
        <w:t>bez náplne</w:t>
      </w:r>
      <w:r>
        <w:rPr>
          <w:i/>
          <w:sz w:val="24"/>
          <w:szCs w:val="24"/>
        </w:rPr>
        <w:t>.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i/>
          <w:i/>
          <w:sz w:val="24"/>
          <w:szCs w:val="24"/>
        </w:rPr>
      </w:pPr>
      <w:r>
        <w:rPr>
          <w:sz w:val="24"/>
          <w:szCs w:val="24"/>
          <w:u w:val="single"/>
        </w:rPr>
        <w:t>e) Informácie o nadobúdaní vlastných akcií, dočasných listov, obchodných podielov a akcií, dočasných listov a obchodných podielov materskej účtovnej jednotky</w:t>
      </w:r>
      <w:r>
        <w:rPr>
          <w:sz w:val="24"/>
          <w:szCs w:val="24"/>
        </w:rPr>
        <w:t xml:space="preserve"> – </w:t>
      </w:r>
      <w:r>
        <w:rPr>
          <w:b/>
          <w:i/>
          <w:sz w:val="24"/>
          <w:szCs w:val="24"/>
        </w:rPr>
        <w:t>bez náplne</w:t>
      </w:r>
      <w:r>
        <w:rPr>
          <w:i/>
          <w:sz w:val="24"/>
          <w:szCs w:val="24"/>
        </w:rPr>
        <w:t>.</w:t>
      </w:r>
    </w:p>
    <w:p>
      <w:pPr>
        <w:pStyle w:val="Normal"/>
        <w:ind w:left="0" w:hanging="0"/>
        <w:jc w:val="both"/>
        <w:rPr>
          <w:i/>
          <w:i/>
          <w:sz w:val="24"/>
          <w:szCs w:val="24"/>
        </w:rPr>
      </w:pPr>
      <w:r>
        <w:rPr>
          <w:i/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f) Informácie o návrhu na rozdelenie zisku alebo vyrovnanie straty.</w:t>
      </w:r>
    </w:p>
    <w:p>
      <w:pPr>
        <w:pStyle w:val="Normal"/>
        <w:ind w:left="0" w:hanging="0"/>
        <w:jc w:val="both"/>
        <w:rPr>
          <w:i/>
          <w:i/>
          <w:sz w:val="24"/>
          <w:szCs w:val="24"/>
        </w:rPr>
      </w:pPr>
      <w:r>
        <w:rPr>
          <w:sz w:val="24"/>
          <w:szCs w:val="24"/>
        </w:rPr>
        <w:t>Spoločnosť vytvorila za rok 20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21</w:t>
      </w:r>
      <w:r>
        <w:rPr>
          <w:sz w:val="24"/>
          <w:szCs w:val="24"/>
        </w:rPr>
        <w:t xml:space="preserve"> účtovnú stratu vo výške -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723 353</w:t>
      </w:r>
      <w:r>
        <w:rPr>
          <w:sz w:val="24"/>
          <w:szCs w:val="24"/>
        </w:rPr>
        <w:t xml:space="preserve"> eur. Na Valné zhromaždenie bude predložený návrh na nasledovné použitie straty - preúčtovanie na </w:t>
      </w:r>
      <w:r>
        <w:rPr>
          <w:i/>
          <w:sz w:val="24"/>
          <w:szCs w:val="24"/>
        </w:rPr>
        <w:t xml:space="preserve">účet 429-Neuhradená strata minulých rokov. 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g) Informácie o údajoch požadovaných podľa osobitných predpisov</w:t>
      </w:r>
      <w:r>
        <w:rPr>
          <w:sz w:val="24"/>
          <w:szCs w:val="24"/>
        </w:rPr>
        <w:t xml:space="preserve"> – </w:t>
      </w:r>
      <w:r>
        <w:rPr>
          <w:b/>
          <w:i/>
          <w:sz w:val="24"/>
          <w:szCs w:val="24"/>
        </w:rPr>
        <w:t>bez náplne.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h) Informácie o tom, či účtovná jednotka má organizačnú zložku v zahraničí.</w:t>
      </w:r>
    </w:p>
    <w:p>
      <w:pPr>
        <w:pStyle w:val="Normal"/>
        <w:ind w:left="0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Spoločnosť nemá organizačnú zložku v zahraničí.</w:t>
      </w:r>
    </w:p>
    <w:p>
      <w:pPr>
        <w:pStyle w:val="Normal"/>
        <w:ind w:left="0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i) Informácie o ročnej správe o platbách orgánom verejnej moci (§ 20 ods. 2 zákona o účtovníctve)</w:t>
      </w:r>
      <w:r>
        <w:rPr>
          <w:sz w:val="24"/>
          <w:szCs w:val="24"/>
        </w:rPr>
        <w:t xml:space="preserve"> – </w:t>
      </w:r>
      <w:r>
        <w:rPr>
          <w:b/>
          <w:i/>
          <w:sz w:val="24"/>
          <w:szCs w:val="24"/>
        </w:rPr>
        <w:t>bez náplne.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j) Finančné nástroje (§ 20 ods. 5 zákona o účtovníctve)</w:t>
      </w:r>
    </w:p>
    <w:p>
      <w:pPr>
        <w:pStyle w:val="Normal"/>
        <w:ind w:left="0" w:hanging="0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Spoločnosť nepoužíva finančné nástroje (napr. finančné rozdielové zmluvy, deriváty) podľa zákona č.566/2001 Z.z. o cenných papieroch v znení neskorších predpisov – preto nemá povinnosť uviesť špecifické </w:t>
      </w:r>
      <w:r>
        <w:rPr>
          <w:b/>
          <w:sz w:val="24"/>
          <w:szCs w:val="24"/>
        </w:rPr>
        <w:t>informácie o cieľoch a metódach riadenia rizík.</w:t>
      </w:r>
    </w:p>
    <w:p>
      <w:pPr>
        <w:pStyle w:val="Normal"/>
        <w:ind w:left="0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k) Cenné papiere obchodované na regulovanom trhu (§ 20 ods. 6 a 7 zákona o účtovníctve).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 štruktúrované informácie podľa § 20 ods. 6 a 7 zákona o účtovníctve, napríklad – </w:t>
      </w:r>
      <w:r>
        <w:rPr>
          <w:b/>
          <w:sz w:val="24"/>
          <w:szCs w:val="24"/>
        </w:rPr>
        <w:t>vyhlásenie o správe a riadení.</w:t>
      </w:r>
      <w:r>
        <w:rPr>
          <w:sz w:val="24"/>
          <w:szCs w:val="24"/>
        </w:rPr>
        <w:t xml:space="preserve"> </w:t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l) Subjekt verejného záujmu (§ 20 ods. 9 až 14 zákona o účtovníctve).</w:t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  <w:t xml:space="preserve">Spoločnosť </w:t>
      </w:r>
      <w:r>
        <w:rPr>
          <w:b/>
          <w:sz w:val="24"/>
          <w:szCs w:val="24"/>
        </w:rPr>
        <w:t>nie je subjektom verejného záujmu</w:t>
      </w:r>
      <w:r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b/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3) Ďalšie informácie</w:t>
      </w:r>
    </w:p>
    <w:p>
      <w:pPr>
        <w:pStyle w:val="Normal"/>
        <w:ind w:left="0" w:hanging="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ind w:left="0" w:hanging="0"/>
        <w:jc w:val="both"/>
        <w:rPr>
          <w:b/>
          <w:b/>
          <w:sz w:val="28"/>
          <w:szCs w:val="28"/>
        </w:rPr>
      </w:pPr>
      <w:r>
        <w:rPr>
          <w:sz w:val="24"/>
          <w:szCs w:val="24"/>
        </w:rPr>
        <w:t>Účtovná závierka za r. 2020 b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ola schválená Valným zhromaždením dňa 20.01.2022 a overená</w:t>
      </w:r>
    </w:p>
    <w:p>
      <w:pPr>
        <w:pStyle w:val="Normal"/>
        <w:ind w:left="0" w:hanging="0"/>
        <w:jc w:val="both"/>
        <w:rPr>
          <w:b/>
          <w:b/>
          <w:sz w:val="28"/>
          <w:szCs w:val="28"/>
        </w:rPr>
      </w:pP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audítorom.</w:t>
      </w:r>
      <w:r>
        <w:rPr>
          <w:sz w:val="24"/>
          <w:szCs w:val="24"/>
        </w:rPr>
        <w:t xml:space="preserve">      </w:t>
      </w:r>
    </w:p>
    <w:p>
      <w:pPr>
        <w:pStyle w:val="Normal"/>
        <w:ind w:left="0" w:hanging="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ind w:left="0" w:hanging="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4) Povinné prílohy</w:t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Prílohou tejto výročnej správy sú:</w:t>
      </w:r>
    </w:p>
    <w:p>
      <w:pPr>
        <w:pStyle w:val="Normal"/>
        <w:ind w:left="0" w:hanging="0"/>
        <w:jc w:val="both"/>
        <w:rPr>
          <w:b/>
          <w:b/>
          <w:sz w:val="24"/>
          <w:szCs w:val="24"/>
        </w:rPr>
      </w:pPr>
      <w:r>
        <w:rPr>
          <w:rStyle w:val="Ra"/>
          <w:b/>
          <w:sz w:val="24"/>
          <w:szCs w:val="24"/>
        </w:rPr>
        <w:t>Účtovná závierka spoločnosti za rok 20</w:t>
      </w:r>
      <w:r>
        <w:rPr>
          <w:rStyle w:val="Ra"/>
          <w:rFonts w:eastAsia="Calibri" w:cs="Times New Roman"/>
          <w:b/>
          <w:color w:val="auto"/>
          <w:kern w:val="0"/>
          <w:sz w:val="24"/>
          <w:szCs w:val="24"/>
          <w:lang w:val="sk-SK" w:eastAsia="en-US" w:bidi="ar-SA"/>
        </w:rPr>
        <w:t>21</w:t>
      </w:r>
      <w:r>
        <w:rPr>
          <w:rStyle w:val="Ra"/>
          <w:b/>
          <w:sz w:val="24"/>
          <w:szCs w:val="24"/>
        </w:rPr>
        <w:t xml:space="preserve"> (Súvaha, Výkaz ziskov a strát a Poznámky)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rStyle w:val="Ra"/>
          <w:b/>
          <w:sz w:val="24"/>
          <w:szCs w:val="24"/>
        </w:rPr>
        <w:t>Správa audítora z overenia účtovnej závierky za rok 20</w:t>
      </w:r>
      <w:r>
        <w:rPr>
          <w:rStyle w:val="Ra"/>
          <w:rFonts w:eastAsia="Calibri" w:cs="Times New Roman"/>
          <w:b/>
          <w:color w:val="auto"/>
          <w:kern w:val="0"/>
          <w:sz w:val="24"/>
          <w:szCs w:val="24"/>
          <w:lang w:val="sk-SK" w:eastAsia="en-US" w:bidi="ar-SA"/>
        </w:rPr>
        <w:t>21</w:t>
      </w:r>
      <w:r>
        <w:rPr>
          <w:rStyle w:val="Ra"/>
          <w:b/>
          <w:sz w:val="24"/>
          <w:szCs w:val="24"/>
        </w:rPr>
        <w:t>-</w:t>
      </w:r>
      <w:r>
        <w:rPr>
          <w:rStyle w:val="Ra"/>
          <w:sz w:val="24"/>
          <w:szCs w:val="24"/>
        </w:rPr>
        <w:t>audit účtovnej závierky</w:t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bude vykonaný v súlade so zákonom o účtovníctve.</w:t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pBdr>
          <w:bottom w:val="single" w:sz="6" w:space="1" w:color="000000"/>
        </w:pBdr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Podtatranská hydina, a.s., Slavkovská cesta 54, 060 01  Kežmarok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center"/>
        <w:rPr>
          <w:sz w:val="24"/>
          <w:szCs w:val="24"/>
        </w:rPr>
      </w:pPr>
      <w:r>
        <w:rPr>
          <w:sz w:val="24"/>
          <w:szCs w:val="24"/>
        </w:rPr>
        <w:t>Schválenie ročnej účtovnej závierky a návrh na vysporiadanie</w:t>
      </w:r>
    </w:p>
    <w:p>
      <w:pPr>
        <w:pStyle w:val="Normal"/>
        <w:ind w:left="0" w:hanging="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výsledku hospodárenia za rok 20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21</w:t>
      </w:r>
    </w:p>
    <w:p>
      <w:pPr>
        <w:pStyle w:val="Normal"/>
        <w:ind w:left="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>
        <w:rPr>
          <w:sz w:val="24"/>
          <w:szCs w:val="24"/>
        </w:rPr>
        <w:t>Predstavenstvo Podtatranskej hydiny, a.s., Slavkovská cesta 54, 060 01 Kežmarok, predkladá akcionárom na schválenie tento výsledok hospodárenia za rok 20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21</w:t>
      </w:r>
      <w:r>
        <w:rPr>
          <w:sz w:val="24"/>
          <w:szCs w:val="24"/>
        </w:rPr>
        <w:t>: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výsledok hospodárenia z hospodárskej činnosti                   -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825 901,53</w:t>
      </w:r>
      <w:r>
        <w:rPr>
          <w:sz w:val="24"/>
          <w:szCs w:val="24"/>
        </w:rPr>
        <w:t xml:space="preserve"> €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- výsledok hospodárenia z finančnej činnosti                           -     2 533,40 €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- výsledok hospodárenia za účtovné obdobie                          - 723 353,24 €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Návrh uznesenia: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Riadne valné zhromaždenie schvaľuje ročnú účtovnú závierku za rok 20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 xml:space="preserve">21 </w:t>
      </w:r>
      <w:r>
        <w:rPr>
          <w:sz w:val="24"/>
          <w:szCs w:val="24"/>
        </w:rPr>
        <w:t xml:space="preserve">tak, ako bola predložená predstavenstvom akciovej spoločnosti a súhlasí, aby výsledok hospodárenia t.j. strata vo výške –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723 353</w:t>
      </w:r>
      <w:r>
        <w:rPr>
          <w:sz w:val="24"/>
          <w:szCs w:val="24"/>
        </w:rPr>
        <w:t xml:space="preserve"> € bola vysporiadaná nasledovne: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Neuhradená strata minulých rokov                                   -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723 353,24</w:t>
      </w:r>
      <w:r>
        <w:rPr>
          <w:sz w:val="24"/>
          <w:szCs w:val="24"/>
        </w:rPr>
        <w:t xml:space="preserve"> €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Kežmarok,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30.03.2022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Schválil: MVDr. Pavol Konkoľ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  <w:r>
        <w:rPr>
          <w:sz w:val="24"/>
          <w:szCs w:val="24"/>
        </w:rPr>
        <w:t xml:space="preserve">Na základe generálnej 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  <w:r>
        <w:rPr>
          <w:sz w:val="24"/>
          <w:szCs w:val="24"/>
        </w:rPr>
        <w:t>plnej moci</w:t>
      </w:r>
    </w:p>
    <w:sectPr>
      <w:footerReference w:type="default" r:id="rId2"/>
      <w:type w:val="nextPage"/>
      <w:pgSz w:w="11906" w:h="16838"/>
      <w:pgMar w:left="1417" w:right="1417" w:gutter="0" w:header="0" w:top="1417" w:footer="708" w:bottom="1417"/>
      <w:pgNumType w:start="0" w:fmt="decimal"/>
      <w:formProt w:val="false"/>
      <w:titlePg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7</w:t>
    </w:r>
    <w:r>
      <w:rPr/>
      <w:fldChar w:fldCharType="end"/>
    </w:r>
  </w:p>
  <w:p>
    <w:pPr>
      <w:pStyle w:val="Pta"/>
      <w:rPr/>
    </w:pPr>
    <w:r>
      <w:rPr/>
    </w:r>
  </w:p>
</w:ftr>
</file>

<file path=word/settings.xml><?xml version="1.0" encoding="utf-8"?>
<w:settings xmlns:w="http://schemas.openxmlformats.org/wordprocessingml/2006/main">
  <w:zoom w:val="bestFit" w:percent="189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sz w:val="22"/>
        <w:szCs w:val="22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Normal (Web)" w:locked="1" w:uiPriority="0" w:semiHidden="0" w:unhideWhenUsed="0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d6f01"/>
    <w:pPr>
      <w:widowControl/>
      <w:suppressAutoHyphens w:val="true"/>
      <w:bidi w:val="0"/>
      <w:spacing w:before="0" w:after="0"/>
      <w:ind w:left="7791" w:firstLine="709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99"/>
    <w:semiHidden/>
    <w:qFormat/>
    <w:rPr/>
  </w:style>
  <w:style w:type="character" w:styleId="Ra" w:customStyle="1">
    <w:name w:val="ra"/>
    <w:basedOn w:val="DefaultParagraphFont"/>
    <w:uiPriority w:val="99"/>
    <w:qFormat/>
    <w:rsid w:val="00cd6f01"/>
    <w:rPr>
      <w:rFonts w:cs="Times New Roman"/>
    </w:rPr>
  </w:style>
  <w:style w:type="character" w:styleId="HeaderChar" w:customStyle="1">
    <w:name w:val="Header Char"/>
    <w:basedOn w:val="DefaultParagraphFont"/>
    <w:uiPriority w:val="99"/>
    <w:semiHidden/>
    <w:qFormat/>
    <w:locked/>
    <w:rsid w:val="00080a76"/>
    <w:rPr>
      <w:rFonts w:cs="Times New Roman"/>
      <w:sz w:val="22"/>
      <w:lang w:eastAsia="en-US"/>
    </w:rPr>
  </w:style>
  <w:style w:type="character" w:styleId="FooterChar" w:customStyle="1">
    <w:name w:val="Footer Char"/>
    <w:basedOn w:val="DefaultParagraphFont"/>
    <w:uiPriority w:val="99"/>
    <w:qFormat/>
    <w:locked/>
    <w:rsid w:val="00080a76"/>
    <w:rPr>
      <w:rFonts w:cs="Times New Roman"/>
      <w:sz w:val="22"/>
      <w:lang w:eastAsia="en-US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locked/>
    <w:rsid w:val="00226b88"/>
    <w:rPr>
      <w:rFonts w:ascii="Tahoma" w:hAnsi="Tahoma" w:cs="Times New Roman"/>
      <w:sz w:val="16"/>
      <w:lang w:eastAsia="en-US"/>
    </w:rPr>
  </w:style>
  <w:style w:type="character" w:styleId="NoSpacingChar" w:customStyle="1">
    <w:name w:val="No Spacing Char"/>
    <w:link w:val="NoSpacing"/>
    <w:uiPriority w:val="99"/>
    <w:qFormat/>
    <w:locked/>
    <w:rsid w:val="005133f9"/>
    <w:rPr>
      <w:rFonts w:eastAsia="Times New Roman"/>
      <w:sz w:val="22"/>
      <w:lang w:val="sk-SK" w:eastAsia="en-U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qFormat/>
    <w:rsid w:val="009e742e"/>
    <w:pPr>
      <w:spacing w:beforeAutospacing="1" w:afterAutospacing="1"/>
      <w:ind w:left="0" w:hanging="0"/>
    </w:pPr>
    <w:rPr>
      <w:rFonts w:ascii="Times New Roman" w:hAnsi="Times New Roman" w:eastAsia="Times New Roman"/>
      <w:sz w:val="24"/>
      <w:szCs w:val="24"/>
      <w:lang w:val="cs-CZ" w:eastAsia="cs-CZ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eaderChar"/>
    <w:uiPriority w:val="99"/>
    <w:semiHidden/>
    <w:rsid w:val="00080a76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rsid w:val="00080a76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BalloonTextChar"/>
    <w:uiPriority w:val="99"/>
    <w:semiHidden/>
    <w:qFormat/>
    <w:rsid w:val="00226b88"/>
    <w:pPr/>
    <w:rPr>
      <w:rFonts w:ascii="Tahoma" w:hAnsi="Tahoma"/>
      <w:sz w:val="16"/>
      <w:szCs w:val="16"/>
    </w:rPr>
  </w:style>
  <w:style w:type="paragraph" w:styleId="NoSpacing">
    <w:name w:val="No Spacing"/>
    <w:link w:val="NoSpacingChar"/>
    <w:uiPriority w:val="99"/>
    <w:qFormat/>
    <w:rsid w:val="005133f9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sk-SK" w:eastAsia="en-US" w:bidi="ar-SA"/>
    </w:rPr>
  </w:style>
  <w:style w:type="paragraph" w:styleId="Default" w:customStyle="1">
    <w:name w:val="Default"/>
    <w:uiPriority w:val="99"/>
    <w:qFormat/>
    <w:rsid w:val="00f940a7"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Calibri"/>
      <w:color w:val="000000"/>
      <w:kern w:val="0"/>
      <w:sz w:val="24"/>
      <w:szCs w:val="24"/>
      <w:lang w:val="en-US" w:eastAsia="en-US" w:bidi="ar-SA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d61bac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2320</TotalTime>
  <Application>LibreOffice/7.3.0.3$Windows_X86_64 LibreOffice_project/0f246aa12d0eee4a0f7adcefbf7c878fc2238db3</Application>
  <AppVersion>15.0000</AppVersion>
  <Pages>15</Pages>
  <Words>1884</Words>
  <Characters>10422</Characters>
  <CharactersWithSpaces>13169</CharactersWithSpaces>
  <Paragraphs>306</Paragraphs>
  <Company>ALFA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2019-03-22T13:20:00Z</dcterms:created>
  <dc:creator>Administrator</dc:creator>
  <dc:description/>
  <dc:language>sk-SK</dc:language>
  <cp:lastModifiedBy/>
  <cp:lastPrinted>2022-03-29T08:51:47Z</cp:lastPrinted>
  <dcterms:modified xsi:type="dcterms:W3CDTF">2022-04-27T14:21:02Z</dcterms:modified>
  <cp:revision>116</cp:revision>
  <dc:subject>ALFA s.r.o.</dc:subject>
  <dc:title>Výročná správa 2014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