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media/image1.png" ContentType="image/png"/>
  <Override PartName="/word/media/image2.png" ContentType="image/png"/>
  <Override PartName="/word/media/image3.png" ContentType="image/png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PRIMA INVEST, spol. s  r.o., Bakossova 60, 974 01 Banská Bystrica</w:t>
      </w:r>
      <w:r>
        <w:rPr>
          <w:rFonts w:ascii="Times New Roman" w:hAnsi="Times New Roman"/>
          <w:sz w:val="24"/>
          <w:szCs w:val="24"/>
        </w:rPr>
        <w:t xml:space="preserve">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>
          <w:rFonts w:ascii="Times New Roman" w:hAnsi="Times New Roman"/>
          <w:sz w:val="32"/>
          <w:szCs w:val="32"/>
        </w:rPr>
      </w:pPr>
      <w:r>
        <w:rPr>
          <w:rFonts w:ascii="Times New Roman" w:hAnsi="Times New Roman"/>
          <w:sz w:val="32"/>
          <w:szCs w:val="32"/>
        </w:rPr>
        <w:t xml:space="preserve">VÝROČNÁ SPRÁVA SPOLOČNOSTI PRIMA INVEST, spol. s r.o.             </w:t>
      </w:r>
    </w:p>
    <w:p>
      <w:pPr>
        <w:pStyle w:val="Normal"/>
        <w:rPr>
          <w:rFonts w:ascii="Times New Roman" w:hAnsi="Times New Roman"/>
          <w:sz w:val="32"/>
          <w:szCs w:val="32"/>
        </w:rPr>
      </w:pPr>
      <w:r>
        <w:rPr>
          <w:rFonts w:ascii="Times New Roman" w:hAnsi="Times New Roman"/>
          <w:sz w:val="32"/>
          <w:szCs w:val="32"/>
        </w:rPr>
      </w:r>
    </w:p>
    <w:p>
      <w:pPr>
        <w:pStyle w:val="Normal"/>
        <w:rPr>
          <w:rFonts w:ascii="Times New Roman" w:hAnsi="Times New Roman"/>
          <w:sz w:val="32"/>
          <w:szCs w:val="32"/>
        </w:rPr>
      </w:pPr>
      <w:r>
        <w:rPr>
          <w:rFonts w:ascii="Times New Roman" w:hAnsi="Times New Roman"/>
          <w:sz w:val="32"/>
          <w:szCs w:val="32"/>
        </w:rPr>
        <w:t xml:space="preserve">           </w:t>
      </w:r>
      <w:r>
        <w:rPr>
          <w:rFonts w:ascii="Times New Roman" w:hAnsi="Times New Roman"/>
          <w:sz w:val="32"/>
          <w:szCs w:val="32"/>
        </w:rPr>
        <w:tab/>
        <w:tab/>
        <w:tab/>
        <w:tab/>
        <w:t>za rok 2021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jc w:val="right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rPr/>
      </w:pPr>
      <w:r>
        <w:rPr/>
      </w:r>
    </w:p>
    <w:p>
      <w:pPr>
        <w:pStyle w:val="Normal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PRIMA INVEST</w:t>
      </w:r>
      <w:r>
        <w:rPr>
          <w:rFonts w:ascii="Times New Roman" w:hAnsi="Times New Roman"/>
          <w:sz w:val="24"/>
          <w:szCs w:val="24"/>
        </w:rPr>
        <w:t xml:space="preserve">, spol. s  r.o., Bakossova 60, 974 01 Banská Bystrica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  <w:t>Obsah výročnej správy :</w:t>
        <w:tab/>
        <w:tab/>
        <w:tab/>
        <w:tab/>
        <w:tab/>
        <w:tab/>
        <w:t xml:space="preserve">       strana</w:t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numPr>
          <w:ilvl w:val="0"/>
          <w:numId w:val="1"/>
        </w:numPr>
        <w:rPr>
          <w:color w:val="000000" w:themeColor="text1"/>
        </w:rPr>
      </w:pPr>
      <w:r>
        <w:rPr>
          <w:color w:val="000000" w:themeColor="text1"/>
        </w:rPr>
        <w:t>Príhovor majiteľa spoločnosti</w:t>
        <w:tab/>
        <w:tab/>
        <w:tab/>
        <w:tab/>
        <w:tab/>
        <w:t>3</w:t>
      </w:r>
    </w:p>
    <w:p>
      <w:pPr>
        <w:pStyle w:val="Normal"/>
        <w:numPr>
          <w:ilvl w:val="0"/>
          <w:numId w:val="1"/>
        </w:numPr>
        <w:rPr>
          <w:color w:val="000000" w:themeColor="text1"/>
        </w:rPr>
      </w:pPr>
      <w:r>
        <w:rPr>
          <w:color w:val="000000" w:themeColor="text1"/>
        </w:rPr>
        <w:t>Identifikačné údaje</w:t>
        <w:tab/>
        <w:tab/>
        <w:tab/>
        <w:tab/>
        <w:tab/>
        <w:tab/>
        <w:t>6</w:t>
      </w:r>
    </w:p>
    <w:p>
      <w:pPr>
        <w:pStyle w:val="Normal"/>
        <w:numPr>
          <w:ilvl w:val="0"/>
          <w:numId w:val="1"/>
        </w:numPr>
        <w:rPr>
          <w:color w:val="000000" w:themeColor="text1"/>
        </w:rPr>
      </w:pPr>
      <w:r>
        <w:rPr>
          <w:color w:val="000000" w:themeColor="text1"/>
        </w:rPr>
        <w:t>Vývoj hospodárenia  za rok 2021</w:t>
        <w:tab/>
        <w:tab/>
        <w:tab/>
        <w:tab/>
        <w:t>7</w:t>
      </w:r>
    </w:p>
    <w:p>
      <w:pPr>
        <w:pStyle w:val="Normal"/>
        <w:numPr>
          <w:ilvl w:val="0"/>
          <w:numId w:val="1"/>
        </w:numPr>
        <w:rPr>
          <w:color w:val="000000" w:themeColor="text1"/>
        </w:rPr>
      </w:pPr>
      <w:r>
        <w:rPr>
          <w:color w:val="000000" w:themeColor="text1"/>
        </w:rPr>
        <w:t>Prognóza vývoja na rok 2022</w:t>
        <w:tab/>
        <w:t xml:space="preserve">            </w:t>
        <w:tab/>
        <w:tab/>
        <w:tab/>
        <w:tab/>
      </w:r>
      <w:r>
        <w:rPr>
          <w:color w:val="000000" w:themeColor="text1"/>
        </w:rPr>
        <w:t>14</w:t>
      </w:r>
    </w:p>
    <w:p>
      <w:pPr>
        <w:pStyle w:val="Normal"/>
        <w:numPr>
          <w:ilvl w:val="0"/>
          <w:numId w:val="1"/>
        </w:numPr>
        <w:rPr>
          <w:color w:val="000000" w:themeColor="text1"/>
        </w:rPr>
      </w:pPr>
      <w:r>
        <w:rPr>
          <w:color w:val="000000" w:themeColor="text1"/>
        </w:rPr>
        <w:t xml:space="preserve">Grafická časť </w:t>
        <w:tab/>
        <w:tab/>
        <w:tab/>
        <w:tab/>
      </w:r>
      <w:r>
        <w:rPr>
          <w:color w:val="000000" w:themeColor="text1"/>
        </w:rPr>
        <w:tab/>
        <w:tab/>
        <w:tab/>
        <w:t>1</w:t>
      </w:r>
      <w:r>
        <w:rPr>
          <w:color w:val="000000" w:themeColor="text1"/>
        </w:rPr>
        <w:t>5</w:t>
      </w:r>
    </w:p>
    <w:p>
      <w:pPr>
        <w:pStyle w:val="Normal"/>
        <w:numPr>
          <w:ilvl w:val="0"/>
          <w:numId w:val="1"/>
        </w:numPr>
        <w:rPr>
          <w:color w:val="000000" w:themeColor="text1"/>
        </w:rPr>
      </w:pPr>
      <w:r>
        <w:rPr>
          <w:color w:val="000000" w:themeColor="text1"/>
        </w:rPr>
        <w:t xml:space="preserve">Rozhodnutie jediného spoločníka o rozdelení </w:t>
      </w:r>
    </w:p>
    <w:p>
      <w:pPr>
        <w:pStyle w:val="Normal"/>
        <w:numPr>
          <w:ilvl w:val="0"/>
          <w:numId w:val="0"/>
        </w:numPr>
        <w:ind w:left="720" w:hanging="0"/>
        <w:rPr>
          <w:color w:val="000000" w:themeColor="text1"/>
        </w:rPr>
      </w:pPr>
      <w:r>
        <w:rPr>
          <w:color w:val="000000" w:themeColor="text1"/>
        </w:rPr>
        <w:t>hospodárskeho výsledku za rok 2021</w:t>
        <w:tab/>
        <w:tab/>
        <w:tab/>
        <w:tab/>
        <w:t>1</w:t>
      </w:r>
      <w:r>
        <w:rPr>
          <w:color w:val="000000" w:themeColor="text1"/>
        </w:rPr>
        <w:t>7</w:t>
      </w:r>
      <w:r>
        <w:rPr>
          <w:color w:val="000000" w:themeColor="text1"/>
        </w:rPr>
        <w:tab/>
      </w:r>
    </w:p>
    <w:p>
      <w:pPr>
        <w:pStyle w:val="Normal"/>
        <w:numPr>
          <w:ilvl w:val="0"/>
          <w:numId w:val="1"/>
        </w:numPr>
        <w:rPr>
          <w:color w:val="000000" w:themeColor="text1"/>
        </w:rPr>
      </w:pPr>
      <w:r>
        <w:rPr>
          <w:color w:val="000000" w:themeColor="text1"/>
        </w:rPr>
        <w:t xml:space="preserve">Správa o overení súladu výročnej správy s účtovnou závierkou  </w:t>
      </w:r>
    </w:p>
    <w:p>
      <w:pPr>
        <w:pStyle w:val="Normal"/>
        <w:numPr>
          <w:ilvl w:val="0"/>
          <w:numId w:val="1"/>
        </w:numPr>
        <w:rPr>
          <w:color w:val="000000" w:themeColor="text1"/>
        </w:rPr>
      </w:pPr>
      <w:r>
        <w:rPr>
          <w:color w:val="000000" w:themeColor="text1"/>
        </w:rPr>
        <w:t>Správa nezávislého audítora</w:t>
      </w:r>
    </w:p>
    <w:p>
      <w:pPr>
        <w:pStyle w:val="Normal"/>
        <w:numPr>
          <w:ilvl w:val="0"/>
          <w:numId w:val="1"/>
        </w:numPr>
        <w:rPr>
          <w:color w:val="000000" w:themeColor="text1"/>
        </w:rPr>
      </w:pPr>
      <w:r>
        <w:rPr>
          <w:color w:val="000000" w:themeColor="text1"/>
        </w:rPr>
        <w:t>Ročná závierka</w:t>
      </w:r>
    </w:p>
    <w:p>
      <w:pPr>
        <w:pStyle w:val="Normal"/>
        <w:ind w:left="720" w:hanging="0"/>
        <w:rPr>
          <w:color w:val="FF0000"/>
        </w:rPr>
      </w:pPr>
      <w:r>
        <w:rPr>
          <w:color w:val="FF0000"/>
        </w:rPr>
      </w:r>
    </w:p>
    <w:p>
      <w:pPr>
        <w:pStyle w:val="Normal"/>
        <w:ind w:left="720" w:hanging="0"/>
        <w:rPr/>
      </w:pPr>
      <w:r>
        <w:rPr/>
      </w:r>
    </w:p>
    <w:p>
      <w:pPr>
        <w:pStyle w:val="Normal"/>
        <w:ind w:left="720" w:hanging="0"/>
        <w:rPr/>
      </w:pPr>
      <w:r>
        <w:rPr/>
      </w:r>
    </w:p>
    <w:p>
      <w:pPr>
        <w:pStyle w:val="Normal"/>
        <w:rPr/>
      </w:pPr>
      <w:r>
        <w:rPr/>
      </w:r>
      <w:r>
        <w:br w:type="page"/>
      </w:r>
    </w:p>
    <w:p>
      <w:pPr>
        <w:pStyle w:val="Normal"/>
        <w:rPr>
          <w:b/>
          <w:b/>
          <w:bCs/>
          <w:color w:val="000000" w:themeColor="text1"/>
        </w:rPr>
      </w:pPr>
      <w:r>
        <w:rPr>
          <w:b/>
          <w:bCs/>
          <w:color w:val="000000" w:themeColor="text1"/>
        </w:rPr>
        <w:t>Príhovor majiteľa spoločnosti</w:t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  <w:t>Vážení  obchodní partneri, milé dámy, milí páni a  priatelia,</w:t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  <w:t xml:space="preserve">opäť nastal  čas </w:t>
      </w:r>
      <w:r>
        <w:rPr>
          <w:color w:val="000000" w:themeColor="text1"/>
        </w:rPr>
        <w:t xml:space="preserve">na bilanciu </w:t>
      </w:r>
      <w:r>
        <w:rPr>
          <w:color w:val="000000" w:themeColor="text1"/>
        </w:rPr>
        <w:t>uplynu</w:t>
      </w:r>
      <w:r>
        <w:rPr>
          <w:color w:val="000000" w:themeColor="text1"/>
        </w:rPr>
        <w:t>lého</w:t>
      </w:r>
      <w:r>
        <w:rPr>
          <w:color w:val="000000" w:themeColor="text1"/>
        </w:rPr>
        <w:t xml:space="preserve"> rok</w:t>
      </w:r>
      <w:r>
        <w:rPr>
          <w:color w:val="000000" w:themeColor="text1"/>
        </w:rPr>
        <w:t>a</w:t>
      </w:r>
      <w:r>
        <w:rPr>
          <w:color w:val="000000" w:themeColor="text1"/>
        </w:rPr>
        <w:t xml:space="preserve">, </w:t>
      </w:r>
      <w:r>
        <w:rPr>
          <w:color w:val="000000" w:themeColor="text1"/>
        </w:rPr>
        <w:t>čo nám priniesol, ale i odniesol a ako sa to prejavilo v ekonomike firmy či už pozitívne alebo negatívne.</w:t>
      </w:r>
      <w:r>
        <w:rPr>
          <w:color w:val="000000" w:themeColor="text1"/>
        </w:rPr>
        <w:t xml:space="preserve"> Rok 2021 bol špecifický  v tom, že vplyv </w:t>
      </w:r>
      <w:r>
        <w:rPr>
          <w:color w:val="000000" w:themeColor="text1"/>
        </w:rPr>
        <w:t>na vývoj vo všetkých oblastiach života</w:t>
      </w:r>
      <w:r>
        <w:rPr>
          <w:color w:val="000000" w:themeColor="text1"/>
        </w:rPr>
        <w:t xml:space="preserve"> mali okolnosti, ktorých začiatok bol už v roku prechádzajúcom. </w:t>
      </w:r>
      <w:r>
        <w:rPr>
          <w:color w:val="000000" w:themeColor="text1"/>
        </w:rPr>
        <w:t xml:space="preserve">Nielen naša firma, ale všetky firmy a spoločnosti v celom svete zaznamenali dopad  opatrení súvisiacich s pandémiou COVID 19. </w:t>
      </w:r>
    </w:p>
    <w:p>
      <w:pPr>
        <w:pStyle w:val="Normal"/>
        <w:rPr/>
      </w:pPr>
      <w:r>
        <w:rPr>
          <w:color w:val="000000" w:themeColor="text1"/>
        </w:rPr>
        <w:t xml:space="preserve"> </w:t>
      </w:r>
      <w:r>
        <w:rPr/>
        <w:t xml:space="preserve">Rok 2021 </w:t>
      </w:r>
      <w:r>
        <w:rPr/>
        <w:t xml:space="preserve">bol pre našu firmu hlavne v oblasti stavebníctva veľmi búrlivý. Mnoho javov túto oblasť výrazne zasiahlo a ovplyvnilo, čo sa prenieslo aj do ekonomiky firmy. Medzi hlavné  faktory patril nárast cien vstupov pre stavebnú výrobu, nedostatok niektorých stavebných materiálov, čo spôsobilo dlhé čakacie doby a omeškanie v procese výstavby </w:t>
      </w:r>
      <w:r>
        <w:rPr/>
        <w:t xml:space="preserve">a splnenia dohodnutých termínov. V nemalej miere zasiahol aj nárast cien </w:t>
      </w:r>
      <w:r>
        <w:rPr/>
        <w:t xml:space="preserve"> energií  </w:t>
      </w:r>
      <w:r>
        <w:rPr/>
        <w:t xml:space="preserve">nedostatok pracovnej sily, vývoj bankového sektora a realitného trhu. </w:t>
      </w:r>
      <w:r>
        <w:rPr/>
        <w:t xml:space="preserve">Bodku za vývojom dáva nárast inflácie, ktorá dosiahla v roku 2021 </w:t>
      </w:r>
      <w:r>
        <w:rPr/>
        <w:t xml:space="preserve">podľa Štatistického úradu SR meraná indexom spotrebiteľských cien oproti prechádzajúcemu roku 3,2%. </w:t>
      </w:r>
    </w:p>
    <w:p>
      <w:pPr>
        <w:pStyle w:val="Normal"/>
        <w:rPr>
          <w:color w:val="000000"/>
          <w:shd w:fill="auto" w:val="clear"/>
        </w:rPr>
      </w:pPr>
      <w:r>
        <w:rPr>
          <w:color w:val="000000"/>
          <w:shd w:fill="auto" w:val="clear"/>
        </w:rPr>
        <w:t xml:space="preserve">Takže uplynulý rok </w:t>
      </w:r>
      <w:r>
        <w:rPr>
          <w:color w:val="000000"/>
          <w:shd w:fill="auto" w:val="clear"/>
        </w:rPr>
        <w:t xml:space="preserve">priniesol aj do našej spoločnosti mnoho  negatívneho, </w:t>
      </w:r>
      <w:r>
        <w:rPr>
          <w:color w:val="000000"/>
          <w:shd w:fill="auto" w:val="clear"/>
        </w:rPr>
        <w:t>s čím sme sa museli vysporiadať</w:t>
      </w:r>
      <w:r>
        <w:rPr>
          <w:color w:val="000000"/>
          <w:shd w:fill="auto" w:val="clear"/>
        </w:rPr>
        <w:t xml:space="preserve">, </w:t>
      </w:r>
      <w:r>
        <w:rPr>
          <w:color w:val="000000"/>
          <w:shd w:fill="auto" w:val="clear"/>
        </w:rPr>
        <w:t xml:space="preserve">nájsť riešenia pre spokojnosť klientov, bol aj skúškou stability </w:t>
      </w:r>
      <w:r>
        <w:rPr>
          <w:color w:val="000000"/>
          <w:shd w:fill="auto" w:val="clear"/>
        </w:rPr>
        <w:t>obchodn</w:t>
      </w:r>
      <w:r>
        <w:rPr>
          <w:color w:val="000000"/>
          <w:shd w:fill="auto" w:val="clear"/>
        </w:rPr>
        <w:t xml:space="preserve">ých </w:t>
      </w:r>
      <w:r>
        <w:rPr>
          <w:color w:val="000000"/>
          <w:shd w:fill="auto" w:val="clear"/>
        </w:rPr>
        <w:t>vzťah</w:t>
      </w:r>
      <w:r>
        <w:rPr>
          <w:color w:val="000000"/>
          <w:shd w:fill="auto" w:val="clear"/>
        </w:rPr>
        <w:t>ov</w:t>
      </w:r>
      <w:r>
        <w:rPr>
          <w:color w:val="000000"/>
          <w:shd w:fill="auto" w:val="clear"/>
        </w:rPr>
        <w:t xml:space="preserve">,  </w:t>
      </w:r>
      <w:r>
        <w:rPr>
          <w:color w:val="000000"/>
          <w:shd w:fill="auto" w:val="clear"/>
        </w:rPr>
        <w:t xml:space="preserve">snahou nájsť i </w:t>
      </w:r>
      <w:r>
        <w:rPr>
          <w:color w:val="000000"/>
          <w:shd w:fill="auto" w:val="clear"/>
        </w:rPr>
        <w:t xml:space="preserve">nových partnerov, </w:t>
      </w:r>
      <w:r>
        <w:rPr>
          <w:color w:val="000000"/>
          <w:shd w:fill="auto" w:val="clear"/>
        </w:rPr>
        <w:t>s ktorými by sme splnili naše ciele.</w:t>
      </w:r>
    </w:p>
    <w:p>
      <w:pPr>
        <w:pStyle w:val="Normal"/>
        <w:rPr>
          <w:color w:val="000000"/>
        </w:rPr>
      </w:pPr>
      <w:r>
        <w:rPr>
          <w:color w:val="000000"/>
        </w:rPr>
        <w:t xml:space="preserve">Pri porovnaní dosiahnutých výsledkov musíme skonštatovať, že rok 2021 patrí k menej úspešným, no vzhľadom na vývoj situácie </w:t>
      </w:r>
      <w:r>
        <w:rPr>
          <w:color w:val="000000"/>
        </w:rPr>
        <w:t xml:space="preserve">v SR i vo svete, </w:t>
      </w:r>
      <w:r>
        <w:rPr>
          <w:color w:val="000000"/>
        </w:rPr>
        <w:t xml:space="preserve">sme urobili maximum, aby sme ich zlepšili aspoň oproti prechádzajúcemu roku </w:t>
      </w:r>
      <w:r>
        <w:rPr>
          <w:color w:val="000000"/>
        </w:rPr>
        <w:t>a dosiahli kladný hospodársky výsledok</w:t>
      </w:r>
      <w:r>
        <w:rPr>
          <w:color w:val="000000"/>
        </w:rPr>
        <w:t xml:space="preserve"> . K pilierom, ktoré firmu udržali  a doviedli ju aspoň k týmto výsledkom patria ľudia – zamestnanci spoločnosti</w:t>
      </w:r>
      <w:r>
        <w:rPr>
          <w:color w:val="000000"/>
        </w:rPr>
        <w:t xml:space="preserve">. </w:t>
      </w:r>
      <w:r>
        <w:rPr>
          <w:color w:val="000000"/>
        </w:rPr>
        <w:t>I</w:t>
      </w:r>
      <w:r>
        <w:rPr>
          <w:color w:val="000000"/>
        </w:rPr>
        <w:t xml:space="preserve">ch osobné skúsenosti, aktivita, sebavedomie, pracovitosť, vzájomná dôvera a komunikácia, realistické myšlienky a rýchle reakcie na vzniknutú situáciu a problémy sú základným predpokladom pre </w:t>
      </w:r>
      <w:r>
        <w:rPr>
          <w:color w:val="000000"/>
        </w:rPr>
        <w:t>udržanie a</w:t>
      </w:r>
      <w:r>
        <w:rPr>
          <w:color w:val="000000"/>
        </w:rPr>
        <w:t xml:space="preserve"> ďalší rozvoj spoločnosti. </w:t>
      </w:r>
      <w:r>
        <w:rPr>
          <w:color w:val="000000"/>
        </w:rPr>
        <w:t>N</w:t>
      </w:r>
      <w:r>
        <w:rPr>
          <w:color w:val="000000"/>
        </w:rPr>
        <w:t xml:space="preserve">astavená organizačná štruktúra spoločnosti v minulých rokoch </w:t>
      </w:r>
      <w:r>
        <w:rPr>
          <w:color w:val="000000"/>
        </w:rPr>
        <w:t>zmenami neprešla, čo však neznamená, že pri nepriaznivom vývoji k nej nedôjde v budúcom roku.</w:t>
      </w:r>
    </w:p>
    <w:p>
      <w:pPr>
        <w:pStyle w:val="Normal"/>
        <w:rPr>
          <w:color w:val="FF0000"/>
        </w:rPr>
      </w:pPr>
      <w:r>
        <w:rPr>
          <w:color w:val="000000"/>
        </w:rPr>
        <w:t xml:space="preserve">Výnosy za nami poskytnuté služby predstavovali čiastku </w:t>
      </w:r>
      <w:r>
        <w:rPr>
          <w:color w:val="FF0000"/>
        </w:rPr>
        <w:t xml:space="preserve">6,752 mil. EUR. </w:t>
      </w:r>
      <w:r>
        <w:rPr>
          <w:color w:val="000000"/>
        </w:rPr>
        <w:t>Celkové náklady boli vo výške</w:t>
      </w:r>
      <w:r>
        <w:rPr>
          <w:color w:val="FF0000"/>
        </w:rPr>
        <w:t xml:space="preserve"> 6,758 mil. EUR, </w:t>
      </w:r>
      <w:r>
        <w:rPr>
          <w:color w:val="000000"/>
        </w:rPr>
        <w:t xml:space="preserve">čo predstavuje </w:t>
      </w:r>
      <w:r>
        <w:rPr>
          <w:color w:val="000000"/>
        </w:rPr>
        <w:t xml:space="preserve">zisk </w:t>
      </w:r>
      <w:r>
        <w:rPr>
          <w:color w:val="000000"/>
        </w:rPr>
        <w:t>vo  výške</w:t>
      </w:r>
      <w:r>
        <w:rPr>
          <w:color w:val="FF0000"/>
        </w:rPr>
        <w:t xml:space="preserve"> 0,006 mil. EUR. </w:t>
      </w:r>
      <w:r>
        <w:rPr>
          <w:color w:val="000000"/>
        </w:rPr>
        <w:t xml:space="preserve">K tomuto výsledku prispela i </w:t>
      </w:r>
      <w:r>
        <w:rPr>
          <w:color w:val="000000"/>
        </w:rPr>
        <w:t>štát</w:t>
      </w:r>
      <w:r>
        <w:rPr>
          <w:color w:val="000000"/>
        </w:rPr>
        <w:t>na</w:t>
      </w:r>
      <w:r>
        <w:rPr>
          <w:color w:val="000000"/>
        </w:rPr>
        <w:t xml:space="preserve"> pomoc </w:t>
      </w:r>
      <w:r>
        <w:rPr>
          <w:color w:val="000000"/>
        </w:rPr>
        <w:t xml:space="preserve">na udržanie pracovných miest, čo nám umožnilo minimalizovať </w:t>
      </w:r>
      <w:r>
        <w:rPr>
          <w:color w:val="000000"/>
        </w:rPr>
        <w:t>dopad nepriaznivého vývoja</w:t>
      </w:r>
      <w:r>
        <w:rPr>
          <w:color w:val="000000"/>
        </w:rPr>
        <w:t>.</w:t>
      </w:r>
    </w:p>
    <w:p>
      <w:pPr>
        <w:pStyle w:val="Normal"/>
        <w:rPr>
          <w:color w:val="FF0000"/>
        </w:rPr>
      </w:pPr>
      <w:r>
        <w:rPr>
          <w:color w:val="FF0000"/>
        </w:rPr>
        <w:t xml:space="preserve"> </w:t>
      </w:r>
      <w:r>
        <w:rPr>
          <w:color w:val="000000"/>
        </w:rPr>
        <w:t xml:space="preserve">Hlavné zameranie spoločnosti sa nezmenilo.  Aj naďalej poskytujeme </w:t>
      </w:r>
      <w:r>
        <w:rPr>
          <w:color w:val="000000"/>
        </w:rPr>
        <w:t>3</w:t>
      </w:r>
      <w:r>
        <w:rPr>
          <w:color w:val="000000"/>
        </w:rPr>
        <w:t xml:space="preserve"> základné druhy služieb:</w:t>
      </w:r>
    </w:p>
    <w:p>
      <w:pPr>
        <w:pStyle w:val="Normal"/>
        <w:numPr>
          <w:ilvl w:val="0"/>
          <w:numId w:val="3"/>
        </w:numPr>
        <w:spacing w:lineRule="auto" w:line="240" w:before="0" w:after="120"/>
        <w:ind w:left="754" w:hanging="357"/>
        <w:rPr>
          <w:color w:val="000000"/>
        </w:rPr>
      </w:pPr>
      <w:r>
        <w:rPr>
          <w:color w:val="000000"/>
        </w:rPr>
        <w:t xml:space="preserve">Stavebné </w:t>
      </w:r>
    </w:p>
    <w:p>
      <w:pPr>
        <w:pStyle w:val="Normal"/>
        <w:numPr>
          <w:ilvl w:val="0"/>
          <w:numId w:val="3"/>
        </w:numPr>
        <w:spacing w:lineRule="auto" w:line="240" w:before="0" w:after="120"/>
        <w:ind w:left="754" w:hanging="357"/>
        <w:rPr>
          <w:color w:val="000000"/>
        </w:rPr>
      </w:pPr>
      <w:r>
        <w:rPr>
          <w:color w:val="000000"/>
        </w:rPr>
        <w:t xml:space="preserve">Komplexná správa budov </w:t>
      </w:r>
    </w:p>
    <w:p>
      <w:pPr>
        <w:pStyle w:val="Normal"/>
        <w:numPr>
          <w:ilvl w:val="0"/>
          <w:numId w:val="3"/>
        </w:numPr>
        <w:spacing w:lineRule="auto" w:line="240" w:before="0" w:after="120"/>
        <w:ind w:left="754" w:hanging="357"/>
        <w:rPr>
          <w:color w:val="000000"/>
        </w:rPr>
      </w:pPr>
      <w:r>
        <w:rPr>
          <w:color w:val="000000"/>
        </w:rPr>
        <w:t xml:space="preserve">Upratovanie </w:t>
      </w:r>
    </w:p>
    <w:p>
      <w:pPr>
        <w:pStyle w:val="Normal"/>
        <w:numPr>
          <w:ilvl w:val="0"/>
          <w:numId w:val="0"/>
        </w:numPr>
        <w:spacing w:lineRule="auto" w:line="240" w:before="0" w:after="120"/>
        <w:ind w:left="1117" w:hanging="0"/>
        <w:rPr/>
      </w:pPr>
      <w:r>
        <w:rPr/>
      </w:r>
    </w:p>
    <w:p>
      <w:pPr>
        <w:pStyle w:val="Normal"/>
        <w:spacing w:lineRule="auto" w:line="240" w:before="0" w:after="120"/>
        <w:ind w:hanging="0"/>
        <w:rPr/>
      </w:pPr>
      <w:r>
        <w:rPr>
          <w:color w:val="000000"/>
        </w:rPr>
        <w:t xml:space="preserve">Väčšinu týchto služieb / až na upratovacie služby/ poskytujeme dodávateľským spôsobom prostredníctvom subdodávok, </w:t>
      </w:r>
      <w:r>
        <w:rPr>
          <w:color w:val="000000"/>
        </w:rPr>
        <w:t xml:space="preserve">z čoho vyplýva </w:t>
      </w:r>
      <w:r>
        <w:rPr>
          <w:color w:val="000000"/>
        </w:rPr>
        <w:t>že rozhodujúcou činnosťou zamestnancov spoločnosti</w:t>
      </w:r>
      <w:r>
        <w:rPr>
          <w:color w:val="FF0000"/>
        </w:rPr>
        <w:t xml:space="preserve"> </w:t>
      </w:r>
      <w:r>
        <w:rPr>
          <w:color w:val="000000"/>
        </w:rPr>
        <w:t xml:space="preserve">je riadiaca a koordinačná činnosť. Cieľom je, aby všetky práce v jednotlivých segmentoch služieb boli zabezpečené kvalitnými subdodávkami čo sa týka materiálov a služieb, stanovených </w:t>
      </w:r>
      <w:r>
        <w:rPr>
          <w:color w:val="000000"/>
        </w:rPr>
        <w:t xml:space="preserve">v </w:t>
      </w:r>
      <w:r>
        <w:rPr>
          <w:color w:val="000000"/>
        </w:rPr>
        <w:t>harmonogramoch prác, dodržaní rozpočtovaných nákladov, sledovaním kvality poskytovaných prác, dodržiavania technologických postupov a najmä premysleným projektovým riadením a pravidelnou komunikáciou s odberateľmi nami dodávaných služieb.</w:t>
      </w:r>
    </w:p>
    <w:p>
      <w:pPr>
        <w:pStyle w:val="Normal"/>
        <w:spacing w:lineRule="auto" w:line="240" w:before="0" w:after="120"/>
        <w:ind w:hanging="0"/>
        <w:rPr>
          <w:color w:val="000000"/>
        </w:rPr>
      </w:pPr>
      <w:r>
        <w:rPr/>
      </w:r>
    </w:p>
    <w:p>
      <w:pPr>
        <w:pStyle w:val="Normal"/>
        <w:spacing w:lineRule="auto" w:line="240" w:before="0" w:after="120"/>
        <w:rPr>
          <w:color w:val="000000"/>
        </w:rPr>
      </w:pPr>
      <w:r>
        <w:rPr>
          <w:rFonts w:eastAsia="Calibri" w:cs="Times New Roman"/>
          <w:color w:val="000000"/>
        </w:rPr>
        <w:t>Rovnako ako v prechádzajúcich rokoch jadrom</w:t>
      </w:r>
      <w:r>
        <w:rPr>
          <w:color w:val="000000"/>
        </w:rPr>
        <w:t xml:space="preserve"> získavania nových zákaziek  bolo verejné obstarávanie.</w:t>
      </w:r>
    </w:p>
    <w:p>
      <w:pPr>
        <w:pStyle w:val="Normal"/>
        <w:spacing w:lineRule="auto" w:line="240" w:before="0" w:after="120"/>
        <w:rPr>
          <w:color w:val="FF0000"/>
        </w:rPr>
      </w:pPr>
      <w:r>
        <w:rPr>
          <w:color w:val="000000"/>
        </w:rPr>
        <w:t xml:space="preserve">Zúčastnili sme sa </w:t>
      </w:r>
      <w:r>
        <w:rPr>
          <w:color w:val="FF0000"/>
        </w:rPr>
        <w:t xml:space="preserve">87 </w:t>
      </w:r>
      <w:r>
        <w:rPr>
          <w:color w:val="000000"/>
        </w:rPr>
        <w:t>súťaži čo  bolo o</w:t>
      </w:r>
      <w:r>
        <w:rPr>
          <w:color w:val="FF0000"/>
        </w:rPr>
        <w:t xml:space="preserve"> 62 súťaži menej ako v roku 2019.  Z toho bolo 19  úspešných a 52 neúspešných, čo predstavuje 22 % úspešnosť,  o 8 % nižšiu úspešnosť ako v predchádzajúcom roku. </w:t>
      </w:r>
    </w:p>
    <w:p>
      <w:pPr>
        <w:pStyle w:val="Normal"/>
        <w:spacing w:lineRule="auto" w:line="240" w:before="0" w:after="120"/>
        <w:rPr>
          <w:color w:val="FF0000"/>
        </w:rPr>
      </w:pPr>
      <w:r>
        <w:rPr>
          <w:color w:val="FF0000"/>
        </w:rPr>
        <w:t xml:space="preserve">Okrem toho sme sa zúčastnili 5 tendrov, kde sme dosiahli 100 % úspešnosť. </w:t>
      </w:r>
      <w:bookmarkStart w:id="0" w:name="_Hlk116905749"/>
      <w:bookmarkEnd w:id="0"/>
    </w:p>
    <w:p>
      <w:pPr>
        <w:pStyle w:val="Normal"/>
        <w:ind w:left="720" w:hanging="0"/>
        <w:rPr>
          <w:color w:val="FF0000"/>
        </w:rPr>
      </w:pPr>
      <w:r>
        <w:rPr>
          <w:color w:val="FF0000"/>
        </w:rPr>
      </w:r>
    </w:p>
    <w:p>
      <w:pPr>
        <w:pStyle w:val="Normal"/>
        <w:numPr>
          <w:ilvl w:val="0"/>
          <w:numId w:val="3"/>
        </w:numPr>
        <w:rPr>
          <w:color w:val="FF0000"/>
        </w:rPr>
      </w:pPr>
      <w:r>
        <w:rPr>
          <w:color w:val="FF0000"/>
        </w:rPr>
        <w:t>Ministerstvo vnútra – komplexná údržba a správa budov pre oblasti Žiliny a Banskej Bystrice,</w:t>
      </w:r>
    </w:p>
    <w:p>
      <w:pPr>
        <w:pStyle w:val="Normal"/>
        <w:numPr>
          <w:ilvl w:val="0"/>
          <w:numId w:val="3"/>
        </w:numPr>
        <w:rPr>
          <w:color w:val="FF0000"/>
        </w:rPr>
      </w:pPr>
      <w:r>
        <w:rPr>
          <w:color w:val="FF0000"/>
        </w:rPr>
        <w:t>Ministerstva práce, sociálnych vecí a rodiny, upratovanie objektov v rámci SR,</w:t>
      </w:r>
    </w:p>
    <w:p>
      <w:pPr>
        <w:pStyle w:val="Normal"/>
        <w:numPr>
          <w:ilvl w:val="0"/>
          <w:numId w:val="3"/>
        </w:numPr>
        <w:rPr>
          <w:color w:val="FF0000"/>
        </w:rPr>
      </w:pPr>
      <w:r>
        <w:rPr>
          <w:color w:val="FF0000"/>
        </w:rPr>
        <w:t>Železničná spoločnosť Cargo Slovakia – stavebné a modernizačné práce na ďalších objektoch spravovaných touto spoločnosťou – pri tejto zákazke sme úzko spolupracovali so spoločnosťou EUROSTAVING, s.r.o.</w:t>
      </w:r>
    </w:p>
    <w:p>
      <w:pPr>
        <w:pStyle w:val="Normal"/>
        <w:numPr>
          <w:ilvl w:val="0"/>
          <w:numId w:val="3"/>
        </w:numPr>
        <w:rPr>
          <w:color w:val="FF0000"/>
        </w:rPr>
      </w:pPr>
      <w:r>
        <w:rPr>
          <w:color w:val="FF0000"/>
        </w:rPr>
        <w:t>Ministerstvo obrany SR – letecké kasárne  -  letisko Sliač</w:t>
      </w:r>
    </w:p>
    <w:p>
      <w:pPr>
        <w:pStyle w:val="Normal"/>
        <w:numPr>
          <w:ilvl w:val="0"/>
          <w:numId w:val="3"/>
        </w:numPr>
        <w:rPr>
          <w:color w:val="FF0000"/>
        </w:rPr>
      </w:pPr>
      <w:r>
        <w:rPr>
          <w:color w:val="FF0000"/>
        </w:rPr>
        <w:t>Všeobecná zdravotná poisťovňa – upratovanie vnútorných priestorov,</w:t>
      </w:r>
    </w:p>
    <w:p>
      <w:pPr>
        <w:pStyle w:val="Normal"/>
        <w:numPr>
          <w:ilvl w:val="0"/>
          <w:numId w:val="3"/>
        </w:numPr>
        <w:rPr>
          <w:color w:val="FF0000"/>
        </w:rPr>
      </w:pPr>
      <w:r>
        <w:rPr>
          <w:color w:val="FF0000"/>
        </w:rPr>
        <w:t>Oprava a rekonštrukcia historickej pamiatky Kostola svätej Alžbety v Banskej Bystrici</w:t>
      </w:r>
    </w:p>
    <w:p>
      <w:pPr>
        <w:pStyle w:val="Normal"/>
        <w:numPr>
          <w:ilvl w:val="0"/>
          <w:numId w:val="3"/>
        </w:numPr>
        <w:rPr>
          <w:color w:val="FF0000"/>
        </w:rPr>
      </w:pPr>
      <w:r>
        <w:rPr>
          <w:color w:val="FF0000"/>
        </w:rPr>
        <w:t>Ministerstvo obrany SR – NATO NSIP – rekonštrukcia objektu</w:t>
      </w:r>
    </w:p>
    <w:p>
      <w:pPr>
        <w:pStyle w:val="Normal"/>
        <w:numPr>
          <w:ilvl w:val="0"/>
          <w:numId w:val="3"/>
        </w:numPr>
        <w:rPr>
          <w:color w:val="FF0000"/>
        </w:rPr>
      </w:pPr>
      <w:r>
        <w:rPr>
          <w:color w:val="FF0000"/>
        </w:rPr>
        <w:t>Akadémia umení v Banskej Bystrici  – stavebné práce</w:t>
      </w:r>
    </w:p>
    <w:p>
      <w:pPr>
        <w:pStyle w:val="Normal"/>
        <w:numPr>
          <w:ilvl w:val="0"/>
          <w:numId w:val="3"/>
        </w:numPr>
        <w:rPr>
          <w:color w:val="FF0000"/>
        </w:rPr>
      </w:pPr>
      <w:r>
        <w:rPr>
          <w:color w:val="FF0000"/>
        </w:rPr>
        <w:t>a ďalšie iné zákazky s nízkymi hodnotami.</w:t>
      </w:r>
    </w:p>
    <w:p>
      <w:pPr>
        <w:pStyle w:val="Normal"/>
        <w:rPr>
          <w:color w:val="FF0000"/>
        </w:rPr>
      </w:pPr>
      <w:r>
        <w:rPr>
          <w:color w:val="FF0000"/>
        </w:rPr>
      </w:r>
    </w:p>
    <w:p>
      <w:pPr>
        <w:pStyle w:val="Normal"/>
        <w:rPr>
          <w:color w:val="000000"/>
        </w:rPr>
      </w:pPr>
      <w:r>
        <w:rPr>
          <w:color w:val="000000"/>
        </w:rPr>
        <w:t xml:space="preserve">Okrem verejných obstarávaní pre verejný sektor - MV SR, MPSVaR, ŽS Cargo Slovakia, VšZP sme veľmi </w:t>
      </w:r>
      <w:r>
        <w:rPr>
          <w:color w:val="000000"/>
        </w:rPr>
        <w:t xml:space="preserve">sme pracovali </w:t>
      </w:r>
      <w:r>
        <w:rPr>
          <w:color w:val="000000"/>
        </w:rPr>
        <w:t>na obnov</w:t>
      </w:r>
      <w:r>
        <w:rPr>
          <w:color w:val="000000"/>
        </w:rPr>
        <w:t>e</w:t>
      </w:r>
      <w:r>
        <w:rPr>
          <w:color w:val="000000"/>
        </w:rPr>
        <w:t xml:space="preserve"> Kostola svätej Alžbety v Banskej Bystrici,  </w:t>
      </w:r>
      <w:r>
        <w:rPr>
          <w:color w:val="000000"/>
        </w:rPr>
        <w:t>ktorú sme začali už v  roku</w:t>
      </w:r>
      <w:r>
        <w:rPr>
          <w:color w:val="000000"/>
        </w:rPr>
        <w:t xml:space="preserve"> 2020. </w:t>
      </w:r>
      <w:r>
        <w:rPr>
          <w:color w:val="000000"/>
        </w:rPr>
        <w:t>Je to už druhý historický objekt, ktorého obnovu realiz</w:t>
      </w:r>
      <w:r>
        <w:rPr>
          <w:color w:val="000000"/>
        </w:rPr>
        <w:t>ovala</w:t>
      </w:r>
      <w:r>
        <w:rPr>
          <w:color w:val="000000"/>
        </w:rPr>
        <w:t xml:space="preserve"> naša spoločnosť. </w:t>
      </w:r>
    </w:p>
    <w:p>
      <w:pPr>
        <w:pStyle w:val="Normal"/>
        <w:rPr>
          <w:color w:val="000000"/>
        </w:rPr>
      </w:pPr>
      <w:r>
        <w:rPr>
          <w:color w:val="000000"/>
        </w:rPr>
        <w:t xml:space="preserve">Ďalšími bežnými prácami boli práce v priestoroch Študentského domova Akadémie umení v Banskej Bystrici </w:t>
      </w:r>
      <w:r>
        <w:rPr>
          <w:color w:val="000000"/>
        </w:rPr>
        <w:t>a práce pre MV SR na údržbe budov časti Banská Bystrica a Žilina.</w:t>
      </w:r>
    </w:p>
    <w:p>
      <w:pPr>
        <w:pStyle w:val="Normal"/>
        <w:rPr/>
      </w:pPr>
      <w:r>
        <w:rPr/>
        <w:t>Najdlhšiu históriu máme v poskytovaní upratovacích prác, v čom aj naďalej naša spoločnosť pokračuje. Tieto práce vykonávame dlhé roky vlastnými zamestnancami. Keďže ide o nezaujímavú  prácu a platenú väčšinou na úrovni minimálnej mzdy, je o výkon tejto práce malý záujem. Práca je vykonávaná na základe dohôd mimo pracovný pomer a je tu pomerne vysoká fluktuácia, čo automaticky kladie oveľa väčšie nároky na managerov, ktorí fungovanie týchto služieb zabezpečujú.</w:t>
      </w:r>
    </w:p>
    <w:p>
      <w:pPr>
        <w:pStyle w:val="Normal"/>
        <w:rPr/>
      </w:pPr>
      <w:r>
        <w:rPr/>
        <w:t xml:space="preserve">Dôležitosť tejto podceňovanej práce bola potvrdená aj počas pandémie Covid 19, ktorá si vyžadovala dodržiavanie </w:t>
      </w:r>
      <w:r>
        <w:rPr/>
        <w:t>mimoriadnej hygieny</w:t>
      </w:r>
      <w:r>
        <w:rPr/>
        <w:t xml:space="preserve"> na pracoviskách a práve preto sa zvýšila frekvencia umývania a dezinfekcia vnútorných priestorov budov a ich zariadení. Z toho dôvodu bolo organizačne náročné zabezpečiť dostatok dezinfekčných prostriedkov, ktoré boli v určitom období aj nedostatkovým tovarom.</w:t>
      </w:r>
    </w:p>
    <w:p>
      <w:pPr>
        <w:pStyle w:val="Normal"/>
        <w:rPr>
          <w:color w:val="000000"/>
        </w:rPr>
      </w:pPr>
      <w:r>
        <w:rPr>
          <w:color w:val="000000"/>
        </w:rPr>
        <w:t>Od roku 2020</w:t>
      </w:r>
      <w:r>
        <w:rPr>
          <w:color w:val="000000"/>
        </w:rPr>
        <w:t xml:space="preserve"> poskytujeme pre Plaváreň Štiavničky upratovacie služby.  Práve tu </w:t>
      </w:r>
      <w:r>
        <w:rPr>
          <w:color w:val="000000"/>
        </w:rPr>
        <w:t>sa najviac prejavil vplyv opatrení počas pandémie Covid 19</w:t>
      </w:r>
      <w:r>
        <w:rPr>
          <w:color w:val="000000"/>
        </w:rPr>
        <w:t xml:space="preserve"> - uzatvorenie prevádzky, čo </w:t>
      </w:r>
      <w:r>
        <w:rPr>
          <w:color w:val="000000"/>
        </w:rPr>
        <w:t>znamenalo prekážku v práci zo strany zamestnávateľa</w:t>
      </w:r>
      <w:r>
        <w:rPr>
          <w:color w:val="000000"/>
        </w:rPr>
        <w:t xml:space="preserve"> s 80 % náhradou mzdy. </w:t>
      </w:r>
      <w:r>
        <w:rPr>
          <w:color w:val="000000"/>
        </w:rPr>
        <w:t>V tejto situácii pomohla štátna pomoc, ktorá aspoň čiastočne pokryla stratu z uzatvorenia prevádzky.</w:t>
      </w:r>
    </w:p>
    <w:p>
      <w:pPr>
        <w:pStyle w:val="Normal"/>
        <w:rPr/>
      </w:pPr>
      <w:r>
        <w:rPr>
          <w:color w:val="000000"/>
        </w:rPr>
        <w:t xml:space="preserve">Finančná stabilita spoločnosti v roku 2021 utrpela a príspevky Prvej pomoci plus od štátu pomohli riadiť finančný chod spoločnosti tak, </w:t>
      </w:r>
      <w:r>
        <w:rPr>
          <w:color w:val="000000"/>
        </w:rPr>
        <w:t xml:space="preserve">aby sme načas uhrádzali všetky svoje záväzky v prvom rade voči štátu, zamestnancom a obchodným partnerom. </w:t>
      </w:r>
      <w:r>
        <w:rPr>
          <w:color w:val="000000"/>
        </w:rPr>
        <w:t>Značnou mierou k tomu dopomohli aj naši obchodní partneri – odberatelia, ktorí si svoje záväzky voči nám plnili  tiež v dohodnutých termínoch.</w:t>
      </w:r>
    </w:p>
    <w:p>
      <w:pPr>
        <w:pStyle w:val="Normal"/>
        <w:rPr/>
      </w:pPr>
      <w:r>
        <w:rPr/>
        <w:t xml:space="preserve">Hospodársky výsledok spoločnosti sa zlepšil oproti predchádzajúcemu roku, takže za odvedenú vysoko kvalifikovanú riadiacu, organizačnú a odbornú činnosť chcem poďakovať v prvom rade vedeniu spoločnosti na čele s konateľom spoločnosti, ktorí sa snažili v pretrvávajúcom náročnom období dať maximum pre udržanie chodu spoločnosti ako celku. </w:t>
      </w:r>
    </w:p>
    <w:p>
      <w:pPr>
        <w:pStyle w:val="Normal"/>
        <w:rPr>
          <w:color w:val="000000"/>
        </w:rPr>
      </w:pPr>
      <w:r>
        <w:rPr>
          <w:color w:val="000000"/>
        </w:rPr>
        <w:t xml:space="preserve">Poďakovanie patrí aj všetkým zamestnancom spoločnosti, </w:t>
      </w:r>
      <w:r>
        <w:rPr>
          <w:color w:val="000000"/>
        </w:rPr>
        <w:t>ktorých nasadenie a dobre vykonávaná práca pomohli</w:t>
      </w:r>
      <w:r>
        <w:rPr>
          <w:color w:val="000000"/>
        </w:rPr>
        <w:t xml:space="preserve"> dosiah</w:t>
      </w:r>
      <w:r>
        <w:rPr>
          <w:color w:val="000000"/>
        </w:rPr>
        <w:t xml:space="preserve">nuť </w:t>
      </w:r>
      <w:r>
        <w:rPr>
          <w:color w:val="000000"/>
        </w:rPr>
        <w:t>lepšie výsledky v tomto roku.</w:t>
      </w:r>
    </w:p>
    <w:p>
      <w:pPr>
        <w:pStyle w:val="Normal"/>
        <w:rPr>
          <w:color w:val="000000"/>
        </w:rPr>
      </w:pPr>
      <w:r>
        <w:rPr>
          <w:color w:val="000000"/>
        </w:rPr>
        <w:t xml:space="preserve">Vyjadrujeme vďaku aj </w:t>
      </w:r>
      <w:r>
        <w:rPr>
          <w:color w:val="000000"/>
        </w:rPr>
        <w:t xml:space="preserve">našim obchodným partnerom za ich obchodnú spoluprácu aj počas tohto roka a verím, že obdobie, ktorým sme prešli, naše vzťahy udržalo </w:t>
      </w:r>
      <w:r>
        <w:rPr>
          <w:color w:val="000000"/>
        </w:rPr>
        <w:t xml:space="preserve">a </w:t>
      </w:r>
      <w:r>
        <w:rPr>
          <w:color w:val="000000"/>
        </w:rPr>
        <w:t>obojstranne posilnilo  pre ďalšiu spoluprácu.</w:t>
      </w:r>
    </w:p>
    <w:p>
      <w:pPr>
        <w:pStyle w:val="Normal"/>
        <w:rPr>
          <w:color w:val="FF0000"/>
        </w:rPr>
      </w:pPr>
      <w:r>
        <w:rPr>
          <w:color w:val="FF0000"/>
        </w:rPr>
      </w:r>
    </w:p>
    <w:p>
      <w:pPr>
        <w:pStyle w:val="Normal"/>
        <w:rPr/>
      </w:pPr>
      <w:r>
        <w:rPr/>
        <w:t>Identifikačné údaje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Obchodné meno: PRIMA INVEST, spol. s r.o.</w:t>
      </w:r>
    </w:p>
    <w:p>
      <w:pPr>
        <w:pStyle w:val="Normal"/>
        <w:rPr/>
      </w:pPr>
      <w:r>
        <w:rPr/>
        <w:t>Právna forma: spoločnosť s ručením obmedzeným</w:t>
      </w:r>
    </w:p>
    <w:p>
      <w:pPr>
        <w:pStyle w:val="Normal"/>
        <w:rPr/>
      </w:pPr>
      <w:r>
        <w:rPr/>
        <w:t>Sídlo spoločnosti: Bakossova 60, 974 01 Banská Bystrica</w:t>
      </w:r>
    </w:p>
    <w:p>
      <w:pPr>
        <w:pStyle w:val="Normal"/>
        <w:rPr>
          <w:color w:val="FF0000"/>
        </w:rPr>
      </w:pPr>
      <w:r>
        <w:rPr>
          <w:color w:val="FF0000"/>
        </w:rPr>
      </w:r>
    </w:p>
    <w:p>
      <w:pPr>
        <w:pStyle w:val="Normal"/>
        <w:rPr/>
      </w:pPr>
      <w:r>
        <w:rPr/>
        <w:t>Dátum vzniku: 14. 02. 1996</w:t>
      </w:r>
    </w:p>
    <w:p>
      <w:pPr>
        <w:pStyle w:val="Normal"/>
        <w:rPr/>
      </w:pPr>
      <w:r>
        <w:rPr/>
        <w:t>IČO: 31644791</w:t>
      </w:r>
    </w:p>
    <w:p>
      <w:pPr>
        <w:pStyle w:val="Normal"/>
        <w:rPr/>
      </w:pPr>
      <w:r>
        <w:rPr/>
        <w:t>DIČ: 2020457450</w:t>
      </w:r>
    </w:p>
    <w:p>
      <w:pPr>
        <w:pStyle w:val="Normal"/>
        <w:rPr>
          <w:color w:val="FF0000"/>
        </w:rPr>
      </w:pPr>
      <w:r>
        <w:rPr>
          <w:color w:val="FF0000"/>
        </w:rPr>
      </w:r>
    </w:p>
    <w:p>
      <w:pPr>
        <w:pStyle w:val="Normal"/>
        <w:rPr/>
      </w:pPr>
      <w:r>
        <w:rPr/>
        <w:t>Spoločnosť zapísaná v Obchodnom registri Okresného súdu v Banskej Bystrici</w:t>
      </w:r>
    </w:p>
    <w:p>
      <w:pPr>
        <w:pStyle w:val="Normal"/>
        <w:rPr/>
      </w:pPr>
      <w:r>
        <w:rPr/>
        <w:t>Oddiel: Sro. , Vložka číslo 3318/S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Kontakt:</w:t>
      </w:r>
    </w:p>
    <w:p>
      <w:pPr>
        <w:pStyle w:val="Normal"/>
        <w:rPr/>
      </w:pPr>
      <w:r>
        <w:rPr/>
        <w:t xml:space="preserve"> </w:t>
      </w:r>
      <w:r>
        <w:rPr/>
        <w:t>telefónne číslo: 048/4700230</w:t>
      </w:r>
    </w:p>
    <w:p>
      <w:pPr>
        <w:pStyle w:val="Normal"/>
        <w:rPr/>
      </w:pPr>
      <w:r>
        <w:rPr/>
        <w:t xml:space="preserve">e-mail: </w:t>
      </w:r>
      <w:hyperlink r:id="rId2">
        <w:r>
          <w:rPr>
            <w:rStyle w:val="Internetovodkaz"/>
            <w:color w:val="auto"/>
          </w:rPr>
          <w:t>primainvest@primainvest.eu</w:t>
        </w:r>
      </w:hyperlink>
    </w:p>
    <w:p>
      <w:pPr>
        <w:pStyle w:val="Normal"/>
        <w:rPr/>
      </w:pPr>
      <w:hyperlink r:id="rId3">
        <w:r>
          <w:rPr>
            <w:rStyle w:val="Internetovodkaz"/>
            <w:color w:val="auto"/>
          </w:rPr>
          <w:t>www.primainvest.eu</w:t>
        </w:r>
      </w:hyperlink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Majiteľ spoločnosti: Ing. Ľubomír Vaňo</w:t>
      </w:r>
    </w:p>
    <w:p>
      <w:pPr>
        <w:pStyle w:val="Normal"/>
        <w:rPr/>
      </w:pPr>
      <w:r>
        <w:rPr/>
        <w:t>Konateľ  spoločnosti:  Ing. Jaroslav Valko</w:t>
      </w:r>
    </w:p>
    <w:p>
      <w:pPr>
        <w:pStyle w:val="Normal"/>
        <w:rPr>
          <w:color w:val="FF0000"/>
        </w:rPr>
      </w:pPr>
      <w:r>
        <w:rPr>
          <w:color w:val="FF0000"/>
        </w:rPr>
        <w:t xml:space="preserve">                                        </w:t>
      </w:r>
    </w:p>
    <w:p>
      <w:pPr>
        <w:pStyle w:val="Normal"/>
        <w:rPr>
          <w:color w:val="FF0000"/>
        </w:rPr>
      </w:pPr>
      <w:r>
        <w:rPr>
          <w:color w:val="FF0000"/>
        </w:rPr>
      </w:r>
    </w:p>
    <w:p>
      <w:pPr>
        <w:pStyle w:val="Normal"/>
        <w:rPr>
          <w:color w:val="FF0000"/>
        </w:rPr>
      </w:pPr>
      <w:r>
        <w:rPr>
          <w:color w:val="FF0000"/>
        </w:rPr>
      </w:r>
    </w:p>
    <w:p>
      <w:pPr>
        <w:pStyle w:val="Normal"/>
        <w:rPr>
          <w:color w:val="FF0000"/>
        </w:rPr>
      </w:pPr>
      <w:r>
        <w:rPr>
          <w:color w:val="FF0000"/>
        </w:rPr>
      </w:r>
    </w:p>
    <w:p>
      <w:pPr>
        <w:pStyle w:val="Normal"/>
        <w:rPr>
          <w:color w:val="FF0000"/>
        </w:rPr>
      </w:pPr>
      <w:r>
        <w:rPr>
          <w:color w:val="FF0000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  <w:t>Vývoj hospodárenia za rok 202</w:t>
      </w:r>
      <w:r>
        <w:rPr>
          <w:color w:val="000000" w:themeColor="text1"/>
        </w:rPr>
        <w:t>1</w:t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tbl>
      <w:tblPr>
        <w:tblW w:w="9980" w:type="dxa"/>
        <w:jc w:val="left"/>
        <w:tblInd w:w="8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4199"/>
        <w:gridCol w:w="1601"/>
        <w:gridCol w:w="1600"/>
        <w:gridCol w:w="1360"/>
        <w:gridCol w:w="1220"/>
      </w:tblGrid>
      <w:tr>
        <w:trPr>
          <w:trHeight w:val="300" w:hRule="atLeast"/>
        </w:trPr>
        <w:tc>
          <w:tcPr>
            <w:tcW w:w="419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</w:rPr>
              <w:t>Základné ukazovatele</w:t>
            </w:r>
          </w:p>
        </w:tc>
        <w:tc>
          <w:tcPr>
            <w:tcW w:w="1601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</w:rPr>
              <w:t>rok 202</w:t>
            </w:r>
            <w:r>
              <w:rPr>
                <w:rFonts w:cs="Calibri"/>
                <w:b/>
                <w:bCs/>
                <w:color w:val="000000"/>
              </w:rPr>
              <w:t>1</w:t>
            </w:r>
          </w:p>
        </w:tc>
        <w:tc>
          <w:tcPr>
            <w:tcW w:w="160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</w:rPr>
              <w:t>rok 20</w:t>
            </w:r>
            <w:r>
              <w:rPr>
                <w:rFonts w:cs="Calibri"/>
                <w:b/>
                <w:bCs/>
                <w:color w:val="000000"/>
              </w:rPr>
              <w:t>20</w:t>
            </w:r>
          </w:p>
        </w:tc>
        <w:tc>
          <w:tcPr>
            <w:tcW w:w="136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</w:rPr>
              <w:t xml:space="preserve">rozdiel </w:t>
            </w:r>
          </w:p>
        </w:tc>
        <w:tc>
          <w:tcPr>
            <w:tcW w:w="1220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</w:rPr>
              <w:t>index</w:t>
            </w:r>
          </w:p>
        </w:tc>
      </w:tr>
      <w:tr>
        <w:trPr>
          <w:trHeight w:val="300" w:hRule="atLeast"/>
        </w:trPr>
        <w:tc>
          <w:tcPr>
            <w:tcW w:w="4199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</w:rPr>
              <w:t>Výsledok hospodárenia  za obdobie</w:t>
            </w:r>
          </w:p>
        </w:tc>
        <w:tc>
          <w:tcPr>
            <w:tcW w:w="160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</w:rPr>
            </w:r>
          </w:p>
        </w:tc>
        <w:tc>
          <w:tcPr>
            <w:tcW w:w="160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</w:rPr>
              <w:t>-5 635</w:t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cs="Calibri"/>
                <w:color w:val="FF0000"/>
              </w:rPr>
            </w:pPr>
            <w:r>
              <w:rPr>
                <w:rFonts w:cs="Calibri"/>
                <w:color w:val="FF0000"/>
              </w:rPr>
              <w:t>-454 703</w:t>
            </w:r>
          </w:p>
        </w:tc>
        <w:tc>
          <w:tcPr>
            <w:tcW w:w="1220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cs="Calibri"/>
                <w:color w:val="FF0000"/>
              </w:rPr>
            </w:pPr>
            <w:r>
              <w:rPr>
                <w:rFonts w:cs="Calibri"/>
                <w:color w:val="FF0000"/>
              </w:rPr>
              <w:t>-1,25</w:t>
            </w:r>
          </w:p>
        </w:tc>
      </w:tr>
      <w:tr>
        <w:trPr>
          <w:trHeight w:val="300" w:hRule="atLeast"/>
        </w:trPr>
        <w:tc>
          <w:tcPr>
            <w:tcW w:w="4199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</w:rPr>
              <w:t>z toho: výsledok hosp. z hosp.činnosti</w:t>
            </w:r>
          </w:p>
        </w:tc>
        <w:tc>
          <w:tcPr>
            <w:tcW w:w="160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</w:rPr>
            </w:r>
          </w:p>
        </w:tc>
        <w:tc>
          <w:tcPr>
            <w:tcW w:w="160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</w:rPr>
              <w:t>50 067</w:t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cs="Calibri"/>
                <w:color w:val="FF0000"/>
              </w:rPr>
            </w:pPr>
            <w:r>
              <w:rPr>
                <w:rFonts w:cs="Calibri"/>
                <w:color w:val="FF0000"/>
              </w:rPr>
              <w:t>-587 288</w:t>
            </w:r>
          </w:p>
        </w:tc>
        <w:tc>
          <w:tcPr>
            <w:tcW w:w="1220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cs="Calibri"/>
                <w:color w:val="FF0000"/>
              </w:rPr>
            </w:pPr>
            <w:r>
              <w:rPr>
                <w:rFonts w:cs="Calibri"/>
                <w:color w:val="FF0000"/>
              </w:rPr>
              <w:t>7,86</w:t>
            </w:r>
          </w:p>
        </w:tc>
      </w:tr>
      <w:tr>
        <w:trPr>
          <w:trHeight w:val="300" w:hRule="atLeast"/>
        </w:trPr>
        <w:tc>
          <w:tcPr>
            <w:tcW w:w="4199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</w:rPr>
              <w:t>Výsledok hosp. z fin.činnosti</w:t>
            </w:r>
          </w:p>
        </w:tc>
        <w:tc>
          <w:tcPr>
            <w:tcW w:w="160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</w:rPr>
            </w:r>
          </w:p>
        </w:tc>
        <w:tc>
          <w:tcPr>
            <w:tcW w:w="160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</w:rPr>
              <w:t>-51 488</w:t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cs="Calibri"/>
                <w:color w:val="FF0000"/>
              </w:rPr>
            </w:pPr>
            <w:r>
              <w:rPr>
                <w:rFonts w:cs="Calibri"/>
                <w:color w:val="FF0000"/>
              </w:rPr>
              <w:t>3 867</w:t>
            </w:r>
          </w:p>
        </w:tc>
        <w:tc>
          <w:tcPr>
            <w:tcW w:w="1220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cs="Calibri"/>
                <w:color w:val="FF0000"/>
              </w:rPr>
            </w:pPr>
            <w:r>
              <w:rPr>
                <w:rFonts w:cs="Calibri"/>
                <w:color w:val="FF0000"/>
              </w:rPr>
              <w:t>93,01</w:t>
            </w:r>
          </w:p>
        </w:tc>
      </w:tr>
      <w:tr>
        <w:trPr>
          <w:trHeight w:val="300" w:hRule="atLeast"/>
        </w:trPr>
        <w:tc>
          <w:tcPr>
            <w:tcW w:w="4199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</w:rPr>
              <w:t>Tržby z predaja vlastných výrob.a služieb</w:t>
            </w:r>
          </w:p>
        </w:tc>
        <w:tc>
          <w:tcPr>
            <w:tcW w:w="160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</w:rPr>
            </w:r>
          </w:p>
        </w:tc>
        <w:tc>
          <w:tcPr>
            <w:tcW w:w="160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</w:rPr>
              <w:t>4 958 800</w:t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cs="Calibri"/>
                <w:color w:val="FF0000"/>
              </w:rPr>
            </w:pPr>
            <w:r>
              <w:rPr>
                <w:rFonts w:cs="Calibri"/>
                <w:color w:val="FF0000"/>
              </w:rPr>
              <w:t>-3 688 669</w:t>
            </w:r>
          </w:p>
        </w:tc>
        <w:tc>
          <w:tcPr>
            <w:tcW w:w="1220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cs="Calibri"/>
                <w:color w:val="FF0000"/>
              </w:rPr>
            </w:pPr>
            <w:r>
              <w:rPr>
                <w:rFonts w:cs="Calibri"/>
                <w:color w:val="FF0000"/>
              </w:rPr>
              <w:t>57,34</w:t>
            </w:r>
          </w:p>
        </w:tc>
      </w:tr>
      <w:tr>
        <w:trPr>
          <w:trHeight w:val="300" w:hRule="atLeast"/>
        </w:trPr>
        <w:tc>
          <w:tcPr>
            <w:tcW w:w="4199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</w:rPr>
              <w:t xml:space="preserve">Výrobná spotreba </w:t>
            </w:r>
          </w:p>
        </w:tc>
        <w:tc>
          <w:tcPr>
            <w:tcW w:w="160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</w:rPr>
            </w:r>
          </w:p>
        </w:tc>
        <w:tc>
          <w:tcPr>
            <w:tcW w:w="160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</w:rPr>
              <w:t>3 797 169</w:t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cs="Calibri"/>
                <w:color w:val="FF0000"/>
              </w:rPr>
            </w:pPr>
            <w:r>
              <w:rPr>
                <w:rFonts w:cs="Calibri"/>
                <w:color w:val="FF0000"/>
              </w:rPr>
              <w:t>-3 124 565</w:t>
            </w:r>
          </w:p>
        </w:tc>
        <w:tc>
          <w:tcPr>
            <w:tcW w:w="1220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cs="Calibri"/>
                <w:color w:val="FF0000"/>
              </w:rPr>
            </w:pPr>
            <w:r>
              <w:rPr>
                <w:rFonts w:cs="Calibri"/>
                <w:color w:val="FF0000"/>
              </w:rPr>
              <w:t>54,86</w:t>
            </w:r>
          </w:p>
        </w:tc>
      </w:tr>
      <w:tr>
        <w:trPr>
          <w:trHeight w:val="300" w:hRule="atLeast"/>
        </w:trPr>
        <w:tc>
          <w:tcPr>
            <w:tcW w:w="4199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</w:rPr>
              <w:t xml:space="preserve">Osobné náklady </w:t>
            </w:r>
          </w:p>
        </w:tc>
        <w:tc>
          <w:tcPr>
            <w:tcW w:w="160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</w:rPr>
            </w:r>
          </w:p>
        </w:tc>
        <w:tc>
          <w:tcPr>
            <w:tcW w:w="160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</w:rPr>
              <w:t>1 125 293</w:t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cs="Calibri"/>
                <w:color w:val="FF0000"/>
              </w:rPr>
            </w:pPr>
            <w:r>
              <w:rPr>
                <w:rFonts w:cs="Calibri"/>
                <w:color w:val="FF0000"/>
              </w:rPr>
              <w:t>42 609</w:t>
            </w:r>
          </w:p>
        </w:tc>
        <w:tc>
          <w:tcPr>
            <w:tcW w:w="1220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cs="Calibri"/>
                <w:color w:val="FF0000"/>
              </w:rPr>
            </w:pPr>
            <w:r>
              <w:rPr>
                <w:rFonts w:cs="Calibri"/>
                <w:color w:val="FF0000"/>
              </w:rPr>
              <w:t>103,94</w:t>
            </w:r>
          </w:p>
        </w:tc>
      </w:tr>
      <w:tr>
        <w:trPr>
          <w:trHeight w:val="300" w:hRule="atLeast"/>
        </w:trPr>
        <w:tc>
          <w:tcPr>
            <w:tcW w:w="4199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</w:rPr>
              <w:t>Pohľadávky z obchodného styku</w:t>
            </w:r>
          </w:p>
        </w:tc>
        <w:tc>
          <w:tcPr>
            <w:tcW w:w="160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</w:rPr>
            </w:r>
          </w:p>
        </w:tc>
        <w:tc>
          <w:tcPr>
            <w:tcW w:w="160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</w:rPr>
              <w:t>3 240 024</w:t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cs="Calibri"/>
                <w:color w:val="FF0000"/>
              </w:rPr>
            </w:pPr>
            <w:r>
              <w:rPr>
                <w:rFonts w:cs="Calibri"/>
                <w:color w:val="FF0000"/>
              </w:rPr>
              <w:t>1 628 757</w:t>
            </w:r>
          </w:p>
        </w:tc>
        <w:tc>
          <w:tcPr>
            <w:tcW w:w="1220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cs="Calibri"/>
                <w:color w:val="FF0000"/>
              </w:rPr>
            </w:pPr>
            <w:r>
              <w:rPr>
                <w:rFonts w:cs="Calibri"/>
                <w:color w:val="FF0000"/>
              </w:rPr>
              <w:t>201,09</w:t>
            </w:r>
          </w:p>
        </w:tc>
      </w:tr>
      <w:tr>
        <w:trPr>
          <w:trHeight w:val="300" w:hRule="atLeast"/>
        </w:trPr>
        <w:tc>
          <w:tcPr>
            <w:tcW w:w="4199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</w:rPr>
              <w:t>Záväzky z obchodného styku</w:t>
            </w:r>
          </w:p>
        </w:tc>
        <w:tc>
          <w:tcPr>
            <w:tcW w:w="160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</w:rPr>
            </w:r>
          </w:p>
        </w:tc>
        <w:tc>
          <w:tcPr>
            <w:tcW w:w="160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</w:rPr>
              <w:t>537 242</w:t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cs="Calibri"/>
                <w:color w:val="FF0000"/>
              </w:rPr>
            </w:pPr>
            <w:r>
              <w:rPr>
                <w:rFonts w:cs="Calibri"/>
                <w:color w:val="FF0000"/>
              </w:rPr>
              <w:t>-45 207</w:t>
            </w:r>
          </w:p>
        </w:tc>
        <w:tc>
          <w:tcPr>
            <w:tcW w:w="1220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cs="Calibri"/>
                <w:color w:val="FF0000"/>
              </w:rPr>
            </w:pPr>
            <w:r>
              <w:rPr>
                <w:rFonts w:cs="Calibri"/>
                <w:color w:val="FF0000"/>
              </w:rPr>
              <w:t>92,24</w:t>
            </w:r>
          </w:p>
        </w:tc>
      </w:tr>
      <w:tr>
        <w:trPr>
          <w:trHeight w:val="315" w:hRule="atLeast"/>
        </w:trPr>
        <w:tc>
          <w:tcPr>
            <w:tcW w:w="4199" w:type="dxa"/>
            <w:tcBorders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</w:rPr>
              <w:t>Vlastné imanie</w:t>
            </w:r>
          </w:p>
        </w:tc>
        <w:tc>
          <w:tcPr>
            <w:tcW w:w="1601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</w:rPr>
            </w:r>
          </w:p>
        </w:tc>
        <w:tc>
          <w:tcPr>
            <w:tcW w:w="1600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</w:rPr>
              <w:t>3 931 778</w:t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cs="Calibri"/>
                <w:color w:val="FF0000"/>
              </w:rPr>
            </w:pPr>
            <w:r>
              <w:rPr>
                <w:rFonts w:cs="Calibri"/>
                <w:color w:val="FF0000"/>
              </w:rPr>
              <w:t>-5 636</w:t>
            </w:r>
          </w:p>
        </w:tc>
        <w:tc>
          <w:tcPr>
            <w:tcW w:w="1220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cs="Calibri"/>
                <w:color w:val="FF0000"/>
              </w:rPr>
            </w:pPr>
            <w:r>
              <w:rPr>
                <w:rFonts w:cs="Calibri"/>
                <w:color w:val="FF0000"/>
              </w:rPr>
              <w:t>99,86</w:t>
            </w:r>
          </w:p>
        </w:tc>
      </w:tr>
    </w:tbl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  <w:t>Jedným z hlavných ukazovateľov hospodárenia za rok 202</w:t>
      </w:r>
      <w:r>
        <w:rPr>
          <w:color w:val="000000" w:themeColor="text1"/>
        </w:rPr>
        <w:t>1</w:t>
      </w:r>
      <w:r>
        <w:rPr>
          <w:color w:val="000000" w:themeColor="text1"/>
        </w:rPr>
        <w:t xml:space="preserve"> je výsledok hospodárenia – </w:t>
      </w:r>
      <w:r>
        <w:rPr>
          <w:color w:val="000000" w:themeColor="text1"/>
        </w:rPr>
        <w:t>zisk</w:t>
      </w:r>
      <w:r>
        <w:rPr>
          <w:color w:val="000000" w:themeColor="text1"/>
        </w:rPr>
        <w:t xml:space="preserve"> vo výške </w:t>
      </w:r>
      <w:r>
        <w:rPr>
          <w:color w:val="FF0000"/>
        </w:rPr>
        <w:t>5 635</w:t>
      </w:r>
      <w:r>
        <w:rPr>
          <w:rFonts w:eastAsia="Times New Roman" w:cs="Calibri"/>
          <w:color w:val="FF0000"/>
          <w:lang w:eastAsia="sk-SK"/>
        </w:rPr>
        <w:t xml:space="preserve">,-  EUR, čo je pokles zisku o 454 703,- EUR a o 125 % oproti roku 2019. </w:t>
      </w:r>
    </w:p>
    <w:p>
      <w:pPr>
        <w:pStyle w:val="Normal"/>
        <w:rPr>
          <w:color w:val="FF0000"/>
        </w:rPr>
      </w:pPr>
      <w:r>
        <w:rPr>
          <w:rFonts w:eastAsia="Times New Roman" w:cs="Calibri"/>
          <w:color w:val="FF0000"/>
          <w:lang w:eastAsia="sk-SK"/>
        </w:rPr>
        <w:t>Strata za rok 2020 bola spôsobená predovšetkým poklesom tržieb z predaja vlastných výrobkov a služieb vo všetkých činnostiach spoločnosti. Pokles tržieb bol 3 688 669,- EUR, čo predstavuje pokles o 42,66 %</w:t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  <w:t xml:space="preserve"> </w:t>
      </w:r>
      <w:r>
        <w:rPr>
          <w:color w:val="000000" w:themeColor="text1"/>
        </w:rPr>
        <w:t>Podiel jednotlivých výrobných činnosti na celkových tržbách spoločnosti:</w:t>
      </w:r>
    </w:p>
    <w:p>
      <w:pPr>
        <w:pStyle w:val="NoSpacing"/>
        <w:numPr>
          <w:ilvl w:val="0"/>
          <w:numId w:val="3"/>
        </w:numPr>
        <w:ind w:left="426" w:hanging="360"/>
        <w:rPr>
          <w:color w:val="000000" w:themeColor="text1"/>
        </w:rPr>
      </w:pPr>
      <w:r>
        <w:rPr>
          <w:color w:val="000000" w:themeColor="text1"/>
        </w:rPr>
        <w:t xml:space="preserve">Tržby zo stavebnej činnosti a komplexnej správy </w:t>
      </w:r>
    </w:p>
    <w:p>
      <w:pPr>
        <w:pStyle w:val="NoSpacing"/>
        <w:rPr>
          <w:color w:val="000000" w:themeColor="text1"/>
        </w:rPr>
      </w:pPr>
      <w:r>
        <w:rPr>
          <w:color w:val="000000" w:themeColor="text1"/>
        </w:rPr>
        <w:t xml:space="preserve">         </w:t>
      </w:r>
      <w:r>
        <w:rPr>
          <w:color w:val="000000" w:themeColor="text1"/>
        </w:rPr>
        <w:t xml:space="preserve">budov      </w:t>
        <w:tab/>
        <w:tab/>
        <w:tab/>
        <w:tab/>
        <w:tab/>
        <w:tab/>
        <w:t xml:space="preserve">                </w:t>
      </w:r>
      <w:r>
        <w:rPr>
          <w:color w:val="FF0000"/>
        </w:rPr>
        <w:t xml:space="preserve">72,69 %  </w:t>
      </w:r>
      <w:r>
        <w:rPr>
          <w:color w:val="000000" w:themeColor="text1"/>
        </w:rPr>
        <w:t xml:space="preserve">                                           </w:t>
      </w:r>
    </w:p>
    <w:p>
      <w:pPr>
        <w:pStyle w:val="NoSpacing"/>
        <w:ind w:left="720" w:hanging="0"/>
        <w:rPr>
          <w:color w:val="000000" w:themeColor="text1"/>
        </w:rPr>
      </w:pPr>
      <w:r>
        <w:rPr>
          <w:color w:val="000000" w:themeColor="text1"/>
        </w:rPr>
        <w:t xml:space="preserve">                                                                                   </w:t>
      </w:r>
    </w:p>
    <w:p>
      <w:pPr>
        <w:pStyle w:val="Normal"/>
        <w:numPr>
          <w:ilvl w:val="0"/>
          <w:numId w:val="2"/>
        </w:numPr>
        <w:rPr>
          <w:color w:val="000000" w:themeColor="text1"/>
        </w:rPr>
      </w:pPr>
      <w:r>
        <w:rPr>
          <w:color w:val="000000" w:themeColor="text1"/>
        </w:rPr>
        <w:t>Tržby z upratovacích činností</w:t>
        <w:tab/>
        <w:tab/>
        <w:tab/>
        <w:tab/>
        <w:t xml:space="preserve">  </w:t>
      </w:r>
      <w:r>
        <w:rPr>
          <w:rFonts w:eastAsia="Calibri" w:cs="Times New Roman"/>
          <w:color w:val="FF0000"/>
        </w:rPr>
        <w:t xml:space="preserve"> 20,74  %</w:t>
      </w:r>
    </w:p>
    <w:p>
      <w:pPr>
        <w:pStyle w:val="Normal"/>
        <w:numPr>
          <w:ilvl w:val="0"/>
          <w:numId w:val="2"/>
        </w:numPr>
        <w:rPr>
          <w:color w:val="000000" w:themeColor="text1"/>
        </w:rPr>
      </w:pPr>
      <w:r>
        <w:rPr>
          <w:color w:val="000000" w:themeColor="text1"/>
        </w:rPr>
        <w:t xml:space="preserve"> </w:t>
      </w:r>
      <w:r>
        <w:rPr>
          <w:color w:val="000000" w:themeColor="text1"/>
        </w:rPr>
        <w:t xml:space="preserve">Tržby za dodávku tepla a energetických služieb </w:t>
        <w:tab/>
        <w:t xml:space="preserve">                 </w:t>
      </w:r>
      <w:r>
        <w:rPr>
          <w:rFonts w:eastAsia="Calibri" w:cs="Times New Roman"/>
          <w:color w:val="FF0000"/>
        </w:rPr>
        <w:t xml:space="preserve">   3,02 %</w:t>
      </w:r>
    </w:p>
    <w:p>
      <w:pPr>
        <w:pStyle w:val="Normal"/>
        <w:numPr>
          <w:ilvl w:val="0"/>
          <w:numId w:val="2"/>
        </w:numPr>
        <w:rPr>
          <w:color w:val="000000" w:themeColor="text1"/>
        </w:rPr>
      </w:pPr>
      <w:r>
        <w:rPr>
          <w:color w:val="000000" w:themeColor="text1"/>
        </w:rPr>
        <w:t xml:space="preserve">  </w:t>
      </w:r>
      <w:r>
        <w:rPr>
          <w:color w:val="000000" w:themeColor="text1"/>
        </w:rPr>
        <w:t>Ostatné tržby</w:t>
        <w:tab/>
        <w:tab/>
        <w:tab/>
        <w:tab/>
        <w:tab/>
        <w:tab/>
        <w:t xml:space="preserve">       </w:t>
      </w:r>
      <w:r>
        <w:rPr>
          <w:rFonts w:eastAsia="Calibri" w:cs="Times New Roman"/>
          <w:color w:val="FF0000"/>
        </w:rPr>
        <w:t>3,55 %</w:t>
      </w:r>
    </w:p>
    <w:p>
      <w:pPr>
        <w:pStyle w:val="Normal"/>
        <w:rPr>
          <w:rFonts w:ascii="Calibri" w:hAnsi="Calibri" w:eastAsia="Calibri" w:cs="Times New Roman"/>
          <w:color w:val="FF0000"/>
          <w:lang w:eastAsia="sk-SK"/>
        </w:rPr>
      </w:pPr>
      <w:r>
        <w:rPr>
          <w:rFonts w:eastAsia="Calibri" w:cs="Times New Roman"/>
          <w:color w:val="FF0000"/>
          <w:lang w:eastAsia="sk-SK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  <w:t xml:space="preserve">Na druhej strane sumár všetkých nákladov predstavoval výšku </w:t>
      </w:r>
      <w:r>
        <w:rPr>
          <w:rFonts w:eastAsia="Calibri" w:cs="Times New Roman"/>
          <w:color w:val="FF0000"/>
        </w:rPr>
        <w:t>6 757 999</w:t>
      </w:r>
      <w:r>
        <w:rPr>
          <w:color w:val="000000" w:themeColor="text1"/>
        </w:rPr>
        <w:t xml:space="preserve">,-  EUR čo predstavuje </w:t>
      </w:r>
      <w:r>
        <w:rPr>
          <w:color w:val="FF0000"/>
        </w:rPr>
        <w:t>pokles</w:t>
      </w:r>
      <w:r>
        <w:rPr>
          <w:color w:val="000000" w:themeColor="text1"/>
        </w:rPr>
        <w:t xml:space="preserve"> </w:t>
      </w:r>
      <w:r>
        <w:rPr>
          <w:color w:val="FF0000"/>
        </w:rPr>
        <w:t>nákladov o 21,0 %.</w:t>
      </w:r>
      <w:r>
        <w:rPr>
          <w:color w:val="000000" w:themeColor="text1"/>
        </w:rPr>
        <w:t xml:space="preserve"> Najvýznamnejšie nákladové položky:</w:t>
        <w:tab/>
      </w:r>
    </w:p>
    <w:p>
      <w:pPr>
        <w:pStyle w:val="Normal"/>
        <w:numPr>
          <w:ilvl w:val="0"/>
          <w:numId w:val="2"/>
        </w:numPr>
        <w:rPr>
          <w:color w:val="000000" w:themeColor="text1"/>
        </w:rPr>
      </w:pPr>
      <w:r>
        <w:rPr>
          <w:color w:val="000000" w:themeColor="text1"/>
        </w:rPr>
        <w:t>Ostatné služby vrátane subdodávok</w:t>
        <w:tab/>
        <w:tab/>
        <w:tab/>
      </w:r>
      <w:r>
        <w:rPr>
          <w:rFonts w:eastAsia="Calibri" w:cs="Times New Roman"/>
          <w:color w:val="FF0000"/>
        </w:rPr>
        <w:t>53,38 %</w:t>
      </w:r>
    </w:p>
    <w:p>
      <w:pPr>
        <w:pStyle w:val="Normal"/>
        <w:numPr>
          <w:ilvl w:val="0"/>
          <w:numId w:val="2"/>
        </w:numPr>
        <w:rPr>
          <w:color w:val="000000" w:themeColor="text1"/>
        </w:rPr>
      </w:pPr>
      <w:r>
        <w:rPr>
          <w:color w:val="000000" w:themeColor="text1"/>
        </w:rPr>
        <w:t xml:space="preserve">Osobné náklady </w:t>
        <w:tab/>
        <w:tab/>
        <w:tab/>
        <w:tab/>
        <w:tab/>
        <w:t xml:space="preserve">              </w:t>
      </w:r>
      <w:r>
        <w:rPr>
          <w:rFonts w:eastAsia="Calibri" w:cs="Times New Roman"/>
          <w:color w:val="FF0000"/>
        </w:rPr>
        <w:t>16,39 %</w:t>
      </w:r>
    </w:p>
    <w:p>
      <w:pPr>
        <w:pStyle w:val="Normal"/>
        <w:numPr>
          <w:ilvl w:val="0"/>
          <w:numId w:val="2"/>
        </w:numPr>
        <w:rPr>
          <w:color w:val="000000" w:themeColor="text1"/>
        </w:rPr>
      </w:pPr>
      <w:r>
        <w:rPr>
          <w:color w:val="000000" w:themeColor="text1"/>
        </w:rPr>
        <w:t xml:space="preserve">Materiálové a energetické náklady </w:t>
        <w:tab/>
        <w:tab/>
        <w:tab/>
        <w:t xml:space="preserve">                </w:t>
      </w:r>
      <w:r>
        <w:rPr>
          <w:rFonts w:eastAsia="Calibri" w:cs="Times New Roman"/>
          <w:color w:val="FF0000"/>
        </w:rPr>
        <w:t>2,81 %</w:t>
      </w:r>
    </w:p>
    <w:p>
      <w:pPr>
        <w:pStyle w:val="Normal"/>
        <w:numPr>
          <w:ilvl w:val="0"/>
          <w:numId w:val="2"/>
        </w:numPr>
        <w:rPr>
          <w:color w:val="000000" w:themeColor="text1"/>
        </w:rPr>
      </w:pPr>
      <w:r>
        <w:rPr>
          <w:color w:val="000000" w:themeColor="text1"/>
        </w:rPr>
        <w:t>Ostatné náklady</w:t>
        <w:tab/>
        <w:tab/>
        <w:tab/>
        <w:tab/>
        <w:tab/>
        <w:t xml:space="preserve">               </w:t>
      </w:r>
      <w:r>
        <w:rPr>
          <w:rFonts w:eastAsia="Calibri" w:cs="Times New Roman"/>
          <w:color w:val="FF0000"/>
        </w:rPr>
        <w:t>27,42 %</w:t>
      </w:r>
    </w:p>
    <w:p>
      <w:pPr>
        <w:pStyle w:val="Normal"/>
        <w:ind w:left="720" w:hanging="0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FF0000"/>
        </w:rPr>
      </w:pPr>
      <w:r>
        <w:rPr>
          <w:color w:val="FF0000"/>
        </w:rPr>
        <w:t>Z uvedených čísel je zrejmé, že v roku 202</w:t>
      </w:r>
      <w:r>
        <w:rPr>
          <w:color w:val="FF0000"/>
        </w:rPr>
        <w:t>1</w:t>
      </w:r>
      <w:r>
        <w:rPr>
          <w:color w:val="FF0000"/>
        </w:rPr>
        <w:t xml:space="preserve"> nám došlo k výraznému poklesu tržieb z predaja vlastných výrobkov a služieb, na druhej strane rovnako došlo k poklesu všetkých nákladov. </w:t>
      </w:r>
    </w:p>
    <w:p>
      <w:pPr>
        <w:pStyle w:val="Normal"/>
        <w:rPr>
          <w:color w:val="FF0000"/>
        </w:rPr>
      </w:pPr>
      <w:r>
        <w:rPr>
          <w:color w:val="FF0000"/>
        </w:rPr>
        <w:t>Prioritou v roku 202</w:t>
      </w:r>
      <w:r>
        <w:rPr>
          <w:color w:val="FF0000"/>
        </w:rPr>
        <w:t>1</w:t>
      </w:r>
      <w:r>
        <w:rPr>
          <w:color w:val="FF0000"/>
        </w:rPr>
        <w:t xml:space="preserve"> podobne ako aj v predchádzajúcich rokoch bolo poskytovanie stavebných prác spolu s komplexnou správou budov nášmu  najväčšiemu  dlhoročnému  odberateľovi v týchto službách  MV SR . Všetky tieto práce boli poskytované formou subdodávok. </w:t>
      </w:r>
    </w:p>
    <w:p>
      <w:pPr>
        <w:pStyle w:val="Normal"/>
        <w:rPr>
          <w:color w:val="FF0000"/>
        </w:rPr>
      </w:pPr>
      <w:r>
        <w:rPr>
          <w:color w:val="FF0000"/>
        </w:rPr>
        <w:t>Vzhľadom k tomu, že naše tržby pre týchto dvoch odberateľov predstavovali viac ako 52 % bolo potrebné a veľmi dôležité zabezpečiť a kvalitne zvládnuť komplexný management výberu kvalitných, stabilných a ekonomický výhodných dodávateľov týchto prác. Nie menej dôležitou činnosťou je projektový manažment medzi dodávateľmi a odberateľmi, ktorý  zabezpečujeme vlastnými pracovníkmi. Tento predstavuje kľúčový element pre dosahovanie pozitívnych výsledkov a je na ňom postavený celkový potenciál spoločnosti.</w:t>
      </w:r>
    </w:p>
    <w:p>
      <w:pPr>
        <w:pStyle w:val="Normal"/>
        <w:rPr>
          <w:color w:val="FF0000"/>
        </w:rPr>
      </w:pPr>
      <w:r>
        <w:rPr>
          <w:color w:val="FF0000"/>
        </w:rPr>
        <w:t xml:space="preserve">Podobne ako v predchádzajúcich rokoch je pre nás vzhľadom na nerovnomernosť výroby v priebehu roka ako aj časovému harmonogramu jednotlivých zákaziek stále efektívnejšie zabezpečovať tieto činnosti formou subdodávok ako vlastnými pracovníkmi,  nakoľko sa jedná o veľmi široké spektrum prác, ktoré vyžaduje rôznorodé špecifické práce  s rôznou dĺžkou ich trvania. V niektorých prípadoch ako napríklad pri prácach na rekonštrukcii kostol sv. Alžbety išlo o tak špecifické práce – reštaurátorské činnosti, že bol veľký problém získať  pracovníkov, ktorí ich ovládajú. </w:t>
      </w:r>
    </w:p>
    <w:p>
      <w:pPr>
        <w:pStyle w:val="Normal"/>
        <w:rPr>
          <w:color w:val="FF0000"/>
        </w:rPr>
      </w:pPr>
      <w:r>
        <w:rPr>
          <w:color w:val="FF0000"/>
        </w:rPr>
        <w:t xml:space="preserve">Opačný prípad sú naše upratovacie služby. Tieto vo väčšine prípadov zabezpečujeme vlastnými pracovníkmi. Vzhľadom k tomu, že sa jedná o jednoduché, málo kvalifikované práce, ale fyzicky pomerne náročné a  vo väčšine prípadov odmeňované minimálnou mzdou, je veľký problém obsadiť tieto pracovné miesta. Často sú tieto miesta obsadzované pracujúcimi dôchodcami, resp. študentami, keďže v prevažnej miere sú to práce vykonávané na skrátený úväzok, resp. na základe dohôd vykonávaných mimo pracovný pomer. </w:t>
      </w:r>
    </w:p>
    <w:p>
      <w:pPr>
        <w:pStyle w:val="Normal"/>
        <w:rPr>
          <w:color w:val="FF0000"/>
        </w:rPr>
      </w:pPr>
      <w:r>
        <w:rPr>
          <w:color w:val="FF0000"/>
        </w:rPr>
        <w:t xml:space="preserve">Ale nech to posudzujeme z ktoréhokoľvek hľadiska najdôležitejšia a najzodpovednejšia je organizačná a koordinačná činnosť, ktorú vykonávajú naši vlastní zamestnanci, ktorí sú v neustálom kontakte s našimi odberateľmi ako aj s dodávateľmi. </w:t>
      </w:r>
    </w:p>
    <w:p>
      <w:pPr>
        <w:pStyle w:val="Normal"/>
        <w:rPr>
          <w:color w:val="FF0000"/>
        </w:rPr>
      </w:pPr>
      <w:r>
        <w:rPr>
          <w:color w:val="FF0000"/>
        </w:rPr>
        <w:t>Neodmysliteľnou súčasťou spoločnosti je riadiaci a správny aparát, ktorý zabezpečuje činnosti pre štátny aparát, ako aj obslužný servis pre výrobné činnosti.</w:t>
      </w:r>
    </w:p>
    <w:p>
      <w:pPr>
        <w:pStyle w:val="Normal"/>
        <w:rPr>
          <w:color w:val="FF0000"/>
        </w:rPr>
      </w:pPr>
      <w:r>
        <w:rPr>
          <w:color w:val="FF0000"/>
        </w:rPr>
        <w:t>Samozrejme nesmieme zabúdať na oddelenie verejného obstarávania bez ktorého by sme nezískali ďalšie zákazky a v nadväznosti na to  oddelenie rozpočtovníctva a projektového manažmentu.</w:t>
      </w:r>
    </w:p>
    <w:p>
      <w:pPr>
        <w:pStyle w:val="Normal"/>
        <w:rPr>
          <w:color w:val="FF0000"/>
        </w:rPr>
      </w:pPr>
      <w:r>
        <w:rPr>
          <w:color w:val="FF0000"/>
        </w:rPr>
      </w:r>
    </w:p>
    <w:p>
      <w:pPr>
        <w:pStyle w:val="Normal"/>
        <w:rPr>
          <w:color w:val="FF0000"/>
        </w:rPr>
      </w:pPr>
      <w:r>
        <w:rPr>
          <w:color w:val="FF0000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numPr>
          <w:ilvl w:val="0"/>
          <w:numId w:val="4"/>
        </w:numPr>
        <w:rPr>
          <w:color w:val="000000" w:themeColor="text1"/>
        </w:rPr>
      </w:pPr>
      <w:r>
        <w:rPr>
          <w:color w:val="000000" w:themeColor="text1"/>
        </w:rPr>
        <w:t>Stavebná činnosť + komplexná správa budov</w:t>
      </w:r>
    </w:p>
    <w:tbl>
      <w:tblPr>
        <w:tblW w:w="9980" w:type="dxa"/>
        <w:jc w:val="left"/>
        <w:tblInd w:w="8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4199"/>
        <w:gridCol w:w="1601"/>
        <w:gridCol w:w="1600"/>
        <w:gridCol w:w="1360"/>
        <w:gridCol w:w="1220"/>
      </w:tblGrid>
      <w:tr>
        <w:trPr>
          <w:trHeight w:val="300" w:hRule="atLeast"/>
        </w:trPr>
        <w:tc>
          <w:tcPr>
            <w:tcW w:w="419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</w:rPr>
              <w:t xml:space="preserve">služby stavebnej činnosti </w:t>
            </w:r>
          </w:p>
        </w:tc>
        <w:tc>
          <w:tcPr>
            <w:tcW w:w="1601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</w:rPr>
              <w:t>rok 202</w:t>
            </w:r>
            <w:r>
              <w:rPr>
                <w:rFonts w:cs="Calibri"/>
                <w:b/>
                <w:bCs/>
                <w:color w:val="000000"/>
              </w:rPr>
              <w:t>1</w:t>
            </w:r>
          </w:p>
        </w:tc>
        <w:tc>
          <w:tcPr>
            <w:tcW w:w="160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</w:rPr>
              <w:t>rok 2020</w:t>
            </w:r>
          </w:p>
        </w:tc>
        <w:tc>
          <w:tcPr>
            <w:tcW w:w="136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</w:rPr>
              <w:t>rozdiel</w:t>
            </w:r>
          </w:p>
        </w:tc>
        <w:tc>
          <w:tcPr>
            <w:tcW w:w="1220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</w:rPr>
              <w:t>index</w:t>
            </w:r>
          </w:p>
        </w:tc>
      </w:tr>
      <w:tr>
        <w:trPr>
          <w:trHeight w:val="300" w:hRule="atLeast"/>
        </w:trPr>
        <w:tc>
          <w:tcPr>
            <w:tcW w:w="4199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</w:rPr>
              <w:t>spolu</w:t>
            </w:r>
          </w:p>
        </w:tc>
        <w:tc>
          <w:tcPr>
            <w:tcW w:w="160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</w:rPr>
            </w:r>
          </w:p>
        </w:tc>
        <w:tc>
          <w:tcPr>
            <w:tcW w:w="160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</w:rPr>
              <w:t>3 599 649</w:t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</w:rPr>
              <w:t>-3 415 475</w:t>
            </w:r>
          </w:p>
        </w:tc>
        <w:tc>
          <w:tcPr>
            <w:tcW w:w="1220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4199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</w:rPr>
              <w:t> </w:t>
            </w:r>
          </w:p>
        </w:tc>
        <w:tc>
          <w:tcPr>
            <w:tcW w:w="160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</w:rPr>
              <w:t> </w:t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</w:rPr>
              <w:t> </w:t>
            </w:r>
          </w:p>
        </w:tc>
        <w:tc>
          <w:tcPr>
            <w:tcW w:w="1220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4199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</w:rPr>
              <w:t>správa a prevádzkovanie budov</w:t>
            </w:r>
          </w:p>
        </w:tc>
        <w:tc>
          <w:tcPr>
            <w:tcW w:w="160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</w:rPr>
              <w:t>rok 202</w:t>
            </w:r>
            <w:r>
              <w:rPr>
                <w:rFonts w:cs="Calibri"/>
                <w:b/>
                <w:bCs/>
                <w:color w:val="000000"/>
              </w:rPr>
              <w:t>1</w:t>
            </w:r>
          </w:p>
        </w:tc>
        <w:tc>
          <w:tcPr>
            <w:tcW w:w="160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</w:rPr>
              <w:t>rok 2020</w:t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</w:rPr>
              <w:t>rozdiel</w:t>
            </w:r>
          </w:p>
        </w:tc>
        <w:tc>
          <w:tcPr>
            <w:tcW w:w="1220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4199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</w:rPr>
              <w:t>spolu</w:t>
            </w:r>
          </w:p>
        </w:tc>
        <w:tc>
          <w:tcPr>
            <w:tcW w:w="160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</w:rPr>
            </w:r>
          </w:p>
        </w:tc>
        <w:tc>
          <w:tcPr>
            <w:tcW w:w="160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</w:rPr>
              <w:t>5 123</w:t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</w:rPr>
              <w:t>-228 467</w:t>
            </w:r>
          </w:p>
        </w:tc>
        <w:tc>
          <w:tcPr>
            <w:tcW w:w="1220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4199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</w:rPr>
              <w:t> </w:t>
            </w:r>
          </w:p>
        </w:tc>
        <w:tc>
          <w:tcPr>
            <w:tcW w:w="160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</w:rPr>
              <w:t> </w:t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</w:rPr>
              <w:t> </w:t>
            </w:r>
          </w:p>
        </w:tc>
        <w:tc>
          <w:tcPr>
            <w:tcW w:w="1220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</w:rPr>
              <w:t> </w:t>
            </w:r>
          </w:p>
        </w:tc>
      </w:tr>
      <w:tr>
        <w:trPr>
          <w:trHeight w:val="315" w:hRule="atLeast"/>
        </w:trPr>
        <w:tc>
          <w:tcPr>
            <w:tcW w:w="4199" w:type="dxa"/>
            <w:tcBorders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</w:rPr>
              <w:t>spolu stav.činnosť+komp.správa budov</w:t>
            </w:r>
          </w:p>
        </w:tc>
        <w:tc>
          <w:tcPr>
            <w:tcW w:w="1601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</w:rPr>
            </w:r>
          </w:p>
        </w:tc>
        <w:tc>
          <w:tcPr>
            <w:tcW w:w="1600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</w:rPr>
              <w:t>3 604 772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</w:rPr>
              <w:t>-3 643 942</w:t>
            </w:r>
          </w:p>
        </w:tc>
        <w:tc>
          <w:tcPr>
            <w:tcW w:w="122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</w:rPr>
              <w:t> </w:t>
            </w:r>
          </w:p>
        </w:tc>
      </w:tr>
    </w:tbl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  <w:t>Oproti minulému roku došlo k poklesu tržieb o 3 643 942,-  EUR a to najmä z dôvodu obmedzení kvôli pandémii COVID 19 poklesu služieb odberateľa MV SR,  keď v roku 2019 boli tržby 3,84 mil. EUR a v roku 2020 len 2,04 tis. EUR. Ronako výrazný pokles bol aj u odberateľa EUROSTAVING, kde bol pokles tržieb z 1,77 mil EUR v roku 2019 na 0,55 mil. EUR v roku 2020.</w:t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  <w:t xml:space="preserve">Spoločnosť zabezpečuje komplexnú správu /plynulú  a efektívnu prevádzku a údržbu  objektov /budov/ vrátane príslušných prevádzkovo-technických zariadení tak, aby sa efektívne šetrili náklady. Z odborného hľadiska dbáme na to, aby bola dodržiavaná platná legislatíva a zákony SR. Zárukou vysokej kvality sú naši certifikovaní manageri. </w:t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  <w:t>Okrem toho zabezpečuje:</w:t>
      </w:r>
    </w:p>
    <w:p>
      <w:pPr>
        <w:pStyle w:val="Normal"/>
        <w:numPr>
          <w:ilvl w:val="0"/>
          <w:numId w:val="2"/>
        </w:numPr>
        <w:rPr>
          <w:color w:val="000000" w:themeColor="text1"/>
        </w:rPr>
      </w:pPr>
      <w:r>
        <w:rPr>
          <w:color w:val="000000" w:themeColor="text1"/>
        </w:rPr>
        <w:t xml:space="preserve">komplexnú správu nehnuteľnosti vrátane auditu, servisu a opravy technických zariadení, </w:t>
      </w:r>
    </w:p>
    <w:p>
      <w:pPr>
        <w:pStyle w:val="Normal"/>
        <w:numPr>
          <w:ilvl w:val="0"/>
          <w:numId w:val="2"/>
        </w:numPr>
        <w:rPr>
          <w:color w:val="000000" w:themeColor="text1"/>
        </w:rPr>
      </w:pPr>
      <w:r>
        <w:rPr>
          <w:color w:val="000000" w:themeColor="text1"/>
        </w:rPr>
        <w:t xml:space="preserve">odborné prehliadky, revízie a servis kotlov, výťahov, elektroinštalácií, bleskozvodov, komínov a dymovodov, </w:t>
      </w:r>
    </w:p>
    <w:p>
      <w:pPr>
        <w:pStyle w:val="Normal"/>
        <w:numPr>
          <w:ilvl w:val="0"/>
          <w:numId w:val="2"/>
        </w:numPr>
        <w:rPr>
          <w:color w:val="000000" w:themeColor="text1"/>
        </w:rPr>
      </w:pPr>
      <w:r>
        <w:rPr>
          <w:color w:val="000000" w:themeColor="text1"/>
        </w:rPr>
        <w:t>rôzne druhy opráv dverí, brán,</w:t>
      </w:r>
    </w:p>
    <w:p>
      <w:pPr>
        <w:pStyle w:val="Normal"/>
        <w:numPr>
          <w:ilvl w:val="0"/>
          <w:numId w:val="2"/>
        </w:numPr>
        <w:rPr>
          <w:color w:val="000000" w:themeColor="text1"/>
        </w:rPr>
      </w:pPr>
      <w:r>
        <w:rPr>
          <w:color w:val="000000" w:themeColor="text1"/>
        </w:rPr>
        <w:t xml:space="preserve">čistenie kanalizácií, vývoz žúmp, </w:t>
      </w:r>
    </w:p>
    <w:p>
      <w:pPr>
        <w:pStyle w:val="Normal"/>
        <w:numPr>
          <w:ilvl w:val="0"/>
          <w:numId w:val="2"/>
        </w:numPr>
        <w:rPr>
          <w:color w:val="000000" w:themeColor="text1"/>
        </w:rPr>
      </w:pPr>
      <w:r>
        <w:rPr>
          <w:color w:val="000000" w:themeColor="text1"/>
        </w:rPr>
        <w:t>deratizačné, dezinfekčné a dezinsekčné práce.</w:t>
      </w:r>
    </w:p>
    <w:p>
      <w:pPr>
        <w:pStyle w:val="Normal"/>
        <w:ind w:left="360" w:hanging="0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  <w:t>V rámci stavebnej činnosti sú naši pracovníci odborne spôsobilí realizovať, prípadne poskytnúť všetky služby a informácie potrebné pri príprave stavieb, vlastnej výstavbe alebo rekonštrukcii objektov. Zabezpečujeme:</w:t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  <w:t>- vykonávanie bytových a občianskych stavieb,</w:t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  <w:t>- HSV práce a PSV práce,</w:t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  <w:t>- údržbu a opravy budov,</w:t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  <w:t>- inžiniersku činnosť v stavebníctve,</w:t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  <w:t>- rozpočtovanie, fakturáciu a kalkuláciu stavieb,</w:t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  <w:t>- zabezpečenie vyjadrení, rozhodnutí a stavebných povolení,</w:t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  <w:t>- vykonávanie prác a výkonov pre investorov charakteru vypracovania koncepcií a štúdií,</w:t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  <w:t xml:space="preserve">- realizáciu občianskych a bytových stavieb, </w:t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  <w:t xml:space="preserve">- činnosť stavbyvedúcich, stavebného dozoru, </w:t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  <w:t>- pokrývačské práce, elektromontážne práce,</w:t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  <w:t>- sanačné omietky, zateplenie fasád,</w:t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  <w:t>- zemné a výkopové práve,</w:t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  <w:t>- dodávku a montáž plastových, hliníkových a drevených výplní stavebných otvorov.</w:t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  <w:t>Najväčší odberatelia v roku 202</w:t>
      </w:r>
      <w:r>
        <w:rPr>
          <w:color w:val="000000" w:themeColor="text1"/>
        </w:rPr>
        <w:t>1</w:t>
      </w:r>
      <w:r>
        <w:rPr>
          <w:color w:val="000000" w:themeColor="text1"/>
        </w:rPr>
        <w:t>:</w:t>
      </w:r>
    </w:p>
    <w:p>
      <w:pPr>
        <w:pStyle w:val="Normal"/>
        <w:numPr>
          <w:ilvl w:val="0"/>
          <w:numId w:val="2"/>
        </w:numPr>
        <w:rPr>
          <w:color w:val="000000" w:themeColor="text1"/>
        </w:rPr>
      </w:pPr>
      <w:r>
        <w:rPr>
          <w:color w:val="000000" w:themeColor="text1"/>
        </w:rPr>
        <w:t>Ministerstvo vnútra Slovenskej republiky</w:t>
      </w:r>
    </w:p>
    <w:p>
      <w:pPr>
        <w:pStyle w:val="Normal"/>
        <w:numPr>
          <w:ilvl w:val="0"/>
          <w:numId w:val="2"/>
        </w:numPr>
        <w:rPr>
          <w:color w:val="000000" w:themeColor="text1"/>
        </w:rPr>
      </w:pPr>
      <w:r>
        <w:rPr>
          <w:color w:val="000000" w:themeColor="text1"/>
        </w:rPr>
        <w:t>Kaufland Slovenskká republika v.o.s.</w:t>
      </w:r>
    </w:p>
    <w:p>
      <w:pPr>
        <w:pStyle w:val="Normal"/>
        <w:numPr>
          <w:ilvl w:val="0"/>
          <w:numId w:val="2"/>
        </w:numPr>
        <w:rPr>
          <w:color w:val="000000" w:themeColor="text1"/>
        </w:rPr>
      </w:pPr>
      <w:r>
        <w:rPr>
          <w:color w:val="000000" w:themeColor="text1"/>
        </w:rPr>
        <w:t>Misijná spoločnosť sv. Vincenta de Paul</w:t>
      </w:r>
    </w:p>
    <w:p>
      <w:pPr>
        <w:pStyle w:val="Normal"/>
        <w:numPr>
          <w:ilvl w:val="0"/>
          <w:numId w:val="2"/>
        </w:numPr>
        <w:rPr>
          <w:color w:val="000000" w:themeColor="text1"/>
        </w:rPr>
      </w:pPr>
      <w:r>
        <w:rPr/>
        <w:t>Ústredie práce, sociálnych vecí a rodiny SR</w:t>
      </w:r>
    </w:p>
    <w:p>
      <w:pPr>
        <w:pStyle w:val="Normal"/>
        <w:numPr>
          <w:ilvl w:val="0"/>
          <w:numId w:val="2"/>
        </w:numPr>
        <w:rPr>
          <w:color w:val="000000" w:themeColor="text1"/>
        </w:rPr>
      </w:pPr>
      <w:r>
        <w:rPr>
          <w:color w:val="000000" w:themeColor="text1"/>
        </w:rPr>
        <w:t>Ministerstvo obrany SR</w:t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numPr>
          <w:ilvl w:val="0"/>
          <w:numId w:val="4"/>
        </w:numPr>
        <w:rPr>
          <w:color w:val="000000" w:themeColor="text1"/>
        </w:rPr>
      </w:pPr>
      <w:r>
        <w:rPr>
          <w:color w:val="000000" w:themeColor="text1"/>
        </w:rPr>
        <w:t>Upratovacie služby</w:t>
      </w:r>
    </w:p>
    <w:p>
      <w:pPr>
        <w:pStyle w:val="Normal"/>
        <w:ind w:left="644" w:hanging="0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ind w:left="360" w:hanging="0"/>
        <w:rPr>
          <w:color w:val="000000" w:themeColor="text1"/>
        </w:rPr>
      </w:pPr>
      <w:r>
        <w:rPr>
          <w:color w:val="000000" w:themeColor="text1"/>
        </w:rPr>
        <w:t>V minulom roku došlo k výraznému nárastu služieb v tomto segmente. Bolo to z dôvodu opatrení vyvolaných pandémiou COVID  19, čo si vyžiadalo väčšiu čistotu na pracoviskách a následne navýšenie frekvencie umývania a dezinfekcie vnútorných priestorov hlavne u odberateľa ÚPSVaR. Boli by sme veľmi radi keby sa nám aj naďalej darilo udržať aspoň túto výšku tržieb za poskytované služby.</w:t>
      </w:r>
    </w:p>
    <w:tbl>
      <w:tblPr>
        <w:tblW w:w="8760" w:type="dxa"/>
        <w:jc w:val="left"/>
        <w:tblInd w:w="8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4200"/>
        <w:gridCol w:w="1599"/>
        <w:gridCol w:w="1600"/>
        <w:gridCol w:w="1360"/>
      </w:tblGrid>
      <w:tr>
        <w:trPr>
          <w:trHeight w:val="300" w:hRule="atLeast"/>
        </w:trPr>
        <w:tc>
          <w:tcPr>
            <w:tcW w:w="420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</w:rPr>
              <w:t>Služby upratovania</w:t>
            </w:r>
          </w:p>
        </w:tc>
        <w:tc>
          <w:tcPr>
            <w:tcW w:w="159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</w:rPr>
              <w:t>rok 202</w:t>
            </w:r>
            <w:r>
              <w:rPr>
                <w:rFonts w:cs="Calibri"/>
                <w:b/>
                <w:bCs/>
                <w:color w:val="000000"/>
              </w:rPr>
              <w:t>1</w:t>
            </w:r>
          </w:p>
        </w:tc>
        <w:tc>
          <w:tcPr>
            <w:tcW w:w="160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</w:rPr>
              <w:t>rok 2020</w:t>
            </w:r>
          </w:p>
        </w:tc>
        <w:tc>
          <w:tcPr>
            <w:tcW w:w="1360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</w:rPr>
              <w:t>rozdiel</w:t>
            </w:r>
          </w:p>
        </w:tc>
      </w:tr>
      <w:tr>
        <w:trPr>
          <w:trHeight w:val="300" w:hRule="atLeast"/>
        </w:trPr>
        <w:tc>
          <w:tcPr>
            <w:tcW w:w="420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</w:rPr>
              <w:t xml:space="preserve">vnútorné upratovanie </w:t>
            </w:r>
          </w:p>
        </w:tc>
        <w:tc>
          <w:tcPr>
            <w:tcW w:w="159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</w:rPr>
            </w:r>
          </w:p>
        </w:tc>
        <w:tc>
          <w:tcPr>
            <w:tcW w:w="160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</w:rPr>
              <w:t>1 020 324</w:t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</w:rPr>
            </w:r>
          </w:p>
        </w:tc>
      </w:tr>
      <w:tr>
        <w:trPr>
          <w:trHeight w:val="300" w:hRule="atLeast"/>
        </w:trPr>
        <w:tc>
          <w:tcPr>
            <w:tcW w:w="420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</w:rPr>
              <w:t xml:space="preserve">vonkajšie upratovanie </w:t>
            </w:r>
          </w:p>
        </w:tc>
        <w:tc>
          <w:tcPr>
            <w:tcW w:w="159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</w:rPr>
            </w:r>
          </w:p>
        </w:tc>
        <w:tc>
          <w:tcPr>
            <w:tcW w:w="160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</w:rPr>
              <w:t>8 104</w:t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</w:rPr>
            </w:r>
          </w:p>
        </w:tc>
      </w:tr>
      <w:tr>
        <w:trPr>
          <w:trHeight w:val="315" w:hRule="atLeast"/>
        </w:trPr>
        <w:tc>
          <w:tcPr>
            <w:tcW w:w="4200" w:type="dxa"/>
            <w:tcBorders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</w:rPr>
              <w:t>spolu</w:t>
            </w:r>
          </w:p>
        </w:tc>
        <w:tc>
          <w:tcPr>
            <w:tcW w:w="1599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</w:rPr>
            </w:r>
          </w:p>
        </w:tc>
        <w:tc>
          <w:tcPr>
            <w:tcW w:w="1600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</w:rPr>
              <w:t>1 028 428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</w:rPr>
            </w:r>
          </w:p>
        </w:tc>
      </w:tr>
    </w:tbl>
    <w:p>
      <w:pPr>
        <w:pStyle w:val="Normal"/>
        <w:ind w:left="360" w:hanging="0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  <w:t>Pracujeme s modernou technikou a najnovšími technológiami so zreteľom na ekologické aspekty. Používame výlučne certifikované a ekologicky nezávadné prípravky, ktoré spĺňajú najprísnejšie kritéria z hľadiska ochrany životného prostredia a spotrebiteľa. Sme flexibilní a disponujeme širokým technickým vybavením.</w:t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  <w:t>V rámci čistenia a upratovania interiérov poskytujeme:</w:t>
      </w:r>
    </w:p>
    <w:p>
      <w:pPr>
        <w:pStyle w:val="Normal"/>
        <w:numPr>
          <w:ilvl w:val="0"/>
          <w:numId w:val="2"/>
        </w:numPr>
        <w:rPr>
          <w:color w:val="000000" w:themeColor="text1"/>
        </w:rPr>
      </w:pPr>
      <w:r>
        <w:rPr>
          <w:color w:val="000000" w:themeColor="text1"/>
        </w:rPr>
        <w:t>Upratovacie a čistiace práce vo verejných priestoroch,</w:t>
      </w:r>
    </w:p>
    <w:p>
      <w:pPr>
        <w:pStyle w:val="Normal"/>
        <w:numPr>
          <w:ilvl w:val="0"/>
          <w:numId w:val="2"/>
        </w:numPr>
        <w:rPr>
          <w:color w:val="000000" w:themeColor="text1"/>
        </w:rPr>
      </w:pPr>
      <w:r>
        <w:rPr>
          <w:color w:val="000000" w:themeColor="text1"/>
        </w:rPr>
        <w:t>Dodávanie a distribúcia hygienického, čistiaceho a dezinfekčného materiálu,</w:t>
      </w:r>
    </w:p>
    <w:p>
      <w:pPr>
        <w:pStyle w:val="Normal"/>
        <w:numPr>
          <w:ilvl w:val="0"/>
          <w:numId w:val="2"/>
        </w:numPr>
        <w:rPr>
          <w:color w:val="000000" w:themeColor="text1"/>
        </w:rPr>
      </w:pPr>
      <w:r>
        <w:rPr>
          <w:color w:val="000000" w:themeColor="text1"/>
        </w:rPr>
        <w:t>Tepovanie kobercov a sedacieho nábytku,</w:t>
      </w:r>
    </w:p>
    <w:p>
      <w:pPr>
        <w:pStyle w:val="Normal"/>
        <w:numPr>
          <w:ilvl w:val="0"/>
          <w:numId w:val="2"/>
        </w:numPr>
        <w:rPr>
          <w:color w:val="000000" w:themeColor="text1"/>
        </w:rPr>
      </w:pPr>
      <w:r>
        <w:rPr>
          <w:color w:val="000000" w:themeColor="text1"/>
        </w:rPr>
        <w:t>Umývanie okien a rámov klasicky i horolezeckou technikou,</w:t>
      </w:r>
    </w:p>
    <w:p>
      <w:pPr>
        <w:pStyle w:val="Normal"/>
        <w:numPr>
          <w:ilvl w:val="0"/>
          <w:numId w:val="2"/>
        </w:numPr>
        <w:rPr>
          <w:color w:val="000000" w:themeColor="text1"/>
        </w:rPr>
      </w:pPr>
      <w:r>
        <w:rPr>
          <w:color w:val="000000" w:themeColor="text1"/>
        </w:rPr>
        <w:t>Pranie, dezinfekcia, žehlenie, skladanie a balenie bielizne,</w:t>
      </w:r>
    </w:p>
    <w:p>
      <w:pPr>
        <w:pStyle w:val="Normal"/>
        <w:numPr>
          <w:ilvl w:val="0"/>
          <w:numId w:val="2"/>
        </w:numPr>
        <w:rPr>
          <w:color w:val="000000" w:themeColor="text1"/>
        </w:rPr>
      </w:pPr>
      <w:r>
        <w:rPr>
          <w:color w:val="000000" w:themeColor="text1"/>
        </w:rPr>
        <w:t xml:space="preserve">Dovoz čistej a odvoz použitej bielizne, </w:t>
      </w:r>
    </w:p>
    <w:p>
      <w:pPr>
        <w:pStyle w:val="Normal"/>
        <w:numPr>
          <w:ilvl w:val="0"/>
          <w:numId w:val="2"/>
        </w:numPr>
        <w:rPr>
          <w:color w:val="000000" w:themeColor="text1"/>
        </w:rPr>
      </w:pPr>
      <w:r>
        <w:rPr>
          <w:color w:val="000000" w:themeColor="text1"/>
        </w:rPr>
        <w:t>Doplnkové služby interiérového upratovania,</w:t>
      </w:r>
    </w:p>
    <w:p>
      <w:pPr>
        <w:pStyle w:val="Normal"/>
        <w:numPr>
          <w:ilvl w:val="0"/>
          <w:numId w:val="2"/>
        </w:numPr>
        <w:rPr>
          <w:color w:val="000000" w:themeColor="text1"/>
        </w:rPr>
      </w:pPr>
      <w:r>
        <w:rPr>
          <w:color w:val="000000" w:themeColor="text1"/>
        </w:rPr>
        <w:t>Poskytovanie upratovacích služieb pre domácnosti.</w:t>
      </w:r>
    </w:p>
    <w:p>
      <w:pPr>
        <w:pStyle w:val="Normal"/>
        <w:ind w:left="360" w:hanging="0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  <w:t>Údržba exteriérov:</w:t>
      </w:r>
    </w:p>
    <w:p>
      <w:pPr>
        <w:pStyle w:val="Normal"/>
        <w:numPr>
          <w:ilvl w:val="0"/>
          <w:numId w:val="2"/>
        </w:numPr>
        <w:rPr>
          <w:color w:val="000000" w:themeColor="text1"/>
        </w:rPr>
      </w:pPr>
      <w:r>
        <w:rPr>
          <w:color w:val="000000" w:themeColor="text1"/>
        </w:rPr>
        <w:t>Údržba exteriérov v letnom a zimnom období,</w:t>
      </w:r>
    </w:p>
    <w:p>
      <w:pPr>
        <w:pStyle w:val="Normal"/>
        <w:numPr>
          <w:ilvl w:val="0"/>
          <w:numId w:val="2"/>
        </w:numPr>
        <w:rPr>
          <w:color w:val="000000" w:themeColor="text1"/>
        </w:rPr>
      </w:pPr>
      <w:r>
        <w:rPr>
          <w:color w:val="000000" w:themeColor="text1"/>
        </w:rPr>
        <w:t>Strojné a ručné čistenie komunikácií, plôch a priestranstiev v letnom a zimnom období,</w:t>
      </w:r>
    </w:p>
    <w:p>
      <w:pPr>
        <w:pStyle w:val="Normal"/>
        <w:numPr>
          <w:ilvl w:val="0"/>
          <w:numId w:val="2"/>
        </w:numPr>
        <w:rPr>
          <w:color w:val="000000" w:themeColor="text1"/>
        </w:rPr>
      </w:pPr>
      <w:r>
        <w:rPr>
          <w:color w:val="000000" w:themeColor="text1"/>
        </w:rPr>
        <w:t xml:space="preserve">Udržiavanie trvalo trávnatých porastov, kríkov a stromov, </w:t>
      </w:r>
    </w:p>
    <w:p>
      <w:pPr>
        <w:pStyle w:val="Normal"/>
        <w:numPr>
          <w:ilvl w:val="0"/>
          <w:numId w:val="2"/>
        </w:numPr>
        <w:rPr>
          <w:color w:val="000000" w:themeColor="text1"/>
        </w:rPr>
      </w:pPr>
      <w:r>
        <w:rPr>
          <w:color w:val="000000" w:themeColor="text1"/>
        </w:rPr>
        <w:t>Úpravu terénov, kosenie a hrabanie trávnatých plôch, likvidáciu pokosenej trávy,</w:t>
      </w:r>
    </w:p>
    <w:p>
      <w:pPr>
        <w:pStyle w:val="Normal"/>
        <w:numPr>
          <w:ilvl w:val="0"/>
          <w:numId w:val="2"/>
        </w:numPr>
        <w:rPr>
          <w:color w:val="000000" w:themeColor="text1"/>
        </w:rPr>
      </w:pPr>
      <w:r>
        <w:rPr>
          <w:color w:val="000000" w:themeColor="text1"/>
        </w:rPr>
        <w:t>Herbicídne a chemické postreky burín a drevín,</w:t>
      </w:r>
    </w:p>
    <w:p>
      <w:pPr>
        <w:pStyle w:val="Normal"/>
        <w:numPr>
          <w:ilvl w:val="0"/>
          <w:numId w:val="2"/>
        </w:numPr>
        <w:rPr>
          <w:color w:val="000000" w:themeColor="text1"/>
        </w:rPr>
      </w:pPr>
      <w:r>
        <w:rPr>
          <w:color w:val="000000" w:themeColor="text1"/>
        </w:rPr>
        <w:t>Odstraňovanie snehu a cencúľov zo všetkých druhov striech,</w:t>
      </w:r>
    </w:p>
    <w:p>
      <w:pPr>
        <w:pStyle w:val="Normal"/>
        <w:numPr>
          <w:ilvl w:val="0"/>
          <w:numId w:val="2"/>
        </w:numPr>
        <w:rPr>
          <w:color w:val="000000" w:themeColor="text1"/>
        </w:rPr>
      </w:pPr>
      <w:r>
        <w:rPr>
          <w:color w:val="000000" w:themeColor="text1"/>
        </w:rPr>
        <w:t>Doplnkové služby exteriérového upratovania.</w:t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  <w:t>Najväčší odberatelia:</w:t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numPr>
          <w:ilvl w:val="0"/>
          <w:numId w:val="2"/>
        </w:numPr>
        <w:rPr>
          <w:color w:val="000000" w:themeColor="text1"/>
        </w:rPr>
      </w:pPr>
      <w:r>
        <w:rPr>
          <w:color w:val="000000" w:themeColor="text1"/>
        </w:rPr>
        <w:t>Ústredie práce, sociálnych vecí a rodiny v rámci SR</w:t>
      </w:r>
    </w:p>
    <w:p>
      <w:pPr>
        <w:pStyle w:val="Normal"/>
        <w:numPr>
          <w:ilvl w:val="0"/>
          <w:numId w:val="2"/>
        </w:numPr>
        <w:rPr>
          <w:color w:val="000000" w:themeColor="text1"/>
        </w:rPr>
      </w:pPr>
      <w:r>
        <w:rPr>
          <w:color w:val="000000" w:themeColor="text1"/>
        </w:rPr>
        <w:t xml:space="preserve">Slovenská technická univerzita v Bratislava </w:t>
      </w:r>
    </w:p>
    <w:p>
      <w:pPr>
        <w:pStyle w:val="Normal"/>
        <w:numPr>
          <w:ilvl w:val="0"/>
          <w:numId w:val="2"/>
        </w:numPr>
        <w:rPr>
          <w:color w:val="000000" w:themeColor="text1"/>
        </w:rPr>
      </w:pPr>
      <w:r>
        <w:rPr>
          <w:color w:val="000000" w:themeColor="text1"/>
        </w:rPr>
        <w:t>Správa služieb diplomatického zboru.</w:t>
      </w:r>
    </w:p>
    <w:p>
      <w:pPr>
        <w:pStyle w:val="Normal"/>
        <w:ind w:left="360" w:hanging="0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ind w:left="360" w:hanging="0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numPr>
          <w:ilvl w:val="0"/>
          <w:numId w:val="4"/>
        </w:numPr>
        <w:rPr>
          <w:color w:val="FF0000"/>
        </w:rPr>
      </w:pPr>
      <w:r>
        <w:rPr>
          <w:color w:val="FF0000"/>
        </w:rPr>
        <w:t>Dodávky tepla a energetických služieb</w:t>
      </w:r>
    </w:p>
    <w:p>
      <w:pPr>
        <w:pStyle w:val="Normal"/>
        <w:ind w:left="644" w:hanging="0"/>
        <w:rPr>
          <w:color w:val="FF0000"/>
        </w:rPr>
      </w:pPr>
      <w:r>
        <w:rPr>
          <w:color w:val="FF0000"/>
        </w:rPr>
      </w:r>
    </w:p>
    <w:p>
      <w:pPr>
        <w:pStyle w:val="Normal"/>
        <w:rPr>
          <w:color w:val="FF0000"/>
        </w:rPr>
      </w:pPr>
      <w:r>
        <w:rPr>
          <w:color w:val="FF0000"/>
        </w:rPr>
        <w:t>V tomto druhu služieb došlo v auguste 2019 k ukončeniu dodávok tepla  pre Plaváreň BB. Z toho dôvodu vidno pokles tržieb v tomto druhu služieb až o 48%.</w:t>
      </w:r>
    </w:p>
    <w:tbl>
      <w:tblPr>
        <w:tblW w:w="8760" w:type="dxa"/>
        <w:jc w:val="left"/>
        <w:tblInd w:w="8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4200"/>
        <w:gridCol w:w="1599"/>
        <w:gridCol w:w="1600"/>
        <w:gridCol w:w="1360"/>
      </w:tblGrid>
      <w:tr>
        <w:trPr>
          <w:trHeight w:val="300" w:hRule="atLeast"/>
        </w:trPr>
        <w:tc>
          <w:tcPr>
            <w:tcW w:w="420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Calibri"/>
                <w:color w:val="FF0000"/>
              </w:rPr>
            </w:pPr>
            <w:r>
              <w:rPr>
                <w:rFonts w:cs="Calibri"/>
                <w:b/>
                <w:bCs/>
                <w:color w:val="FF0000"/>
              </w:rPr>
              <w:t>Dodávka tepla, TÚV a energetických služieb</w:t>
            </w:r>
          </w:p>
        </w:tc>
        <w:tc>
          <w:tcPr>
            <w:tcW w:w="159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Calibri"/>
                <w:color w:val="FF0000"/>
              </w:rPr>
            </w:pPr>
            <w:r>
              <w:rPr>
                <w:rFonts w:cs="Calibri"/>
                <w:b/>
                <w:bCs/>
                <w:color w:val="FF0000"/>
              </w:rPr>
              <w:t>rok 2020</w:t>
            </w:r>
          </w:p>
        </w:tc>
        <w:tc>
          <w:tcPr>
            <w:tcW w:w="160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Calibri"/>
                <w:color w:val="FF0000"/>
              </w:rPr>
            </w:pPr>
            <w:r>
              <w:rPr>
                <w:rFonts w:cs="Calibri"/>
                <w:b/>
                <w:bCs/>
                <w:color w:val="FF0000"/>
              </w:rPr>
              <w:t>rok 2019</w:t>
            </w:r>
          </w:p>
        </w:tc>
        <w:tc>
          <w:tcPr>
            <w:tcW w:w="1360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Calibri"/>
                <w:color w:val="FF0000"/>
              </w:rPr>
            </w:pPr>
            <w:r>
              <w:rPr>
                <w:rFonts w:cs="Calibri"/>
                <w:b/>
                <w:bCs/>
                <w:color w:val="FF0000"/>
              </w:rPr>
              <w:t>rozdiel</w:t>
            </w:r>
          </w:p>
        </w:tc>
      </w:tr>
      <w:tr>
        <w:trPr>
          <w:trHeight w:val="315" w:hRule="atLeast"/>
        </w:trPr>
        <w:tc>
          <w:tcPr>
            <w:tcW w:w="4200" w:type="dxa"/>
            <w:tcBorders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Calibri"/>
                <w:color w:val="FF0000"/>
              </w:rPr>
            </w:pPr>
            <w:r>
              <w:rPr>
                <w:rFonts w:cs="Calibri"/>
                <w:color w:val="FF0000"/>
              </w:rPr>
              <w:t>spolu</w:t>
            </w:r>
          </w:p>
        </w:tc>
        <w:tc>
          <w:tcPr>
            <w:tcW w:w="1599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cs="Calibri"/>
                <w:color w:val="FF0000"/>
              </w:rPr>
            </w:pPr>
            <w:r>
              <w:rPr>
                <w:rFonts w:cs="Calibri"/>
                <w:color w:val="FF0000"/>
              </w:rPr>
              <w:t>149 639</w:t>
            </w:r>
          </w:p>
        </w:tc>
        <w:tc>
          <w:tcPr>
            <w:tcW w:w="1600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cs="Calibri"/>
                <w:color w:val="FF0000"/>
              </w:rPr>
            </w:pPr>
            <w:r>
              <w:rPr>
                <w:rFonts w:cs="Calibri"/>
                <w:color w:val="FF0000"/>
              </w:rPr>
              <w:t>286 337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cs="Calibri"/>
                <w:color w:val="FF0000"/>
              </w:rPr>
            </w:pPr>
            <w:r>
              <w:rPr>
                <w:rFonts w:cs="Calibri"/>
                <w:color w:val="FF0000"/>
              </w:rPr>
              <w:t>-136 698</w:t>
            </w:r>
          </w:p>
        </w:tc>
      </w:tr>
    </w:tbl>
    <w:p>
      <w:pPr>
        <w:pStyle w:val="Normal"/>
        <w:rPr>
          <w:color w:val="FF0000"/>
        </w:rPr>
      </w:pPr>
      <w:r>
        <w:rPr>
          <w:color w:val="FF0000"/>
        </w:rPr>
      </w:r>
    </w:p>
    <w:p>
      <w:pPr>
        <w:pStyle w:val="Normal"/>
        <w:rPr>
          <w:color w:val="FF0000"/>
        </w:rPr>
      </w:pPr>
      <w:r>
        <w:rPr>
          <w:color w:val="FF0000"/>
        </w:rPr>
        <w:t>V odberateľskom portfóliu zostali uvedené firmy ako v predchádzajúcom období okrem Plavárne BB:</w:t>
      </w:r>
    </w:p>
    <w:p>
      <w:pPr>
        <w:pStyle w:val="Normal"/>
        <w:numPr>
          <w:ilvl w:val="0"/>
          <w:numId w:val="2"/>
        </w:numPr>
        <w:rPr>
          <w:color w:val="FF0000"/>
        </w:rPr>
      </w:pPr>
      <w:r>
        <w:rPr>
          <w:color w:val="FF0000"/>
        </w:rPr>
        <w:t>MBB Banská Bystrica</w:t>
      </w:r>
    </w:p>
    <w:p>
      <w:pPr>
        <w:pStyle w:val="Normal"/>
        <w:numPr>
          <w:ilvl w:val="0"/>
          <w:numId w:val="2"/>
        </w:numPr>
        <w:rPr>
          <w:color w:val="FF0000"/>
        </w:rPr>
      </w:pPr>
      <w:r>
        <w:rPr>
          <w:color w:val="FF0000"/>
        </w:rPr>
        <w:t>Mesto Banská Bystrica</w:t>
      </w:r>
    </w:p>
    <w:p>
      <w:pPr>
        <w:pStyle w:val="Normal"/>
        <w:numPr>
          <w:ilvl w:val="0"/>
          <w:numId w:val="2"/>
        </w:numPr>
        <w:rPr>
          <w:color w:val="FF0000"/>
        </w:rPr>
      </w:pPr>
      <w:r>
        <w:rPr>
          <w:color w:val="FF0000"/>
        </w:rPr>
        <w:t>Záhradnícke a rekreačné služby Banská Bystrica</w:t>
      </w:r>
    </w:p>
    <w:p>
      <w:pPr>
        <w:pStyle w:val="Normal"/>
        <w:rPr>
          <w:color w:val="FF0000"/>
        </w:rPr>
      </w:pPr>
      <w:r>
        <w:rPr>
          <w:color w:val="FF0000"/>
        </w:rPr>
      </w:r>
    </w:p>
    <w:p>
      <w:pPr>
        <w:pStyle w:val="Normal"/>
        <w:rPr>
          <w:b/>
          <w:b/>
          <w:bCs/>
          <w:color w:val="000000" w:themeColor="text1"/>
        </w:rPr>
      </w:pPr>
      <w:r>
        <w:rPr>
          <w:b/>
          <w:bCs/>
          <w:color w:val="000000" w:themeColor="text1"/>
        </w:rPr>
        <w:t>Vplyv na životné prostredie</w:t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  <w:t>Spoločnosť má materiálne a personálne zabezpečenie na vysokej úrovni tak, aby poskytované služby boli vykonávané efektívne so zreteľom na ekonomické a environmentálne ukazovatele v čo najvyššej kvalite, k spokojnosti zákazníkov.</w:t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  <w:t>Starostlivosť o životné prostredie je súčasťou celkovej koncepcie spoločnosti. Ochrana životného prostredia patrí medzi naše priority.</w:t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  <w:t>Keďže rozhodujúce činnosti našej spoločnosti vykonávame prostredníctvom subdodávok, už pri príprave zmlúv, výbere materiálov a hlavne pri likvidácii odpadov, ktorý vzniká v priebehu realizácie samotnej zákazky, dbáme na ochranu životného prostredia. Zmluvne máme dohodnutú ekologickú likvidáciu týchto odpadov.</w:t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  <w:t xml:space="preserve">Podobný prístup je aj v upratovacích a čistiacich činnostiach. Už v súťažných podmienkach </w:t>
      </w:r>
      <w:r>
        <w:rPr>
          <w:color w:val="000000" w:themeColor="text1"/>
        </w:rPr>
        <w:t>verejného obstarávania</w:t>
      </w:r>
      <w:r>
        <w:rPr>
          <w:color w:val="000000" w:themeColor="text1"/>
        </w:rPr>
        <w:t xml:space="preserve"> sú stanovené zásady pre ochranu životného prostredia.</w:t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  <w:t>Následne naši manageri sú povinní zabezpečovať tieto zásady a pravidelne ich kontrovať hlavne čo sa týka objednávania a nákupu čistiacich prostriedkov, triedenia a likvidácie odpadov.</w:t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  <w:t xml:space="preserve"> </w:t>
      </w:r>
      <w:r>
        <w:rPr>
          <w:color w:val="000000" w:themeColor="text1"/>
        </w:rPr>
        <w:t xml:space="preserve">Používame čistiace prostriedky, ktoré neobsahujú fosfáty, formaldehydy, tým pádom nepoškodzujú a nezaťažujú životné prostredie. </w:t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  <w:t>Používame prostriedky s plnou odbúrateľnosťou, tenzidy, ktoré prípravky obsahujú,  sa v priebehu 24 hodín rozložia na 60 % a v priebehu 20 dní sa rozložia na vodu, kyslík a oxid uhličitý, preto sa môžu dostať do kanalizácie, vodných tokov, pôdy a pod.</w:t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  <w:t>Z toho dôvodu  naša spoločnosť používa zásadne len čistiace prostriedky s maximálnou odbúrateľnosťou.</w:t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  <w:t>Spoločnosť pri svojej činnosti sa riadi platnými certifikátmi ISO vydaných v súlade s normami EU:</w:t>
      </w:r>
    </w:p>
    <w:p>
      <w:pPr>
        <w:pStyle w:val="Normal"/>
        <w:numPr>
          <w:ilvl w:val="0"/>
          <w:numId w:val="2"/>
        </w:numPr>
        <w:rPr>
          <w:color w:val="000000" w:themeColor="text1"/>
        </w:rPr>
      </w:pPr>
      <w:r>
        <w:rPr>
          <w:color w:val="000000" w:themeColor="text1"/>
        </w:rPr>
        <w:t>ISO 9001 certifikát systému manažérstva kvality,</w:t>
      </w:r>
    </w:p>
    <w:p>
      <w:pPr>
        <w:pStyle w:val="Normal"/>
        <w:numPr>
          <w:ilvl w:val="0"/>
          <w:numId w:val="2"/>
        </w:numPr>
        <w:rPr>
          <w:color w:val="000000" w:themeColor="text1"/>
        </w:rPr>
      </w:pPr>
      <w:r>
        <w:rPr>
          <w:color w:val="000000" w:themeColor="text1"/>
        </w:rPr>
        <w:t>ISO 14001 certifikát systému environmentálneho  manažérstva,</w:t>
      </w:r>
    </w:p>
    <w:p>
      <w:pPr>
        <w:pStyle w:val="Normal"/>
        <w:numPr>
          <w:ilvl w:val="0"/>
          <w:numId w:val="2"/>
        </w:numPr>
        <w:rPr>
          <w:color w:val="000000" w:themeColor="text1"/>
        </w:rPr>
      </w:pPr>
      <w:r>
        <w:rPr>
          <w:color w:val="000000" w:themeColor="text1"/>
        </w:rPr>
        <w:t xml:space="preserve">ISO 50001 certifikát systému energetického manažérstva, </w:t>
      </w:r>
    </w:p>
    <w:p>
      <w:pPr>
        <w:pStyle w:val="Normal"/>
        <w:numPr>
          <w:ilvl w:val="0"/>
          <w:numId w:val="2"/>
        </w:numPr>
        <w:rPr>
          <w:color w:val="000000" w:themeColor="text1"/>
        </w:rPr>
      </w:pPr>
      <w:r>
        <w:rPr>
          <w:color w:val="000000" w:themeColor="text1"/>
        </w:rPr>
        <w:t>ISO 18001 certifikát systému bezpečnosti a ochrany zdravia pri práci</w:t>
      </w:r>
    </w:p>
    <w:p>
      <w:pPr>
        <w:pStyle w:val="Normal"/>
        <w:numPr>
          <w:ilvl w:val="0"/>
          <w:numId w:val="2"/>
        </w:numPr>
        <w:rPr>
          <w:color w:val="000000" w:themeColor="text1"/>
        </w:rPr>
      </w:pPr>
      <w:r>
        <w:rPr>
          <w:color w:val="000000" w:themeColor="text1"/>
        </w:rPr>
        <w:t xml:space="preserve">ISO 26000 certifikát základných princípov a spôsobov uplatňovania spoločensky zodpovedného správania </w:t>
      </w:r>
    </w:p>
    <w:p>
      <w:pPr>
        <w:pStyle w:val="Normal"/>
        <w:numPr>
          <w:ilvl w:val="0"/>
          <w:numId w:val="2"/>
        </w:numPr>
        <w:rPr>
          <w:color w:val="000000" w:themeColor="text1"/>
        </w:rPr>
      </w:pPr>
      <w:r>
        <w:rPr>
          <w:color w:val="000000" w:themeColor="text1"/>
        </w:rPr>
        <w:t>ISO  10006 certifikát používania systému manažérstva kvality v projektoch.</w:t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b/>
          <w:b/>
          <w:bCs/>
          <w:color w:val="000000" w:themeColor="text1"/>
        </w:rPr>
      </w:pPr>
      <w:r>
        <w:rPr>
          <w:b/>
          <w:bCs/>
          <w:color w:val="000000" w:themeColor="text1"/>
        </w:rPr>
        <w:t>Zamestnanosť v roku 202</w:t>
      </w:r>
      <w:r>
        <w:rPr>
          <w:b/>
          <w:bCs/>
          <w:color w:val="000000" w:themeColor="text1"/>
        </w:rPr>
        <w:t>1</w:t>
      </w:r>
    </w:p>
    <w:p>
      <w:pPr>
        <w:pStyle w:val="Normal"/>
        <w:rPr>
          <w:b/>
          <w:b/>
          <w:bCs/>
          <w:color w:val="000000" w:themeColor="text1"/>
        </w:rPr>
      </w:pPr>
      <w:r>
        <w:rPr>
          <w:b/>
          <w:bCs/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  <w:t>Prehľad stavu pracovníkov k 31.12.202</w:t>
      </w:r>
      <w:r>
        <w:rPr>
          <w:color w:val="000000" w:themeColor="text1"/>
        </w:rPr>
        <w:t>1</w:t>
      </w:r>
    </w:p>
    <w:tbl>
      <w:tblPr>
        <w:tblW w:w="9380" w:type="dxa"/>
        <w:jc w:val="left"/>
        <w:tblInd w:w="8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4200"/>
        <w:gridCol w:w="1120"/>
        <w:gridCol w:w="1060"/>
        <w:gridCol w:w="959"/>
        <w:gridCol w:w="1060"/>
        <w:gridCol w:w="980"/>
      </w:tblGrid>
      <w:tr>
        <w:trPr>
          <w:trHeight w:val="300" w:hRule="atLeast"/>
        </w:trPr>
        <w:tc>
          <w:tcPr>
            <w:tcW w:w="420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</w:rPr>
              <w:t xml:space="preserve">Druh činnosti </w:t>
            </w:r>
          </w:p>
        </w:tc>
        <w:tc>
          <w:tcPr>
            <w:tcW w:w="112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</w:rPr>
              <w:t>HPP</w:t>
            </w:r>
          </w:p>
        </w:tc>
        <w:tc>
          <w:tcPr>
            <w:tcW w:w="106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</w:rPr>
              <w:t>DoPČ</w:t>
            </w:r>
          </w:p>
        </w:tc>
        <w:tc>
          <w:tcPr>
            <w:tcW w:w="95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</w:rPr>
              <w:t>DoVP</w:t>
            </w:r>
          </w:p>
        </w:tc>
        <w:tc>
          <w:tcPr>
            <w:tcW w:w="106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</w:rPr>
              <w:t>DoBPŠ</w:t>
            </w:r>
          </w:p>
        </w:tc>
        <w:tc>
          <w:tcPr>
            <w:tcW w:w="980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</w:rPr>
              <w:t>spolu</w:t>
            </w:r>
          </w:p>
        </w:tc>
      </w:tr>
      <w:tr>
        <w:trPr>
          <w:trHeight w:val="300" w:hRule="atLeast"/>
        </w:trPr>
        <w:tc>
          <w:tcPr>
            <w:tcW w:w="420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vnútorné upratovanie</w:t>
            </w:r>
          </w:p>
        </w:tc>
        <w:tc>
          <w:tcPr>
            <w:tcW w:w="112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25</w:t>
            </w:r>
          </w:p>
        </w:tc>
        <w:tc>
          <w:tcPr>
            <w:tcW w:w="10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143</w:t>
            </w:r>
          </w:p>
        </w:tc>
        <w:tc>
          <w:tcPr>
            <w:tcW w:w="95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10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980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172</w:t>
            </w:r>
          </w:p>
        </w:tc>
      </w:tr>
      <w:tr>
        <w:trPr>
          <w:trHeight w:val="300" w:hRule="atLeast"/>
        </w:trPr>
        <w:tc>
          <w:tcPr>
            <w:tcW w:w="420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vonkajšie upratovanie</w:t>
            </w:r>
          </w:p>
        </w:tc>
        <w:tc>
          <w:tcPr>
            <w:tcW w:w="112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95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10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9</w:t>
            </w:r>
          </w:p>
        </w:tc>
      </w:tr>
      <w:tr>
        <w:trPr>
          <w:trHeight w:val="300" w:hRule="atLeast"/>
        </w:trPr>
        <w:tc>
          <w:tcPr>
            <w:tcW w:w="420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stavebná činnosť, kompl. správa budov</w:t>
            </w:r>
          </w:p>
        </w:tc>
        <w:tc>
          <w:tcPr>
            <w:tcW w:w="112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 xml:space="preserve">         </w:t>
            </w:r>
            <w:r>
              <w:rPr>
                <w:rFonts w:cs="Calibri"/>
                <w:color w:val="000000"/>
                <w:sz w:val="20"/>
                <w:szCs w:val="20"/>
              </w:rPr>
              <w:t>11</w:t>
            </w:r>
          </w:p>
        </w:tc>
        <w:tc>
          <w:tcPr>
            <w:tcW w:w="10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95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10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15</w:t>
            </w:r>
          </w:p>
        </w:tc>
      </w:tr>
      <w:tr>
        <w:trPr>
          <w:trHeight w:val="300" w:hRule="atLeast"/>
        </w:trPr>
        <w:tc>
          <w:tcPr>
            <w:tcW w:w="420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prevádzka tepelno-technických zariadení</w:t>
            </w:r>
          </w:p>
        </w:tc>
        <w:tc>
          <w:tcPr>
            <w:tcW w:w="112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10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95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4</w:t>
            </w:r>
          </w:p>
        </w:tc>
      </w:tr>
      <w:tr>
        <w:trPr>
          <w:trHeight w:val="300" w:hRule="atLeast"/>
        </w:trPr>
        <w:tc>
          <w:tcPr>
            <w:tcW w:w="420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réžijné činnosti</w:t>
            </w:r>
          </w:p>
        </w:tc>
        <w:tc>
          <w:tcPr>
            <w:tcW w:w="112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8</w:t>
            </w:r>
          </w:p>
        </w:tc>
        <w:tc>
          <w:tcPr>
            <w:tcW w:w="10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95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6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80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</w:rPr>
              <w:t>10</w:t>
            </w:r>
          </w:p>
        </w:tc>
      </w:tr>
      <w:tr>
        <w:trPr>
          <w:trHeight w:val="315" w:hRule="atLeast"/>
        </w:trPr>
        <w:tc>
          <w:tcPr>
            <w:tcW w:w="4200" w:type="dxa"/>
            <w:tcBorders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120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</w:rPr>
              <w:t>45</w:t>
            </w:r>
          </w:p>
        </w:tc>
        <w:tc>
          <w:tcPr>
            <w:tcW w:w="1060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</w:rPr>
              <w:t>157</w:t>
            </w:r>
          </w:p>
        </w:tc>
        <w:tc>
          <w:tcPr>
            <w:tcW w:w="959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</w:rPr>
              <w:t>6</w:t>
            </w:r>
          </w:p>
        </w:tc>
        <w:tc>
          <w:tcPr>
            <w:tcW w:w="1060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</w:rPr>
              <w:t>2</w:t>
            </w:r>
          </w:p>
        </w:tc>
        <w:tc>
          <w:tcPr>
            <w:tcW w:w="98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 w:themeColor="text1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</w:rPr>
              <w:t>210</w:t>
            </w:r>
          </w:p>
        </w:tc>
      </w:tr>
    </w:tbl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  <w:t>V porovnaní s rokom 2019 došlo k nárastu stavu pracovníkov o 13 osôb, čo predstavuje nárast o 6,6 %.</w:t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  <w:t xml:space="preserve"> </w:t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  <w:t>Čo sa týka zamestnanosti na HPP došlo k nárastu o 4 zamestnancov.  Nárast stavu pracovníkov bol zaznamenaný aj u pracovníkov pracujúcich na základe dohôd vykonávaných mimo pracovný pomer. Tento nárast bol spôsobený zvýšenými nárokmi na upratovanie v dôsledku pandémie COVID 19.</w:t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b/>
          <w:b/>
          <w:bCs/>
          <w:color w:val="000000" w:themeColor="text1"/>
        </w:rPr>
      </w:pPr>
      <w:r>
        <w:rPr>
          <w:b/>
          <w:bCs/>
          <w:color w:val="000000" w:themeColor="text1"/>
        </w:rPr>
        <w:t>Prognóza vývoja na rok 202</w:t>
      </w:r>
      <w:r>
        <w:rPr>
          <w:b/>
          <w:bCs/>
          <w:color w:val="000000" w:themeColor="text1"/>
        </w:rPr>
        <w:t>2</w:t>
      </w:r>
    </w:p>
    <w:p>
      <w:pPr>
        <w:pStyle w:val="Normal"/>
        <w:rPr>
          <w:b/>
          <w:b/>
          <w:bCs/>
          <w:color w:val="000000" w:themeColor="text1"/>
        </w:rPr>
      </w:pPr>
      <w:r>
        <w:rPr>
          <w:b/>
          <w:bCs/>
          <w:color w:val="000000" w:themeColor="text1"/>
        </w:rPr>
      </w:r>
    </w:p>
    <w:p>
      <w:pPr>
        <w:pStyle w:val="Normal"/>
        <w:rPr/>
      </w:pPr>
      <w:r>
        <w:rPr>
          <w:color w:val="000000" w:themeColor="text1"/>
        </w:rPr>
        <w:t>Rozhodujúcou činnosťou pre rok 202</w:t>
      </w:r>
      <w:r>
        <w:rPr>
          <w:color w:val="000000" w:themeColor="text1"/>
        </w:rPr>
        <w:t>2</w:t>
      </w:r>
      <w:r>
        <w:rPr>
          <w:color w:val="000000" w:themeColor="text1"/>
        </w:rPr>
        <w:t xml:space="preserve"> budú stavebné a udržiavacie práce a to predovšetkým pre </w:t>
      </w:r>
      <w:r>
        <w:rPr/>
        <w:t>Ministerstvo vnútra SR na základe zmluvy z roku 2020.</w:t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  <w:t xml:space="preserve">Treťou oblasťou nami poskytovaných služieb sú už  tradičné upratovacie služby v interiéroch budov, ale aj v exteriéroch. Najväčšími odberateľmi týchto služieb budú </w:t>
      </w:r>
      <w:r>
        <w:rPr>
          <w:color w:val="000000" w:themeColor="text1"/>
        </w:rPr>
        <w:t>S</w:t>
      </w:r>
      <w:r>
        <w:rPr>
          <w:rFonts w:eastAsia="Calibri" w:cs="Times New Roman"/>
          <w:color w:val="000000" w:themeColor="text1"/>
        </w:rPr>
        <w:t>TU Bratislava a JAVYS Jaslovské Bohunice.</w:t>
      </w:r>
      <w:r>
        <w:rPr>
          <w:color w:val="000000" w:themeColor="text1"/>
        </w:rPr>
        <w:t xml:space="preserve"> Ich výška </w:t>
      </w:r>
      <w:r>
        <w:rPr>
          <w:color w:val="000000" w:themeColor="text1"/>
        </w:rPr>
        <w:t>sa bude pohy</w:t>
      </w:r>
      <w:r>
        <w:rPr>
          <w:color w:val="000000" w:themeColor="text1"/>
        </w:rPr>
        <w:t>bovať na úrovni minulého roka.</w:t>
      </w:r>
      <w:r>
        <w:rPr>
          <w:color w:val="000000" w:themeColor="text1"/>
        </w:rPr>
        <w:t xml:space="preserve"> </w:t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  <w:t xml:space="preserve">Medzi ďalšie služby </w:t>
      </w:r>
      <w:r>
        <w:rPr>
          <w:color w:val="000000" w:themeColor="text1"/>
        </w:rPr>
        <w:t>patria</w:t>
      </w:r>
      <w:r>
        <w:rPr>
          <w:color w:val="000000" w:themeColor="text1"/>
        </w:rPr>
        <w:t xml:space="preserve"> </w:t>
      </w:r>
      <w:r>
        <w:rPr>
          <w:color w:val="000000" w:themeColor="text1"/>
        </w:rPr>
        <w:t>upratovacie činnosti na p</w:t>
      </w:r>
      <w:r>
        <w:rPr>
          <w:color w:val="000000" w:themeColor="text1"/>
        </w:rPr>
        <w:t>lavár</w:t>
      </w:r>
      <w:r>
        <w:rPr>
          <w:color w:val="000000" w:themeColor="text1"/>
        </w:rPr>
        <w:t>ni.</w:t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  <w:t>Poslednou činnosťou sú prenájmy nehnuteľnosti. Ich výška bude tiež na úrovni minulého roka.</w:t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  <w:t>Z dôvodu účasti na verejnom obstarávaní je naša spoločnosť prostredníctvom oprávnenej osoby zapísaná do registra partnerov verejného sektora.</w:t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  <w:t>Výsledok hospodárenia v roku 202</w:t>
      </w:r>
      <w:r>
        <w:rPr>
          <w:color w:val="000000" w:themeColor="text1"/>
        </w:rPr>
        <w:t>2</w:t>
      </w:r>
      <w:r>
        <w:rPr>
          <w:color w:val="000000" w:themeColor="text1"/>
        </w:rPr>
        <w:t xml:space="preserve"> bude ovplyvnený </w:t>
      </w:r>
      <w:r>
        <w:rPr>
          <w:rStyle w:val="Citcia"/>
          <w:i w:val="false"/>
          <w:iCs w:val="false"/>
          <w:color w:val="000000" w:themeColor="text1"/>
        </w:rPr>
        <w:t xml:space="preserve">následkami opatrení súvisiacich s </w:t>
      </w:r>
      <w:r>
        <w:rPr>
          <w:i w:val="false"/>
          <w:iCs w:val="false"/>
          <w:color w:val="000000" w:themeColor="text1"/>
        </w:rPr>
        <w:t>pandémiou</w:t>
      </w:r>
      <w:r>
        <w:rPr>
          <w:color w:val="000000" w:themeColor="text1"/>
        </w:rPr>
        <w:t xml:space="preserve"> COVID 19, </w:t>
      </w:r>
      <w:r>
        <w:rPr>
          <w:color w:val="000000" w:themeColor="text1"/>
        </w:rPr>
        <w:t>viditeľnými v</w:t>
      </w:r>
      <w:r>
        <w:rPr>
          <w:color w:val="000000" w:themeColor="text1"/>
        </w:rPr>
        <w:t xml:space="preserve">  pokles</w:t>
      </w:r>
      <w:r>
        <w:rPr>
          <w:color w:val="000000" w:themeColor="text1"/>
        </w:rPr>
        <w:t>e</w:t>
      </w:r>
      <w:r>
        <w:rPr>
          <w:color w:val="000000" w:themeColor="text1"/>
        </w:rPr>
        <w:t xml:space="preserve"> tržieb v</w:t>
      </w:r>
      <w:r>
        <w:rPr>
          <w:color w:val="000000" w:themeColor="text1"/>
        </w:rPr>
        <w:t>o</w:t>
      </w:r>
      <w:r>
        <w:rPr>
          <w:color w:val="000000" w:themeColor="text1"/>
        </w:rPr>
        <w:t xml:space="preserve"> </w:t>
      </w:r>
      <w:r>
        <w:rPr>
          <w:color w:val="000000" w:themeColor="text1"/>
        </w:rPr>
        <w:t>všetkých č</w:t>
      </w:r>
      <w:r>
        <w:rPr>
          <w:color w:val="000000" w:themeColor="text1"/>
        </w:rPr>
        <w:t xml:space="preserve">innostiach, </w:t>
      </w:r>
      <w:r>
        <w:rPr>
          <w:color w:val="000000" w:themeColor="text1"/>
        </w:rPr>
        <w:t xml:space="preserve">výrazným navýšením cien v dôsledku zvýšenej inflácie v roku 2021, čo sa premietne do ďalšieho zvyšovania </w:t>
      </w:r>
      <w:r>
        <w:rPr>
          <w:color w:val="000000" w:themeColor="text1"/>
        </w:rPr>
        <w:t xml:space="preserve"> cien </w:t>
      </w:r>
      <w:r>
        <w:rPr>
          <w:color w:val="000000" w:themeColor="text1"/>
        </w:rPr>
        <w:t xml:space="preserve">všetkých tovarov a služieb, </w:t>
      </w:r>
      <w:r>
        <w:rPr>
          <w:color w:val="000000" w:themeColor="text1"/>
        </w:rPr>
        <w:t xml:space="preserve">čo výrazne ovplyvňuje rentabilitu zákaziek. </w:t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b/>
          <w:b/>
          <w:bCs/>
          <w:color w:val="000000" w:themeColor="text1"/>
        </w:rPr>
      </w:pPr>
      <w:r>
        <w:rPr>
          <w:b/>
          <w:bCs/>
          <w:color w:val="000000" w:themeColor="text1"/>
        </w:rPr>
        <w:t>Priority pre rok 202</w:t>
      </w:r>
      <w:r>
        <w:rPr>
          <w:b/>
          <w:bCs/>
          <w:color w:val="000000" w:themeColor="text1"/>
        </w:rPr>
        <w:t>2</w:t>
      </w:r>
      <w:r>
        <w:rPr>
          <w:b/>
          <w:bCs/>
          <w:color w:val="000000" w:themeColor="text1"/>
        </w:rPr>
        <w:t>:</w:t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numPr>
          <w:ilvl w:val="0"/>
          <w:numId w:val="2"/>
        </w:numPr>
        <w:rPr>
          <w:color w:val="000000" w:themeColor="text1"/>
        </w:rPr>
      </w:pPr>
      <w:r>
        <w:rPr>
          <w:color w:val="000000" w:themeColor="text1"/>
        </w:rPr>
        <w:t>Udržanie výroby a </w:t>
      </w:r>
      <w:r>
        <w:rPr>
          <w:color w:val="000000" w:themeColor="text1"/>
        </w:rPr>
        <w:t>stabilizácia počtu</w:t>
      </w:r>
      <w:r>
        <w:rPr>
          <w:color w:val="000000" w:themeColor="text1"/>
        </w:rPr>
        <w:t xml:space="preserve"> zamestnancov z dôvodu poklesu zákaziek , </w:t>
      </w:r>
    </w:p>
    <w:p>
      <w:pPr>
        <w:pStyle w:val="Normal"/>
        <w:numPr>
          <w:ilvl w:val="0"/>
          <w:numId w:val="2"/>
        </w:numPr>
        <w:rPr>
          <w:color w:val="000000" w:themeColor="text1"/>
        </w:rPr>
      </w:pPr>
      <w:r>
        <w:rPr>
          <w:color w:val="000000" w:themeColor="text1"/>
        </w:rPr>
        <w:t>Udržanie finančnej stability ,</w:t>
      </w:r>
    </w:p>
    <w:p>
      <w:pPr>
        <w:pStyle w:val="Normal"/>
        <w:numPr>
          <w:ilvl w:val="0"/>
          <w:numId w:val="2"/>
        </w:numPr>
        <w:rPr>
          <w:color w:val="000000" w:themeColor="text1"/>
        </w:rPr>
      </w:pPr>
      <w:r>
        <w:rPr>
          <w:color w:val="000000" w:themeColor="text1"/>
        </w:rPr>
        <w:t xml:space="preserve">Dosiahnutie výnosov z hospodárskej činnosti </w:t>
      </w:r>
    </w:p>
    <w:p>
      <w:pPr>
        <w:pStyle w:val="Normal"/>
        <w:numPr>
          <w:ilvl w:val="0"/>
          <w:numId w:val="2"/>
        </w:numPr>
        <w:rPr>
          <w:color w:val="000000" w:themeColor="text1"/>
        </w:rPr>
      </w:pPr>
      <w:r>
        <w:rPr>
          <w:color w:val="000000" w:themeColor="text1"/>
        </w:rPr>
        <w:t>Uzatvorenie nových zmlúv na základe verejného obstarávania a rozšírenie nášho odberateľského portfólia,</w:t>
      </w:r>
    </w:p>
    <w:p>
      <w:pPr>
        <w:pStyle w:val="Normal"/>
        <w:numPr>
          <w:ilvl w:val="0"/>
          <w:numId w:val="2"/>
        </w:numPr>
        <w:rPr>
          <w:color w:val="000000" w:themeColor="text1"/>
        </w:rPr>
      </w:pPr>
      <w:r>
        <w:rPr>
          <w:color w:val="000000" w:themeColor="text1"/>
        </w:rPr>
        <w:t>Udržanie a zvýšenie rentability jednotlivých zákaziek.</w:t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  <w:sz w:val="24"/>
          <w:szCs w:val="24"/>
        </w:rPr>
      </w:pPr>
      <w:r>
        <w:rPr>
          <w:b/>
          <w:bCs/>
          <w:color w:val="000000" w:themeColor="text1"/>
          <w:sz w:val="24"/>
          <w:szCs w:val="24"/>
        </w:rPr>
        <w:t>Spoločnosť nemá organizačnú zložku v zahraničí</w:t>
      </w:r>
      <w:r>
        <w:rPr>
          <w:color w:val="000000" w:themeColor="text1"/>
          <w:sz w:val="24"/>
          <w:szCs w:val="24"/>
        </w:rPr>
        <w:t>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Najväčší odberatelia za rok 202</w:t>
      </w:r>
      <w:r>
        <w:rPr/>
        <w:t>1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drawing>
          <wp:inline distT="0" distB="0" distL="0" distR="0">
            <wp:extent cx="5760720" cy="2812415"/>
            <wp:effectExtent l="0" t="0" r="0" b="0"/>
            <wp:docPr id="1" name="Obrázok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1" descr="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812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Najväčší dodávatelia za rok 202</w:t>
      </w:r>
      <w:r>
        <w:rPr/>
        <w:t>1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drawing>
          <wp:inline distT="0" distB="0" distL="0" distR="0">
            <wp:extent cx="5760720" cy="2812415"/>
            <wp:effectExtent l="0" t="0" r="0" b="0"/>
            <wp:docPr id="2" name="Obrázok 5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 5" descr="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812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rPr/>
      </w:pPr>
      <w:r>
        <w:rPr/>
        <w:t>Vývoj nákladov a výnosov za rok 202</w:t>
      </w:r>
      <w:r>
        <w:rPr/>
        <w:t>1</w:t>
      </w:r>
      <w:r>
        <w:rPr/>
        <w:t xml:space="preserve"> po mesiacoch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drawing>
          <wp:inline distT="0" distB="0" distL="0" distR="0">
            <wp:extent cx="5760720" cy="2812415"/>
            <wp:effectExtent l="0" t="0" r="0" b="0"/>
            <wp:docPr id="3" name="Obrázok 7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ok 7" descr="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812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headerReference w:type="default" r:id="rId7"/>
      <w:footerReference w:type="default" r:id="rId8"/>
      <w:type w:val="nextPage"/>
      <w:pgSz w:w="11906" w:h="16838"/>
      <w:pgMar w:left="1417" w:right="1417" w:header="708" w:top="1417" w:footer="708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Calibri">
    <w:charset w:val="01"/>
    <w:family w:val="swiss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1058874855"/>
    </w:sdtPr>
    <w:sdtContent>
      <w:p>
        <w:pPr>
          <w:pStyle w:val="Pta"/>
          <w:jc w:val="right"/>
          <w:rPr/>
        </w:pPr>
        <w:r>
          <w:rPr/>
          <w:fldChar w:fldCharType="begin"/>
        </w:r>
        <w:r>
          <w:rPr/>
          <w:instrText> PAGE </w:instrText>
        </w:r>
        <w:r>
          <w:rPr/>
          <w:fldChar w:fldCharType="separate"/>
        </w:r>
        <w:r>
          <w:rPr/>
          <w:t>16</w:t>
        </w:r>
        <w:r>
          <w:rPr/>
          <w:fldChar w:fldCharType="end"/>
        </w:r>
      </w:p>
    </w:sdtContent>
  </w:sdt>
  <w:p>
    <w:pPr>
      <w:pStyle w:val="Pta"/>
      <w:spacing w:before="0" w:after="200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hlavie"/>
      <w:rPr/>
    </w:pPr>
    <w:r>
      <w:rPr/>
      <w:tab/>
      <w:tab/>
      <w:t>Výročná správa za rok 2021</w:t>
    </w:r>
  </w:p>
  <w:p>
    <w:pPr>
      <w:pStyle w:val="Zhlavie"/>
      <w:spacing w:before="0" w:after="20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>
    <w:lvl w:ilvl="0">
      <w:numFmt w:val="bullet"/>
      <w:lvlText w:val="-"/>
      <w:lvlJc w:val="left"/>
      <w:pPr>
        <w:tabs>
          <w:tab w:val="num" w:pos="0"/>
        </w:tabs>
        <w:ind w:left="360" w:hanging="360"/>
      </w:pPr>
      <w:rPr>
        <w:rFonts w:ascii="Calibri" w:hAnsi="Calibri" w:cs="Calibri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">
    <w:lvl w:ilvl="0"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64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017b2c"/>
    <w:pPr>
      <w:widowControl/>
      <w:bidi w:val="0"/>
      <w:spacing w:lineRule="auto" w:line="276" w:before="0" w:after="200"/>
      <w:jc w:val="left"/>
    </w:pPr>
    <w:rPr>
      <w:rFonts w:ascii="Calibri" w:hAnsi="Calibri" w:eastAsia="Calibri" w:cs="Times New Roman" w:asciiTheme="minorHAns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"/>
    <w:qFormat/>
    <w:rsid w:val="00017b2c"/>
    <w:pPr>
      <w:keepNext w:val="true"/>
      <w:spacing w:before="240" w:after="60"/>
      <w:outlineLvl w:val="0"/>
    </w:pPr>
    <w:rPr>
      <w:rFonts w:ascii="Cambria" w:hAnsi="Cambria" w:eastAsia="Times New Roman"/>
      <w:b/>
      <w:bCs/>
      <w:kern w:val="2"/>
      <w:sz w:val="32"/>
      <w:szCs w:val="3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"/>
    <w:qFormat/>
    <w:rsid w:val="00017b2c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Internetovodkaz">
    <w:name w:val="Internetový odkaz"/>
    <w:uiPriority w:val="99"/>
    <w:unhideWhenUsed/>
    <w:rsid w:val="00017b2c"/>
    <w:rPr>
      <w:color w:val="0000FF"/>
      <w:u w:val="single"/>
    </w:rPr>
  </w:style>
  <w:style w:type="character" w:styleId="HlavikaChar" w:customStyle="1">
    <w:name w:val="Hlavička Char"/>
    <w:basedOn w:val="DefaultParagraphFont"/>
    <w:link w:val="Hlavika"/>
    <w:uiPriority w:val="99"/>
    <w:qFormat/>
    <w:rsid w:val="00017b2c"/>
    <w:rPr>
      <w:rFonts w:ascii="Calibri" w:hAnsi="Calibri" w:eastAsia="Calibri" w:cs="Times New Roman"/>
    </w:rPr>
  </w:style>
  <w:style w:type="character" w:styleId="PtaChar" w:customStyle="1">
    <w:name w:val="Päta Char"/>
    <w:basedOn w:val="DefaultParagraphFont"/>
    <w:link w:val="Pta"/>
    <w:uiPriority w:val="99"/>
    <w:qFormat/>
    <w:rsid w:val="00017b2c"/>
    <w:rPr>
      <w:rFonts w:ascii="Calibri" w:hAnsi="Calibri" w:eastAsia="Calibri" w:cs="Times New Roman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017b2c"/>
    <w:rPr>
      <w:rFonts w:ascii="Tahoma" w:hAnsi="Tahoma" w:eastAsia="Calibri" w:cs="Tahoma"/>
      <w:sz w:val="16"/>
      <w:szCs w:val="16"/>
    </w:rPr>
  </w:style>
  <w:style w:type="character" w:styleId="Ra" w:customStyle="1">
    <w:name w:val="ra"/>
    <w:basedOn w:val="DefaultParagraphFont"/>
    <w:uiPriority w:val="99"/>
    <w:qFormat/>
    <w:rsid w:val="00017b2c"/>
    <w:rPr/>
  </w:style>
  <w:style w:type="character" w:styleId="Annotationreference">
    <w:name w:val="annotation reference"/>
    <w:uiPriority w:val="99"/>
    <w:semiHidden/>
    <w:unhideWhenUsed/>
    <w:qFormat/>
    <w:rsid w:val="00017b2c"/>
    <w:rPr>
      <w:sz w:val="16"/>
      <w:szCs w:val="16"/>
    </w:rPr>
  </w:style>
  <w:style w:type="character" w:styleId="TextkomentraChar" w:customStyle="1">
    <w:name w:val="Text komentára Char"/>
    <w:basedOn w:val="DefaultParagraphFont"/>
    <w:link w:val="Textkomentra"/>
    <w:uiPriority w:val="99"/>
    <w:semiHidden/>
    <w:qFormat/>
    <w:rsid w:val="00017b2c"/>
    <w:rPr>
      <w:rFonts w:ascii="Calibri" w:hAnsi="Calibri" w:eastAsia="Calibri" w:cs="Times New Roman"/>
      <w:sz w:val="20"/>
      <w:szCs w:val="20"/>
    </w:rPr>
  </w:style>
  <w:style w:type="character" w:styleId="PredmetkomentraChar" w:customStyle="1">
    <w:name w:val="Predmet komentára Char"/>
    <w:basedOn w:val="TextkomentraChar"/>
    <w:link w:val="Predmetkomentra"/>
    <w:uiPriority w:val="99"/>
    <w:semiHidden/>
    <w:qFormat/>
    <w:rsid w:val="00017b2c"/>
    <w:rPr>
      <w:rFonts w:ascii="Calibri" w:hAnsi="Calibri" w:eastAsia="Calibri" w:cs="Times New Roman"/>
      <w:b/>
      <w:bCs/>
      <w:sz w:val="20"/>
      <w:szCs w:val="20"/>
    </w:rPr>
  </w:style>
  <w:style w:type="character" w:styleId="Citcia">
    <w:name w:val="Citácia"/>
    <w:qFormat/>
    <w:rPr>
      <w:i/>
      <w:iCs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Spacing">
    <w:name w:val="No Spacing"/>
    <w:uiPriority w:val="1"/>
    <w:qFormat/>
    <w:rsid w:val="00017b2c"/>
    <w:pPr>
      <w:widowControl/>
      <w:bidi w:val="0"/>
      <w:spacing w:lineRule="auto" w:line="240" w:before="0" w:after="0"/>
      <w:jc w:val="left"/>
    </w:pPr>
    <w:rPr>
      <w:rFonts w:ascii="Calibri" w:hAnsi="Calibri" w:eastAsia="Calibri" w:cs="Times New Roman" w:asciiTheme="minorHAns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ListParagraph">
    <w:name w:val="List Paragraph"/>
    <w:basedOn w:val="Normal"/>
    <w:uiPriority w:val="34"/>
    <w:qFormat/>
    <w:rsid w:val="00017b2c"/>
    <w:pPr>
      <w:ind w:left="708" w:hanging="0"/>
    </w:pPr>
    <w:rPr/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iPriority w:val="99"/>
    <w:unhideWhenUsed/>
    <w:rsid w:val="00017b2c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PtaChar"/>
    <w:uiPriority w:val="99"/>
    <w:unhideWhenUsed/>
    <w:rsid w:val="00017b2c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17b2c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Annotationtext">
    <w:name w:val="annotation text"/>
    <w:basedOn w:val="Normal"/>
    <w:link w:val="TextkomentraChar"/>
    <w:uiPriority w:val="99"/>
    <w:semiHidden/>
    <w:unhideWhenUsed/>
    <w:qFormat/>
    <w:rsid w:val="00017b2c"/>
    <w:pPr/>
    <w:rPr>
      <w:sz w:val="20"/>
      <w:szCs w:val="20"/>
    </w:rPr>
  </w:style>
  <w:style w:type="paragraph" w:styleId="Annotationsubject">
    <w:name w:val="annotation subject"/>
    <w:basedOn w:val="Annotationtext"/>
    <w:next w:val="Annotationtext"/>
    <w:link w:val="PredmetkomentraChar"/>
    <w:uiPriority w:val="99"/>
    <w:semiHidden/>
    <w:unhideWhenUsed/>
    <w:qFormat/>
    <w:rsid w:val="00017b2c"/>
    <w:pPr/>
    <w:rPr>
      <w:b/>
      <w:bCs/>
    </w:rPr>
  </w:style>
  <w:style w:type="paragraph" w:styleId="Revision">
    <w:name w:val="Revision"/>
    <w:uiPriority w:val="99"/>
    <w:semiHidden/>
    <w:qFormat/>
    <w:rsid w:val="00017b2c"/>
    <w:pPr>
      <w:widowControl/>
      <w:bidi w:val="0"/>
      <w:spacing w:lineRule="auto" w:line="240" w:before="0" w:after="0"/>
      <w:jc w:val="left"/>
    </w:pPr>
    <w:rPr>
      <w:rFonts w:ascii="Calibri" w:hAnsi="Calibri" w:eastAsia="Calibri" w:cs="Times New Roman" w:asciiTheme="minorHAns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Obsahtabuky">
    <w:name w:val="Obsah tabuľky"/>
    <w:basedOn w:val="Normal"/>
    <w:qFormat/>
    <w:pPr>
      <w:widowControl w:val="false"/>
      <w:suppressLineNumbers/>
    </w:pPr>
    <w:rPr/>
  </w:style>
  <w:style w:type="paragraph" w:styleId="Zhlavietabuky">
    <w:name w:val="Záhlavie tabuľky"/>
    <w:basedOn w:val="Obsahtabuky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mailto:primainvest@primainvest.eu" TargetMode="External"/><Relationship Id="rId3" Type="http://schemas.openxmlformats.org/officeDocument/2006/relationships/hyperlink" Target="http://www.primainvest.eu/" TargetMode="External"/><Relationship Id="rId4" Type="http://schemas.openxmlformats.org/officeDocument/2006/relationships/image" Target="media/image1.png"/><Relationship Id="rId5" Type="http://schemas.openxmlformats.org/officeDocument/2006/relationships/image" Target="media/image2.png"/><Relationship Id="rId6" Type="http://schemas.openxmlformats.org/officeDocument/2006/relationships/image" Target="media/image3.png"/><Relationship Id="rId7" Type="http://schemas.openxmlformats.org/officeDocument/2006/relationships/header" Target="header1.xml"/><Relationship Id="rId8" Type="http://schemas.openxmlformats.org/officeDocument/2006/relationships/footer" Target="footer1.xml"/><Relationship Id="rId9" Type="http://schemas.openxmlformats.org/officeDocument/2006/relationships/numbering" Target="numbering.xml"/><Relationship Id="rId10" Type="http://schemas.openxmlformats.org/officeDocument/2006/relationships/fontTable" Target="fontTable.xml"/><Relationship Id="rId11" Type="http://schemas.openxmlformats.org/officeDocument/2006/relationships/settings" Target="settings.xml"/><Relationship Id="rId12" Type="http://schemas.openxmlformats.org/officeDocument/2006/relationships/theme" Target="theme/theme1.xml"/><Relationship Id="rId13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FADDCD-5017-4B1B-8ED1-0DAEC30EF7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23068</TotalTime>
  <Application>LibreOffice/7.1.0.3$Windows_X86_64 LibreOffice_project/f6099ecf3d29644b5008cc8f48f42f4a40986e4c</Application>
  <AppVersion>15.0000</AppVersion>
  <Pages>16</Pages>
  <Words>3096</Words>
  <Characters>18202</Characters>
  <CharactersWithSpaces>21467</CharactersWithSpaces>
  <Paragraphs>323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2022-07-07T07:58:00Z</dcterms:created>
  <dc:creator>Hlacikova</dc:creator>
  <dc:description/>
  <dc:language>sk-SK</dc:language>
  <cp:lastModifiedBy/>
  <cp:lastPrinted>2021-10-11T05:19:00Z</cp:lastPrinted>
  <dcterms:modified xsi:type="dcterms:W3CDTF">2022-11-01T13:27:10Z</dcterms:modified>
  <cp:revision>24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