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uppressAutoHyphens/>
        <w:spacing w:after="0" w:line="240" w:lineRule="auto"/>
        <w:jc w:val="center"/>
        <w:rPr>
          <w:rFonts w:ascii="Times New Roman" w:hAnsi="Times New Roman" w:eastAsia="Times New Roman" w:cs="Times New Roman"/>
          <w:b/>
          <w:sz w:val="40"/>
          <w:szCs w:val="40"/>
          <w:lang w:eastAsia="ar-SA"/>
        </w:rPr>
      </w:pPr>
    </w:p>
    <w:p>
      <w:pPr>
        <w:suppressAutoHyphens/>
        <w:spacing w:after="0" w:line="240" w:lineRule="auto"/>
        <w:jc w:val="center"/>
        <w:rPr>
          <w:rFonts w:ascii="Times New Roman" w:hAnsi="Times New Roman" w:eastAsia="Times New Roman" w:cs="Times New Roman"/>
          <w:b/>
          <w:sz w:val="52"/>
          <w:szCs w:val="52"/>
          <w:lang w:eastAsia="ar-SA"/>
        </w:rPr>
      </w:pPr>
      <w:r>
        <w:rPr>
          <w:rFonts w:ascii="Times New Roman" w:hAnsi="Times New Roman" w:eastAsia="Times New Roman" w:cs="Times New Roman"/>
          <w:b/>
          <w:sz w:val="52"/>
          <w:szCs w:val="52"/>
          <w:lang w:eastAsia="ar-SA"/>
        </w:rPr>
        <w:t>Výročná správa</w:t>
      </w:r>
    </w:p>
    <w:p>
      <w:pPr>
        <w:suppressAutoHyphens/>
        <w:spacing w:after="0" w:line="240" w:lineRule="auto"/>
        <w:jc w:val="center"/>
        <w:rPr>
          <w:rFonts w:ascii="Times New Roman" w:hAnsi="Times New Roman" w:eastAsia="Times New Roman" w:cs="Times New Roman"/>
          <w:b/>
          <w:sz w:val="52"/>
          <w:szCs w:val="52"/>
          <w:lang w:eastAsia="ar-SA"/>
        </w:rPr>
      </w:pPr>
    </w:p>
    <w:p>
      <w:pPr>
        <w:suppressAutoHyphens/>
        <w:spacing w:after="0" w:line="240" w:lineRule="auto"/>
        <w:jc w:val="center"/>
        <w:rPr>
          <w:rFonts w:ascii="Times New Roman" w:hAnsi="Times New Roman" w:eastAsia="Times New Roman" w:cs="Times New Roman"/>
          <w:b/>
          <w:sz w:val="52"/>
          <w:szCs w:val="52"/>
          <w:lang w:eastAsia="ar-SA"/>
        </w:rPr>
      </w:pPr>
      <w:r>
        <w:rPr>
          <w:rFonts w:ascii="Times New Roman" w:hAnsi="Times New Roman" w:eastAsia="Times New Roman" w:cs="Times New Roman"/>
          <w:b/>
          <w:sz w:val="52"/>
          <w:szCs w:val="52"/>
          <w:lang w:eastAsia="ar-SA"/>
        </w:rPr>
        <w:t>Obce  VRBOVKA</w:t>
      </w:r>
    </w:p>
    <w:p>
      <w:pPr>
        <w:suppressAutoHyphens/>
        <w:spacing w:after="0" w:line="240" w:lineRule="auto"/>
        <w:jc w:val="center"/>
        <w:rPr>
          <w:rFonts w:ascii="Times New Roman" w:hAnsi="Times New Roman" w:eastAsia="Times New Roman" w:cs="Times New Roman"/>
          <w:b/>
          <w:sz w:val="52"/>
          <w:szCs w:val="52"/>
          <w:lang w:eastAsia="ar-SA"/>
        </w:rPr>
      </w:pPr>
    </w:p>
    <w:p>
      <w:pPr>
        <w:suppressAutoHyphens/>
        <w:spacing w:after="0" w:line="240" w:lineRule="auto"/>
        <w:jc w:val="center"/>
        <w:rPr>
          <w:rFonts w:ascii="Times New Roman" w:hAnsi="Times New Roman" w:eastAsia="Times New Roman" w:cs="Times New Roman"/>
          <w:b/>
          <w:sz w:val="52"/>
          <w:szCs w:val="52"/>
          <w:lang w:eastAsia="ar-SA"/>
        </w:rPr>
      </w:pPr>
      <w:r>
        <w:rPr>
          <w:rFonts w:ascii="Times New Roman" w:hAnsi="Times New Roman" w:eastAsia="Times New Roman" w:cs="Times New Roman"/>
          <w:b/>
          <w:sz w:val="52"/>
          <w:szCs w:val="52"/>
          <w:lang w:eastAsia="ar-SA"/>
        </w:rPr>
        <w:t>za rok 2021</w:t>
      </w:r>
    </w:p>
    <w:p>
      <w:pPr>
        <w:suppressAutoHyphens/>
        <w:spacing w:after="0" w:line="240" w:lineRule="auto"/>
        <w:jc w:val="center"/>
        <w:rPr>
          <w:rFonts w:ascii="Times New Roman" w:hAnsi="Times New Roman" w:eastAsia="Times New Roman" w:cs="Times New Roman"/>
          <w:b/>
          <w:sz w:val="44"/>
          <w:szCs w:val="44"/>
          <w:lang w:eastAsia="ar-SA"/>
        </w:rPr>
      </w:pPr>
    </w:p>
    <w:p>
      <w:pPr>
        <w:suppressAutoHyphens/>
        <w:spacing w:after="0" w:line="240" w:lineRule="auto"/>
        <w:jc w:val="center"/>
        <w:rPr>
          <w:rFonts w:ascii="Times New Roman" w:hAnsi="Times New Roman" w:eastAsia="Times New Roman" w:cs="Times New Roman"/>
          <w:b/>
          <w:sz w:val="44"/>
          <w:szCs w:val="44"/>
          <w:lang w:eastAsia="ar-SA"/>
        </w:rPr>
      </w:pPr>
    </w:p>
    <w:p>
      <w:pPr>
        <w:suppressAutoHyphens/>
        <w:spacing w:after="0" w:line="240" w:lineRule="auto"/>
        <w:jc w:val="center"/>
        <w:rPr>
          <w:rFonts w:ascii="Times New Roman" w:hAnsi="Times New Roman" w:eastAsia="Times New Roman" w:cs="Times New Roman"/>
          <w:b/>
          <w:sz w:val="44"/>
          <w:szCs w:val="44"/>
          <w:lang w:eastAsia="ar-SA"/>
        </w:rPr>
      </w:pPr>
    </w:p>
    <w:p>
      <w:pPr>
        <w:suppressAutoHyphens/>
        <w:spacing w:after="0" w:line="240" w:lineRule="auto"/>
        <w:jc w:val="center"/>
        <w:rPr>
          <w:rFonts w:ascii="Times New Roman" w:hAnsi="Times New Roman" w:eastAsia="Times New Roman" w:cs="Times New Roman"/>
          <w:b/>
          <w:sz w:val="44"/>
          <w:szCs w:val="44"/>
          <w:lang w:eastAsia="ar-SA"/>
        </w:rPr>
      </w:pPr>
    </w:p>
    <w:p>
      <w:pPr>
        <w:suppressAutoHyphens/>
        <w:spacing w:after="0" w:line="240" w:lineRule="auto"/>
        <w:jc w:val="center"/>
        <w:rPr>
          <w:rFonts w:ascii="Times New Roman" w:hAnsi="Times New Roman" w:eastAsia="Times New Roman" w:cs="Times New Roman"/>
          <w:b/>
          <w:sz w:val="44"/>
          <w:szCs w:val="44"/>
          <w:lang w:eastAsia="ar-SA"/>
        </w:rPr>
      </w:pPr>
      <w:r>
        <w:rPr>
          <w:rFonts w:ascii="Times New Roman" w:hAnsi="Times New Roman" w:eastAsia="Times New Roman" w:cs="Times New Roman"/>
          <w:sz w:val="24"/>
          <w:szCs w:val="24"/>
          <w:lang w:eastAsia="sk-SK"/>
        </w:rPr>
        <w:drawing>
          <wp:inline distT="0" distB="0" distL="0" distR="0">
            <wp:extent cx="2181225" cy="2314575"/>
            <wp:effectExtent l="0" t="0" r="9525" b="9525"/>
            <wp:docPr id="1" name="Obrázok 1" descr="Kopie č"/>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1" descr="Kopie č"/>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2181225" cy="2314575"/>
                    </a:xfrm>
                    <a:prstGeom prst="rect">
                      <a:avLst/>
                    </a:prstGeom>
                    <a:noFill/>
                    <a:ln>
                      <a:noFill/>
                    </a:ln>
                  </pic:spPr>
                </pic:pic>
              </a:graphicData>
            </a:graphic>
          </wp:inline>
        </w:drawing>
      </w:r>
    </w:p>
    <w:p>
      <w:pPr>
        <w:suppressAutoHyphens/>
        <w:spacing w:after="0" w:line="240" w:lineRule="auto"/>
        <w:jc w:val="center"/>
        <w:rPr>
          <w:rFonts w:ascii="Times New Roman" w:hAnsi="Times New Roman" w:eastAsia="Times New Roman" w:cs="Times New Roman"/>
          <w:b/>
          <w:sz w:val="44"/>
          <w:szCs w:val="44"/>
          <w:lang w:eastAsia="ar-SA"/>
        </w:rPr>
      </w:pPr>
    </w:p>
    <w:p>
      <w:pPr>
        <w:suppressAutoHyphens/>
        <w:spacing w:after="0" w:line="240" w:lineRule="auto"/>
        <w:jc w:val="center"/>
        <w:rPr>
          <w:rFonts w:ascii="Times New Roman" w:hAnsi="Times New Roman" w:eastAsia="Times New Roman" w:cs="Times New Roman"/>
          <w:b/>
          <w:sz w:val="44"/>
          <w:szCs w:val="44"/>
          <w:lang w:eastAsia="ar-SA"/>
        </w:rPr>
      </w:pPr>
    </w:p>
    <w:p>
      <w:pPr>
        <w:suppressAutoHyphens/>
        <w:spacing w:after="0" w:line="240" w:lineRule="auto"/>
        <w:jc w:val="center"/>
        <w:rPr>
          <w:rFonts w:ascii="Times New Roman" w:hAnsi="Times New Roman" w:eastAsia="Times New Roman" w:cs="Times New Roman"/>
          <w:b/>
          <w:sz w:val="44"/>
          <w:szCs w:val="44"/>
          <w:lang w:eastAsia="ar-SA"/>
        </w:rPr>
      </w:pPr>
    </w:p>
    <w:p>
      <w:pPr>
        <w:suppressAutoHyphens/>
        <w:spacing w:after="0" w:line="240" w:lineRule="auto"/>
        <w:jc w:val="center"/>
        <w:rPr>
          <w:rFonts w:ascii="Times New Roman" w:hAnsi="Times New Roman" w:eastAsia="Times New Roman" w:cs="Times New Roman"/>
          <w:b/>
          <w:sz w:val="44"/>
          <w:szCs w:val="44"/>
          <w:lang w:eastAsia="ar-SA"/>
        </w:rPr>
      </w:pPr>
    </w:p>
    <w:p>
      <w:pPr>
        <w:suppressAutoHyphens/>
        <w:spacing w:after="0" w:line="240" w:lineRule="auto"/>
        <w:jc w:val="center"/>
        <w:rPr>
          <w:rFonts w:ascii="Times New Roman" w:hAnsi="Times New Roman" w:eastAsia="Times New Roman" w:cs="Times New Roman"/>
          <w:b/>
          <w:sz w:val="44"/>
          <w:szCs w:val="44"/>
          <w:lang w:eastAsia="ar-SA"/>
        </w:rPr>
      </w:pPr>
    </w:p>
    <w:p>
      <w:pPr>
        <w:suppressAutoHyphens/>
        <w:spacing w:after="0" w:line="240" w:lineRule="auto"/>
        <w:jc w:val="center"/>
        <w:rPr>
          <w:rFonts w:ascii="Times New Roman" w:hAnsi="Times New Roman" w:eastAsia="Times New Roman" w:cs="Times New Roman"/>
          <w:b/>
          <w:sz w:val="44"/>
          <w:szCs w:val="44"/>
          <w:lang w:eastAsia="ar-SA"/>
        </w:rPr>
      </w:pPr>
    </w:p>
    <w:p>
      <w:pPr>
        <w:suppressAutoHyphens/>
        <w:spacing w:after="0" w:line="240" w:lineRule="auto"/>
        <w:jc w:val="center"/>
        <w:rPr>
          <w:rFonts w:ascii="Times New Roman" w:hAnsi="Times New Roman" w:eastAsia="Times New Roman" w:cs="Times New Roman"/>
          <w:b/>
          <w:sz w:val="44"/>
          <w:szCs w:val="44"/>
          <w:lang w:eastAsia="ar-SA"/>
        </w:rPr>
      </w:pPr>
    </w:p>
    <w:p>
      <w:pPr>
        <w:suppressAutoHyphens/>
        <w:spacing w:after="0" w:line="240" w:lineRule="auto"/>
        <w:jc w:val="center"/>
        <w:rPr>
          <w:rFonts w:ascii="Times New Roman" w:hAnsi="Times New Roman" w:eastAsia="Times New Roman" w:cs="Times New Roman"/>
          <w:b/>
          <w:sz w:val="44"/>
          <w:szCs w:val="44"/>
          <w:lang w:eastAsia="ar-SA"/>
        </w:rPr>
      </w:pPr>
    </w:p>
    <w:p>
      <w:pPr>
        <w:tabs>
          <w:tab w:val="right" w:pos="8820"/>
        </w:tabs>
        <w:suppressAutoHyphens/>
        <w:spacing w:after="0" w:line="360" w:lineRule="auto"/>
        <w:jc w:val="both"/>
        <w:rPr>
          <w:rFonts w:ascii="Times New Roman" w:hAnsi="Times New Roman" w:eastAsia="Times New Roman" w:cs="Times New Roman"/>
          <w:b/>
          <w:sz w:val="44"/>
          <w:szCs w:val="44"/>
          <w:lang w:eastAsia="ar-SA"/>
        </w:rPr>
      </w:pPr>
    </w:p>
    <w:p>
      <w:pPr>
        <w:tabs>
          <w:tab w:val="right" w:pos="8820"/>
        </w:tabs>
        <w:suppressAutoHyphens/>
        <w:spacing w:after="0" w:line="36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OBSAH</w:t>
      </w:r>
      <w:r>
        <w:rPr>
          <w:rFonts w:ascii="Times New Roman" w:hAnsi="Times New Roman" w:eastAsia="Times New Roman" w:cs="Times New Roman"/>
          <w:b/>
          <w:sz w:val="24"/>
          <w:szCs w:val="24"/>
          <w:lang w:eastAsia="ar-SA"/>
        </w:rPr>
        <w:tab/>
      </w:r>
      <w:r>
        <w:rPr>
          <w:rFonts w:ascii="Times New Roman" w:hAnsi="Times New Roman" w:eastAsia="Times New Roman" w:cs="Times New Roman"/>
          <w:b/>
          <w:sz w:val="24"/>
          <w:szCs w:val="24"/>
          <w:lang w:eastAsia="ar-SA"/>
        </w:rPr>
        <w:t>str.</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 Základná charakteristika obce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3</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1.1   Geografické údaje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3</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1.2   Demografické údaje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3</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1.3   Ekonomické údaje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3</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1.4   Symboly obce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3</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1.5   História obce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4</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1.6   Pamiatky</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4</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1.7   Významné osobnosti obce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4</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1.8   Výchova a vzdelávanie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4</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1.9   Zdravotníctvo</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4</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1.10 Sociálne zabezpečenie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4</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1.11 Kultúra</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4</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1.12 Hospodárstvo</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5</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1.13 Organizačná štruktúra obce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5</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 Rozpočet obce na rok 2021 a jeho plnenie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5</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2.1   Plnenie príjmov za rok 2021</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6</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2.2   Plnenie výdavkov za rok 2021</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8</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2.3   Plán rozpočtu na roky 2021 - 2023</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10</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3. Hospodárenie obce a rozdelenie výsledku hospodárenia za rok 2021</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11</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4. Bilancia aktív a pasív v tis. €</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12</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4.1   Aktíva</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12</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4.2   Pasíva</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12</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5. Vývoj pohľadávok a záväzkov v   €</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13</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5.1   Pohľadávky</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13</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5.2   Záväzky</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13</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6. Ostatné dôležité informácie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13</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6.1   Prijaté granty a transfery</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13</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6.2   Poskytnuté dotácie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14</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6.3   Významné investičné akcie v roku 2021 €</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14</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6.4   Predpokladaný budúci vývoj činnosti</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14</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6.5   Udalosti osobitného významu po skončení účtovného obdobia</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14</w:t>
      </w:r>
    </w:p>
    <w:p>
      <w:pPr>
        <w:tabs>
          <w:tab w:val="right" w:pos="8820"/>
        </w:tabs>
        <w:suppressAutoHyphens/>
        <w:spacing w:after="0" w:line="360" w:lineRule="auto"/>
        <w:jc w:val="both"/>
        <w:rPr>
          <w:rFonts w:ascii="Times New Roman" w:hAnsi="Times New Roman" w:eastAsia="Times New Roman" w:cs="Times New Roman"/>
          <w:sz w:val="24"/>
          <w:szCs w:val="24"/>
          <w:lang w:eastAsia="ar-SA"/>
        </w:rPr>
      </w:pPr>
    </w:p>
    <w:p>
      <w:pPr>
        <w:tabs>
          <w:tab w:val="right" w:pos="8820"/>
        </w:tabs>
        <w:suppressAutoHyphens/>
        <w:spacing w:after="0" w:line="360" w:lineRule="auto"/>
        <w:jc w:val="both"/>
        <w:rPr>
          <w:rFonts w:ascii="Times New Roman" w:hAnsi="Times New Roman" w:eastAsia="Times New Roman" w:cs="Times New Roman"/>
          <w:sz w:val="24"/>
          <w:szCs w:val="24"/>
          <w:lang w:eastAsia="ar-SA"/>
        </w:rPr>
      </w:pPr>
    </w:p>
    <w:p>
      <w:pPr>
        <w:tabs>
          <w:tab w:val="right" w:pos="8820"/>
        </w:tabs>
        <w:suppressAutoHyphens/>
        <w:spacing w:after="0" w:line="360" w:lineRule="auto"/>
        <w:jc w:val="both"/>
        <w:rPr>
          <w:rFonts w:ascii="Times New Roman" w:hAnsi="Times New Roman" w:eastAsia="Times New Roman" w:cs="Times New Roman"/>
          <w:sz w:val="24"/>
          <w:szCs w:val="24"/>
          <w:lang w:eastAsia="ar-SA"/>
        </w:rPr>
      </w:pPr>
    </w:p>
    <w:p>
      <w:pPr>
        <w:tabs>
          <w:tab w:val="right" w:pos="8820"/>
        </w:tabs>
        <w:suppressAutoHyphens/>
        <w:spacing w:after="0" w:line="360" w:lineRule="auto"/>
        <w:jc w:val="both"/>
        <w:rPr>
          <w:rFonts w:ascii="Times New Roman" w:hAnsi="Times New Roman" w:eastAsia="Times New Roman" w:cs="Times New Roman"/>
          <w:sz w:val="24"/>
          <w:szCs w:val="24"/>
          <w:lang w:eastAsia="ar-SA"/>
        </w:rPr>
      </w:pPr>
    </w:p>
    <w:p>
      <w:pPr>
        <w:suppressAutoHyphens/>
        <w:spacing w:after="0" w:line="360" w:lineRule="auto"/>
        <w:jc w:val="both"/>
        <w:rPr>
          <w:rFonts w:ascii="Times New Roman" w:hAnsi="Times New Roman" w:eastAsia="Times New Roman" w:cs="Times New Roman"/>
          <w:b/>
          <w:sz w:val="28"/>
          <w:szCs w:val="28"/>
          <w:lang w:eastAsia="ar-SA"/>
        </w:rPr>
      </w:pPr>
      <w:r>
        <w:rPr>
          <w:rFonts w:ascii="Times New Roman" w:hAnsi="Times New Roman" w:eastAsia="Times New Roman" w:cs="Times New Roman"/>
          <w:b/>
          <w:sz w:val="28"/>
          <w:szCs w:val="28"/>
          <w:lang w:eastAsia="ar-SA"/>
        </w:rPr>
        <w:t>1. Základná charakteristika Obce  Vrbovka</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Na základe administratívno-správneho členenia SR z roku 1996 je obec Vrbovka zaradená do okresu Veľký Krtíš, kraj Banskobystrický.  Od okresného mesta Veľký Krtíš je Vrbovka vzdialená 19 km. </w:t>
      </w:r>
    </w:p>
    <w:p>
      <w:pPr>
        <w:suppressAutoHyphens/>
        <w:spacing w:after="0" w:line="240" w:lineRule="auto"/>
        <w:jc w:val="both"/>
        <w:rPr>
          <w:rFonts w:ascii="Times New Roman" w:hAnsi="Times New Roman" w:eastAsia="Times New Roman" w:cs="Times New Roman"/>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Geografické údaje</w:t>
      </w: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Geografická poloha obce : Obec Vrbovka leží vo východnej časti Ipeľskej kotliny na pravom </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brehu Ipľa.  </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Susedné mestá a obce : Na severe je to obec Želovce, na západe obec Záhorce a na východe     </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obec Kiarov. Južnú hranicu obce tvorí rieka Ipeľ, ktorá je hraničnou    </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riekou s Maďarskom</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Celková rozloha obce : výmera katastrálneho územia obce Vrbovka je v súčasnosti 1 059 ha.</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Nadmorská výška : Stred obce sa nachádza v nadmorskej výške 150 m n.m. Chotár katastra sa </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nachádza v nadmorskej výške od 143 do 268 m n.m. </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Demografické údaje </w:t>
      </w: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Hustota  a počet obyvateľov :  Podľa údajov Slovenského štatistického úradu v roku 1991 žilo v obci Vrbovka 473 obyvateľov, z toho 231 mužov a 242 žien. K 31.12.2005 žilo v obci 397 trvale bývajúcich obyvateľov, z toho 192 mužov  (48,4%) a 205 žien (51,6 %). Pri katastrálnej výmere obce (10 596 135m2) bola hustota osídlenia 37 obyvateľov na ha.</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Vývoj počtu obyvateľstva za predchádzajúce 4 roky:</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sz w:val="24"/>
          <w:szCs w:val="24"/>
          <w:lang w:eastAsia="ar-SA"/>
        </w:rPr>
        <w:t xml:space="preserve">                  </w:t>
      </w:r>
      <w:r>
        <w:rPr>
          <w:rFonts w:ascii="Times New Roman" w:hAnsi="Times New Roman" w:eastAsia="Times New Roman" w:cs="Times New Roman"/>
          <w:b/>
          <w:sz w:val="24"/>
          <w:szCs w:val="24"/>
          <w:lang w:eastAsia="ar-SA"/>
        </w:rPr>
        <w:t>r. 2012        r.  2013              r.  2014           r. 2015            r.2016     r.2017</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Celkom     356                 357                    347                   345               340            345</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Muži</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 xml:space="preserve">      176                 176</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 xml:space="preserve">        173</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 xml:space="preserve">         171               167            168</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Ženy </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 xml:space="preserve">      183       </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 xml:space="preserve">   181</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 xml:space="preserve">        174</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 xml:space="preserve">         174               173            177</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                r. 2018             r. 2019               r.2020          r.2021</w:t>
      </w:r>
    </w:p>
    <w:p>
      <w:pPr>
        <w:suppressAutoHyphens/>
        <w:spacing w:after="0" w:line="240" w:lineRule="auto"/>
        <w:jc w:val="both"/>
        <w:rPr>
          <w:rFonts w:hint="default" w:ascii="Times New Roman" w:hAnsi="Times New Roman" w:eastAsia="Times New Roman" w:cs="Times New Roman"/>
          <w:sz w:val="24"/>
          <w:szCs w:val="24"/>
          <w:lang w:val="sk-SK" w:eastAsia="ar-SA"/>
        </w:rPr>
      </w:pPr>
      <w:r>
        <w:rPr>
          <w:rFonts w:ascii="Times New Roman" w:hAnsi="Times New Roman" w:eastAsia="Times New Roman" w:cs="Times New Roman"/>
          <w:sz w:val="24"/>
          <w:szCs w:val="24"/>
          <w:lang w:eastAsia="ar-SA"/>
        </w:rPr>
        <w:t>Celkom       355                   331                   326</w:t>
      </w:r>
      <w:r>
        <w:rPr>
          <w:rFonts w:hint="default" w:ascii="Times New Roman" w:hAnsi="Times New Roman" w:eastAsia="Times New Roman" w:cs="Times New Roman"/>
          <w:sz w:val="24"/>
          <w:szCs w:val="24"/>
          <w:lang w:val="sk-SK" w:eastAsia="ar-SA"/>
        </w:rPr>
        <w:t xml:space="preserve">               326</w:t>
      </w:r>
    </w:p>
    <w:p>
      <w:pPr>
        <w:suppressAutoHyphens/>
        <w:spacing w:after="0" w:line="240" w:lineRule="auto"/>
        <w:jc w:val="both"/>
        <w:rPr>
          <w:rFonts w:hint="default" w:ascii="Times New Roman" w:hAnsi="Times New Roman" w:eastAsia="Times New Roman" w:cs="Times New Roman"/>
          <w:sz w:val="24"/>
          <w:szCs w:val="24"/>
          <w:lang w:val="sk-SK" w:eastAsia="ar-SA"/>
        </w:rPr>
      </w:pPr>
      <w:r>
        <w:rPr>
          <w:rFonts w:ascii="Times New Roman" w:hAnsi="Times New Roman" w:eastAsia="Times New Roman" w:cs="Times New Roman"/>
          <w:sz w:val="24"/>
          <w:szCs w:val="24"/>
          <w:lang w:eastAsia="ar-SA"/>
        </w:rPr>
        <w:t>Muži           168                   161                   166</w:t>
      </w:r>
      <w:r>
        <w:rPr>
          <w:rFonts w:hint="default" w:ascii="Times New Roman" w:hAnsi="Times New Roman" w:eastAsia="Times New Roman" w:cs="Times New Roman"/>
          <w:sz w:val="24"/>
          <w:szCs w:val="24"/>
          <w:lang w:val="sk-SK" w:eastAsia="ar-SA"/>
        </w:rPr>
        <w:t xml:space="preserve">                160</w:t>
      </w:r>
    </w:p>
    <w:p>
      <w:pPr>
        <w:suppressAutoHyphens/>
        <w:spacing w:after="0" w:line="240" w:lineRule="auto"/>
        <w:jc w:val="both"/>
        <w:rPr>
          <w:rFonts w:hint="default" w:ascii="Times New Roman" w:hAnsi="Times New Roman" w:eastAsia="Times New Roman" w:cs="Times New Roman"/>
          <w:sz w:val="24"/>
          <w:szCs w:val="24"/>
          <w:lang w:val="sk-SK" w:eastAsia="ar-SA"/>
        </w:rPr>
      </w:pPr>
      <w:r>
        <w:rPr>
          <w:rFonts w:ascii="Times New Roman" w:hAnsi="Times New Roman" w:eastAsia="Times New Roman" w:cs="Times New Roman"/>
          <w:sz w:val="24"/>
          <w:szCs w:val="24"/>
          <w:lang w:eastAsia="ar-SA"/>
        </w:rPr>
        <w:t>Ženy            187                  170                    160</w:t>
      </w:r>
      <w:r>
        <w:rPr>
          <w:rFonts w:hint="default" w:ascii="Times New Roman" w:hAnsi="Times New Roman" w:eastAsia="Times New Roman" w:cs="Times New Roman"/>
          <w:sz w:val="24"/>
          <w:szCs w:val="24"/>
          <w:lang w:val="sk-SK" w:eastAsia="ar-SA"/>
        </w:rPr>
        <w:t xml:space="preserve">            </w:t>
      </w:r>
      <w:bookmarkStart w:id="0" w:name="_GoBack"/>
      <w:bookmarkEnd w:id="0"/>
      <w:r>
        <w:rPr>
          <w:rFonts w:hint="default" w:ascii="Times New Roman" w:hAnsi="Times New Roman" w:eastAsia="Times New Roman" w:cs="Times New Roman"/>
          <w:sz w:val="24"/>
          <w:szCs w:val="24"/>
          <w:lang w:val="sk-SK" w:eastAsia="ar-SA"/>
        </w:rPr>
        <w:t xml:space="preserve">   166</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Národnostná štruktúra : Väčšina   85 % obyvateľov obce je maďarskej národnosti. </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Štruktúra obyvateľstva podľa náboženského významu : Rímskokatolícka – 85 %, Evanjelická 10%, Iné 5%</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Vývoj počtu obyvateľov : . Maximálny počet obyvateľov žilo v obci v roku 1923 (720) obyvateľov minimálny v roku 2008. K 31.12.2008 žilo v obci 373 obyvateľov. Z ktorého obyvatelia v predproduktívnom veku 59, v produktívnom veku 208 a v poproduktívnom veku 106 obyvateľov. Celkový počet obyvateľov obce v sledovanom období postupne klesá až po súčasnosť. Kým v roku 1869 mala Vrbovka 665 obyvateľov, dnes je to takmer polovica. Príčinou je imigrácia mladých rodín za lepšími pracovnými príležitosťami do miest alebo do zahraničia ako aj klesajúci počet narodení a zvyšujúci počet úmrtnosti  obyvateľstva.</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Ekonomické údaje </w:t>
      </w: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Nezamestnanosť v obci : V zozname ÚPSVaR V.Krtíš je uvedený počet dlhodobo nezamestnaných občanov  k 31.12.2020  celkom   10 </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Vývoj nezamestnanosti : V roku 1996 bolo evidovaných v obci 31 nezamestnaných osôb. Od tohto roku sa počet evidovaných nezamestnaných v obci len zvyšoval, až kým hodnota nedosiahla doterajšie maximu, čo predstavoval počet evidovaných nezamestnaných 82 a bolo to v roku 2001 . Od toho roku počet obyvateľov uchádzajúcich sa o prácu sústavne klesá. V roku 2005 bolo v obci 38 evidovaných nezamestnaných, čo predstavoval 20,65 %. Toto percento bolo v porovnaní s celoslovenskou mierou nezamestnanosti (8,7 %) veľmi vysoké.</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V súčasnosti k 31.12.2020 je v obci evidovaných 7 nezamestnaných. </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Symboly obce</w:t>
      </w: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Erb obce : V modrom štíte medzi striebornými obrátenými radlicami – čereslom lemešom tri zlaté dvoma povrieslami zviazané klasy, to všetko sprevádzané vľavo zlatým strapcom hrozna na striebornej jednolistnej stopke a v horných rohoch štítu zlatými hviezdami.</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Vlajka obce : pozostáva z deviatich pruhov pozdĺžnych pruhov vo farbách bielej, žltej, bielej, modrej, žltej, modrej, bielej, žltej a bielej. Pomer strán má 2:3 a ukončená je tromi cípmi, t.j. dvomi  zástrihmi, siahajúcimi do tretiny jej listu.</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Pečať obce :</w:t>
      </w:r>
      <w:r>
        <w:rPr>
          <w:rFonts w:ascii="Times New Roman" w:hAnsi="Times New Roman" w:eastAsia="Times New Roman" w:cs="Times New Roman"/>
          <w:b/>
          <w:sz w:val="24"/>
          <w:szCs w:val="24"/>
          <w:lang w:eastAsia="ar-SA"/>
        </w:rPr>
        <w:t xml:space="preserve">  </w:t>
      </w:r>
      <w:r>
        <w:rPr>
          <w:rFonts w:ascii="Times New Roman" w:hAnsi="Times New Roman" w:eastAsia="Times New Roman" w:cs="Times New Roman"/>
          <w:sz w:val="24"/>
          <w:szCs w:val="24"/>
          <w:lang w:eastAsia="ar-SA"/>
        </w:rPr>
        <w:t>Historický pečatný symbol obce Vrbovka poznáme podľa odtlačku pečatidla z 18. storočia. Jej kruhopis je čitateľný iba sčasti a znie IPOLYVARBO (petsetje) 1777, v strede pečatného poľa vidno strapec hrozna, čerieslo, tri klasy a lemeš a tiež text BIRO a letopočet 1777. Vnútorný text je ešte sprevádzaný dvoma hviezdičkami.</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Symbolika pečate je vcelku jasná- upozorňuje na poľnohospodársky a vinohradnícky charakter obce. Na druhej strane zobrazením pluhových radlíc klasov a hrozna symbolicky  vyjadruje začiatok a koniec poľnohospodárskych prác a v prenesenom slova zmysle tiež každej práce. Navyše motív klasov hrozna pripomína eucharistickú symboliku tela a krvi Ježiša Krista.</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b/>
          <w:sz w:val="24"/>
          <w:szCs w:val="24"/>
          <w:lang w:eastAsia="ar-SA"/>
        </w:rPr>
        <w:t xml:space="preserve">História obce: </w:t>
      </w:r>
      <w:r>
        <w:rPr>
          <w:rFonts w:ascii="Times New Roman" w:hAnsi="Times New Roman" w:eastAsia="Times New Roman" w:cs="Times New Roman"/>
          <w:sz w:val="24"/>
          <w:szCs w:val="24"/>
          <w:lang w:eastAsia="ar-SA"/>
        </w:rPr>
        <w:t>Obec Vrbovka sa spomína prvý krát v roku 1327. Prvá písomná zmienka o názve obci v podobe Warbo, Warbok, kWarbow neskoršie Varbo pochádza zo začiatku 14. storočia, keď obec patrila Mihályovi Varboymu resp. jeho synovi Mártonovi, ktorý bol stúpencom Mátyása Csáka. Vtedajší kráľ Károly Róbert práve preto mu tieto majetky odňal a v roku 1327 daroval Tamásovi Szécsényimu. Medzi ďalšími hlavnými panovníkmi obce boli rodiny: Kazai, Kakas, Gúthi Országh László, Kalmár Péter. Lossonczyovci, Forgácsovci. Od roku 1770 obec patrila Ferenczovi Szentiványimu, ktorý dal postaviť aj dve kúrie, ktoré žiaľ toho času sú viditeľné iba na pohľadniciach. V roku 1881 Sándor Szentiványi celý jeho majetok daroval Jánosovi a Vilmosovi Szabóovi. Názov v podobe Ipolyvarbó sa spomína prvý krát v roku 1781, čo svedčí aj pečať vtedajšieho richtára.</w:t>
      </w: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b/>
          <w:sz w:val="24"/>
          <w:szCs w:val="24"/>
          <w:lang w:eastAsia="ar-SA"/>
        </w:rPr>
        <w:t>Pamiatky</w:t>
      </w:r>
      <w:r>
        <w:rPr>
          <w:rFonts w:ascii="Times New Roman" w:hAnsi="Times New Roman" w:eastAsia="Times New Roman" w:cs="Times New Roman"/>
          <w:sz w:val="24"/>
          <w:szCs w:val="24"/>
          <w:lang w:eastAsia="ar-SA"/>
        </w:rPr>
        <w:t xml:space="preserve">:  Neskorobarokový rímskokatolícky kostol dal postaviť v roku 1789 pán Ferencz Szentiványi a je národnou kultúrnou pamiatkou. Jeho posvätenie pripomínajú 2 pamätné tabule. Jedna sa nachádza nad hlavným vstupom do kostola, druhú umiestnil na pamiatku Szentiványiho jeho vnuk Sándor Szentiványi v r. 1897 vo svätyni.  Kaplnka Sv.Marka patrí medzi sakrálne pamiatky obce. Donedávna tu mohli obyvatelia obce ako aj návštevníci obdivovať drvenú čiernu sochu Svätého Marka v sedavej polohe, ktorú už dnes nenájdeme na jej pôvodnom mieste. V novej časti cintorína stojí kríž hrdinov. Môžeme na ňom čítať latinský nápis: „In memoriam heroum bellis mundis 1914-1918 at 1939-1945- Occubitorum erexit fietas fidedilum anno 1947, ktorý bol postavený namiesto dreveného kríža ktorý stál ešte pred pár desiatkami rokov v obci, pred terajším kultúrnym domom. V jednom dokumente sa dočítame, že v strede obce Varbó bol postavený nový kríž hrdinov namiesto dreveného kríža (ktorý dala postaviť ešte Franczia Janka 26.marca 1848)  na ktorý sa poskladali veriaci obce ako aj vrbovskí maďari žijúci v Amerike sumou 900 korún v roku 1915. Kaštiel Szentiványiovcov bol 83 metrov dlhý, postavený bol  z kameňa, s ôsmymi izbami.Kaštiel však v roku 1945 zbúrali. Neskôr obývala tento kaštiel rodina Dióssyovcov . V obci nájdeme aj pamätnú tabuľu Kálmána Mikszátha na stene tunajšej základnej školy. V cintoríne môžeme navšíviť  pohrebnú kaplnku rodiny Wickemburgovcov, pomník postavený na počesť dobyvateľov územia Karpatskej kotliny a v záhrade kostola sochu Svätého Jána Nepomuckého. </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b/>
          <w:sz w:val="24"/>
          <w:szCs w:val="24"/>
          <w:lang w:eastAsia="ar-SA"/>
        </w:rPr>
        <w:t xml:space="preserve">Významné osobnosti obce:  Szentiványi Ferenc (1731-1823) </w:t>
      </w:r>
      <w:r>
        <w:rPr>
          <w:rFonts w:ascii="Times New Roman" w:hAnsi="Times New Roman" w:eastAsia="Times New Roman" w:cs="Times New Roman"/>
          <w:sz w:val="24"/>
          <w:szCs w:val="24"/>
          <w:lang w:eastAsia="ar-SA"/>
        </w:rPr>
        <w:t xml:space="preserve">bol zástupcom notára Novohradu v r. 1757, neskôr sa stal županom v Novohrade, po r. 1772 zastával funkciu sudcu, neskôr bol hlavným županom kraja Sáros.Je pochovaný v krypte pod kostolom. </w:t>
      </w:r>
      <w:r>
        <w:rPr>
          <w:rFonts w:ascii="Times New Roman" w:hAnsi="Times New Roman" w:eastAsia="Times New Roman" w:cs="Times New Roman"/>
          <w:b/>
          <w:sz w:val="24"/>
          <w:szCs w:val="24"/>
          <w:lang w:eastAsia="ar-SA"/>
        </w:rPr>
        <w:t xml:space="preserve">Szabó Pál (1752-1835) </w:t>
      </w:r>
      <w:r>
        <w:rPr>
          <w:rFonts w:ascii="Times New Roman" w:hAnsi="Times New Roman" w:eastAsia="Times New Roman" w:cs="Times New Roman"/>
          <w:sz w:val="24"/>
          <w:szCs w:val="24"/>
          <w:lang w:eastAsia="ar-SA"/>
        </w:rPr>
        <w:t>od roku 1785 bol dlhšiu dobu farárom Vrbovky, neskôr bol hlavným cirkevným dekanom. Jeho cirkevná reč z r.1811 vyšla aj v tlači</w:t>
      </w:r>
      <w:r>
        <w:rPr>
          <w:rFonts w:ascii="Times New Roman" w:hAnsi="Times New Roman" w:eastAsia="Times New Roman" w:cs="Times New Roman"/>
          <w:b/>
          <w:sz w:val="24"/>
          <w:szCs w:val="24"/>
          <w:lang w:eastAsia="ar-SA"/>
        </w:rPr>
        <w:t>. Alslódraskóczi Morvay Lipót (1848-1910)</w:t>
      </w:r>
      <w:r>
        <w:rPr>
          <w:rFonts w:ascii="Times New Roman" w:hAnsi="Times New Roman" w:eastAsia="Times New Roman" w:cs="Times New Roman"/>
          <w:sz w:val="24"/>
          <w:szCs w:val="24"/>
          <w:lang w:eastAsia="ar-SA"/>
        </w:rPr>
        <w:t xml:space="preserve"> bol cirkevným dekanom, učiteľom na hlavnom gymnáziu vo Veľkej Sobote.</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Výchova a vzdelávanie : V </w:t>
      </w:r>
      <w:r>
        <w:rPr>
          <w:rFonts w:ascii="Times New Roman" w:hAnsi="Times New Roman" w:eastAsia="Times New Roman" w:cs="Times New Roman"/>
          <w:sz w:val="24"/>
          <w:szCs w:val="24"/>
          <w:lang w:eastAsia="ar-SA"/>
        </w:rPr>
        <w:t>obci sa nachádza Základná škola Kálmána Mikszátha s materskou školou s vyučovacím jazykom maďarským,</w:t>
      </w:r>
    </w:p>
    <w:p>
      <w:pPr>
        <w:suppressAutoHyphens/>
        <w:spacing w:after="0" w:line="240" w:lineRule="auto"/>
        <w:ind w:left="435"/>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V súčasnosti škola poskytuje výchovu a vzdelávanie detí od 1 do 9 ročníka     pre 20 detí.</w:t>
      </w:r>
    </w:p>
    <w:p>
      <w:pPr>
        <w:suppressAutoHyphens/>
        <w:spacing w:after="0" w:line="240" w:lineRule="auto"/>
        <w:ind w:left="435"/>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w:t>
      </w:r>
    </w:p>
    <w:p>
      <w:pPr>
        <w:suppressAutoHyphens/>
        <w:spacing w:after="0" w:line="240" w:lineRule="auto"/>
        <w:ind w:left="435"/>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Na základe analýzy doterajšieho vývoja možno očakávať, že rozvoj vzdelávania sa bude orientovať na :  - zachovanie čím väčšieho počtu  prihlásených detí do miestnej základnej školy a materskej školy.</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 Zdravotníctvo</w:t>
      </w:r>
    </w:p>
    <w:p>
      <w:pPr>
        <w:suppressAutoHyphens/>
        <w:spacing w:after="0" w:line="240" w:lineRule="auto"/>
        <w:ind w:left="435"/>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Zdravotnú starostlivosť v obci poskytuje:</w:t>
      </w:r>
    </w:p>
    <w:p>
      <w:pPr>
        <w:numPr>
          <w:ilvl w:val="0"/>
          <w:numId w:val="2"/>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Nemocnica s poliklinikou ..vo Veľkom Krtíši .....</w:t>
      </w:r>
    </w:p>
    <w:p>
      <w:pPr>
        <w:numPr>
          <w:ilvl w:val="0"/>
          <w:numId w:val="2"/>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Lekáry   ( súkromný ) MUDr.Ľudmila Resutíková Želovce, .MUDr.Ida Repková. Veľká Ves nad Ipľom</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Na základe analýzy doterajšieho vývoja možno očakávať, že rozvoj zdravotnej starostlivosti sa bude orientovať na :  ...zachovanie .miestnej ambulancie praktického lekára....</w:t>
      </w:r>
    </w:p>
    <w:p>
      <w:pPr>
        <w:suppressAutoHyphens/>
        <w:spacing w:after="0" w:line="240" w:lineRule="auto"/>
        <w:ind w:left="435"/>
        <w:jc w:val="both"/>
        <w:rPr>
          <w:rFonts w:ascii="Times New Roman" w:hAnsi="Times New Roman" w:eastAsia="Times New Roman" w:cs="Times New Roman"/>
          <w:b/>
          <w:sz w:val="24"/>
          <w:szCs w:val="24"/>
          <w:lang w:eastAsia="ar-SA"/>
        </w:rPr>
      </w:pPr>
    </w:p>
    <w:p>
      <w:pPr>
        <w:suppressAutoHyphens/>
        <w:spacing w:after="0" w:line="240" w:lineRule="auto"/>
        <w:ind w:left="435"/>
        <w:jc w:val="both"/>
        <w:rPr>
          <w:rFonts w:ascii="Times New Roman" w:hAnsi="Times New Roman" w:eastAsia="Times New Roman" w:cs="Times New Roman"/>
          <w:b/>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 Sociálne zabezpečenie</w:t>
      </w:r>
    </w:p>
    <w:p>
      <w:pPr>
        <w:suppressAutoHyphens/>
        <w:spacing w:after="0" w:line="240" w:lineRule="auto"/>
        <w:ind w:left="435"/>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Sociálne služby pre  obec zabezpečuje :</w:t>
      </w:r>
    </w:p>
    <w:p>
      <w:pPr>
        <w:numPr>
          <w:ilvl w:val="0"/>
          <w:numId w:val="2"/>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Domov dôchodcov  ...vo Veľkom Krtíši..</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ind w:firstLine="360"/>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Na základe analýzy doterajšieho vývoja možno očakávať, že rozvoj sociálnych služieb sa bude orientovať na : ...sociálne služby pre starších osamelých občanov....</w:t>
      </w:r>
    </w:p>
    <w:p>
      <w:pPr>
        <w:suppressAutoHyphens/>
        <w:spacing w:after="0" w:line="240" w:lineRule="auto"/>
        <w:jc w:val="both"/>
        <w:rPr>
          <w:rFonts w:ascii="Times New Roman" w:hAnsi="Times New Roman" w:eastAsia="Times New Roman" w:cs="Times New Roman"/>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 Kultúra</w:t>
      </w:r>
    </w:p>
    <w:p>
      <w:pPr>
        <w:suppressAutoHyphens/>
        <w:spacing w:after="0" w:line="240" w:lineRule="auto"/>
        <w:ind w:left="435"/>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Spoločenský a kultúrny život v obci zabezpečuje :</w:t>
      </w:r>
    </w:p>
    <w:p>
      <w:pPr>
        <w:numPr>
          <w:ilvl w:val="0"/>
          <w:numId w:val="2"/>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....MO CSEMADOK ako aj samospráva obce......</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w:t>
      </w:r>
    </w:p>
    <w:p>
      <w:pPr>
        <w:suppressAutoHyphens/>
        <w:spacing w:after="0" w:line="240" w:lineRule="auto"/>
        <w:ind w:firstLine="360"/>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Na základe analýzy doterajšieho vývoja možno očakávať, že kultúrny a spoločenský život sa bude orientovať na : ..zachovanie národnej identity a kultúrneho dedičstva....</w:t>
      </w:r>
    </w:p>
    <w:p>
      <w:pPr>
        <w:suppressAutoHyphens/>
        <w:spacing w:after="0" w:line="240" w:lineRule="auto"/>
        <w:jc w:val="both"/>
        <w:rPr>
          <w:rFonts w:ascii="Times New Roman" w:hAnsi="Times New Roman" w:eastAsia="Times New Roman" w:cs="Times New Roman"/>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 Hospodárstvo </w:t>
      </w:r>
    </w:p>
    <w:p>
      <w:pPr>
        <w:suppressAutoHyphens/>
        <w:spacing w:after="0" w:line="240" w:lineRule="auto"/>
        <w:ind w:left="435"/>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Najvýznamnejší poskytovatelia služieb v obci :......</w:t>
      </w:r>
    </w:p>
    <w:p>
      <w:pPr>
        <w:suppressAutoHyphens/>
        <w:spacing w:after="0" w:line="240" w:lineRule="auto"/>
        <w:ind w:left="795"/>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Poraviny ESCO VK</w:t>
      </w:r>
    </w:p>
    <w:p>
      <w:pPr>
        <w:numPr>
          <w:ilvl w:val="0"/>
          <w:numId w:val="2"/>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Pohostínstvo Éden – Jaroslav Dánóci...</w:t>
      </w:r>
    </w:p>
    <w:p>
      <w:pPr>
        <w:suppressAutoHyphens/>
        <w:spacing w:after="0" w:line="240" w:lineRule="auto"/>
        <w:ind w:left="435"/>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Najvýznamnejší priemysel v obci :</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   nie je priemysel v obci</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ind w:left="435"/>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Najvýznamnejšia poľnohospodárska výroba v obci :</w:t>
      </w:r>
    </w:p>
    <w:p>
      <w:pPr>
        <w:numPr>
          <w:ilvl w:val="0"/>
          <w:numId w:val="2"/>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súkromne hospodáriaci roľníci : Tibor Kelemen, Ing.Štefan Brunder, Gabriel Urbán,</w:t>
      </w:r>
    </w:p>
    <w:p>
      <w:pPr>
        <w:suppressAutoHyphens/>
        <w:spacing w:after="0" w:line="240" w:lineRule="auto"/>
        <w:ind w:left="795"/>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Attila Kováč, Zoltán Uhrík </w:t>
      </w:r>
    </w:p>
    <w:p>
      <w:pPr>
        <w:numPr>
          <w:ilvl w:val="0"/>
          <w:numId w:val="2"/>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PD Balog nad Ipľom , ABG Želovce, Agropodnik Źelovce</w:t>
      </w:r>
    </w:p>
    <w:p>
      <w:pPr>
        <w:suppressAutoHyphens/>
        <w:spacing w:after="0" w:line="240" w:lineRule="auto"/>
        <w:ind w:left="435"/>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Na základe analýzy doterajšieho vývoja možno očakávať, že hospodársky život v obci sa bude orientovať na : .....poľnohospodársku výrobu.........</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numPr>
          <w:ilvl w:val="1"/>
          <w:numId w:val="1"/>
        </w:num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 Organizačná štruktúra obce </w:t>
      </w: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Starosta obce:                      Marcel Fagyas</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Zástupca starostu obce :       Bernardína Kováčová</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Hlavný kontrolór obce:         JUDr.Tibor Gonda</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Obecné zastupiteľstvo:    Mgr.Silvia Györgyiková,  Valéria Fábián,    </w:t>
      </w:r>
    </w:p>
    <w:p>
      <w:pPr>
        <w:suppressAutoHyphens/>
        <w:spacing w:after="0" w:line="240" w:lineRule="auto"/>
        <w:ind w:left="1416"/>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Bernardína Kováčová, Tibor Černík, Csaba Fagyaš, </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Komisie:</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 xml:space="preserve">       školstvo a šport  </w:t>
      </w:r>
    </w:p>
    <w:p>
      <w:pPr>
        <w:suppressAutoHyphens/>
        <w:spacing w:after="0" w:line="240" w:lineRule="auto"/>
        <w:ind w:left="2544"/>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životné prostredie a stavebníctvo  </w:t>
      </w:r>
    </w:p>
    <w:p>
      <w:pPr>
        <w:suppressAutoHyphens/>
        <w:spacing w:after="0" w:line="240" w:lineRule="auto"/>
        <w:ind w:left="2544"/>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sociálna starostlivosť a kultúra  </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Obecný úrad:</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 xml:space="preserve">       Sídli v budove kultúrneho domu na adrese:  Vrbovka 56</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b/>
          <w:sz w:val="28"/>
          <w:szCs w:val="28"/>
          <w:lang w:eastAsia="ar-SA"/>
        </w:rPr>
      </w:pPr>
      <w:r>
        <w:rPr>
          <w:rFonts w:ascii="Times New Roman" w:hAnsi="Times New Roman" w:eastAsia="Times New Roman" w:cs="Times New Roman"/>
          <w:b/>
          <w:sz w:val="28"/>
          <w:szCs w:val="28"/>
          <w:lang w:eastAsia="ar-SA"/>
        </w:rPr>
        <w:t>2. Rozpočet obce na rok 2021 a jeho plnenie</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Rozpočet obce je základným nástrojom finančného hospodárenia v príslušnom rozpočtovom roku, ktorým sa riadi financovanie úloh a funkcií obce v príslušnom rozpočtovom roku. Rozpočet obce je súčasťou rozpočtu verejnej správy. Rozpočtový rok je zhodný s kalendárnym rokom. Rozpočet obce vyjadruje samostatnosť hospodárenia obce. </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Rozpočet obce obsahuje príjmy a výdavky, v ktorých sú vyjadrené finančné vzťahy:</w:t>
      </w:r>
    </w:p>
    <w:p>
      <w:pPr>
        <w:numPr>
          <w:ilvl w:val="0"/>
          <w:numId w:val="3"/>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k právnickým osobám a fyzickým osobám - podnikateľom pôsobiacim na území obce, </w:t>
      </w:r>
    </w:p>
    <w:p>
      <w:pPr>
        <w:numPr>
          <w:ilvl w:val="0"/>
          <w:numId w:val="3"/>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ako aj k obyvateľom žijúcim na tomto území vyplývajúce pre ne zo zákonov a z iných všeobecne záväzných právnych predpisov, zo VZN obce, ako aj zo zmlúv.</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Rozpočet obce zahŕňa aj finančné vzťahy štátu k rozpočtom obcí :</w:t>
      </w:r>
    </w:p>
    <w:p>
      <w:pPr>
        <w:numPr>
          <w:ilvl w:val="0"/>
          <w:numId w:val="3"/>
        </w:numPr>
        <w:suppressAutoHyphens/>
        <w:spacing w:after="0" w:line="240" w:lineRule="auto"/>
        <w:jc w:val="both"/>
        <w:rPr>
          <w:rFonts w:ascii="Times New Roman" w:hAnsi="Times New Roman" w:eastAsia="Times New Roman" w:cs="Times New Roman"/>
          <w:bCs/>
          <w:sz w:val="24"/>
          <w:szCs w:val="24"/>
          <w:lang w:eastAsia="ar-SA"/>
        </w:rPr>
      </w:pPr>
      <w:r>
        <w:rPr>
          <w:rFonts w:ascii="Times New Roman" w:hAnsi="Times New Roman" w:eastAsia="Times New Roman" w:cs="Times New Roman"/>
          <w:bCs/>
          <w:sz w:val="24"/>
          <w:szCs w:val="24"/>
          <w:lang w:eastAsia="ar-SA"/>
        </w:rPr>
        <w:t>podiely na daniach v správe štátu,</w:t>
      </w:r>
    </w:p>
    <w:p>
      <w:pPr>
        <w:numPr>
          <w:ilvl w:val="0"/>
          <w:numId w:val="3"/>
        </w:numPr>
        <w:suppressAutoHyphens/>
        <w:spacing w:after="0" w:line="240" w:lineRule="auto"/>
        <w:jc w:val="both"/>
        <w:rPr>
          <w:rFonts w:ascii="Times New Roman" w:hAnsi="Times New Roman" w:eastAsia="Times New Roman" w:cs="Times New Roman"/>
          <w:bCs/>
          <w:sz w:val="24"/>
          <w:szCs w:val="24"/>
          <w:lang w:eastAsia="ar-SA"/>
        </w:rPr>
      </w:pPr>
      <w:r>
        <w:rPr>
          <w:rFonts w:ascii="Times New Roman" w:hAnsi="Times New Roman" w:eastAsia="Times New Roman" w:cs="Times New Roman"/>
          <w:bCs/>
          <w:sz w:val="24"/>
          <w:szCs w:val="24"/>
          <w:lang w:eastAsia="ar-SA"/>
        </w:rPr>
        <w:t xml:space="preserve">dotácia na úhradu nákladov preneseného výkonu štátnej správy, </w:t>
      </w:r>
    </w:p>
    <w:p>
      <w:pPr>
        <w:numPr>
          <w:ilvl w:val="0"/>
          <w:numId w:val="3"/>
        </w:numPr>
        <w:suppressAutoHyphens/>
        <w:spacing w:after="0" w:line="240" w:lineRule="auto"/>
        <w:jc w:val="both"/>
        <w:rPr>
          <w:rFonts w:ascii="Times New Roman" w:hAnsi="Times New Roman" w:eastAsia="Times New Roman" w:cs="Times New Roman"/>
          <w:bCs/>
          <w:sz w:val="24"/>
          <w:szCs w:val="24"/>
          <w:lang w:eastAsia="ar-SA"/>
        </w:rPr>
      </w:pPr>
      <w:r>
        <w:rPr>
          <w:rFonts w:ascii="Times New Roman" w:hAnsi="Times New Roman" w:eastAsia="Times New Roman" w:cs="Times New Roman"/>
          <w:bCs/>
          <w:sz w:val="24"/>
          <w:szCs w:val="24"/>
          <w:lang w:eastAsia="ar-SA"/>
        </w:rPr>
        <w:t>ďalšie dotácie v súlade so zákonom o štátnom rozpočte na príslušný rozpočtový rok.</w:t>
      </w:r>
    </w:p>
    <w:p>
      <w:p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sz w:val="24"/>
          <w:szCs w:val="24"/>
          <w:lang w:eastAsia="ar-SA"/>
        </w:rPr>
        <w:t xml:space="preserve">Rozpočet obce obsahuje finančné vzťahy k rozpočtovým organizáciám a príspevkovým organizáciám zriadeným  obcou, a k iným právnickým osobám, ktorých je zakladateľom.  </w:t>
      </w:r>
      <w:r>
        <w:rPr>
          <w:rFonts w:ascii="Times New Roman" w:hAnsi="Times New Roman" w:eastAsia="Times New Roman" w:cs="Times New Roman"/>
          <w:b/>
          <w:sz w:val="24"/>
          <w:szCs w:val="24"/>
          <w:lang w:eastAsia="ar-SA"/>
        </w:rPr>
        <w:t xml:space="preserve"> </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Rozpočet obce môže obsahovať finančné vzťahy :</w:t>
      </w:r>
    </w:p>
    <w:p>
      <w:pPr>
        <w:numPr>
          <w:ilvl w:val="0"/>
          <w:numId w:val="3"/>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k rozpočtom iných obcí,</w:t>
      </w:r>
    </w:p>
    <w:p>
      <w:pPr>
        <w:numPr>
          <w:ilvl w:val="0"/>
          <w:numId w:val="3"/>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k rozpočtu vyššieho územného celku, do ktorého územia obec patrí, ak plnia spoločné úlohy.</w:t>
      </w:r>
    </w:p>
    <w:p>
      <w:pPr>
        <w:suppressAutoHyphens/>
        <w:spacing w:after="0" w:line="240" w:lineRule="auto"/>
        <w:ind w:left="360"/>
        <w:rPr>
          <w:rFonts w:ascii="Times New Roman" w:hAnsi="Times New Roman" w:eastAsia="Times New Roman" w:cs="Times New Roman"/>
          <w:sz w:val="24"/>
          <w:szCs w:val="24"/>
          <w:lang w:eastAsia="ar-SA"/>
        </w:rPr>
      </w:pPr>
    </w:p>
    <w:p>
      <w:pPr>
        <w:suppressAutoHyphens/>
        <w:spacing w:after="0" w:line="240" w:lineRule="auto"/>
        <w:ind w:left="360"/>
        <w:rPr>
          <w:rFonts w:ascii="Times New Roman" w:hAnsi="Times New Roman" w:eastAsia="Times New Roman" w:cs="Times New Roman"/>
          <w:sz w:val="24"/>
          <w:szCs w:val="24"/>
          <w:lang w:eastAsia="ar-SA"/>
        </w:rPr>
      </w:pPr>
    </w:p>
    <w:p>
      <w:pPr>
        <w:suppressAutoHyphens/>
        <w:spacing w:after="0" w:line="240" w:lineRule="auto"/>
        <w:ind w:left="360"/>
        <w:rPr>
          <w:rFonts w:ascii="Times New Roman" w:hAnsi="Times New Roman" w:eastAsia="Times New Roman" w:cs="Times New Roman"/>
          <w:sz w:val="24"/>
          <w:szCs w:val="24"/>
          <w:lang w:eastAsia="ar-SA"/>
        </w:rPr>
      </w:pPr>
    </w:p>
    <w:p>
      <w:pPr>
        <w:suppressAutoHyphens/>
        <w:spacing w:after="0" w:line="240" w:lineRule="auto"/>
        <w:ind w:left="360"/>
        <w:rPr>
          <w:rFonts w:ascii="Times New Roman" w:hAnsi="Times New Roman" w:eastAsia="Times New Roman" w:cs="Times New Roman"/>
          <w:sz w:val="24"/>
          <w:szCs w:val="24"/>
          <w:lang w:eastAsia="ar-SA"/>
        </w:rPr>
      </w:pPr>
    </w:p>
    <w:p>
      <w:pPr>
        <w:suppressAutoHyphens/>
        <w:spacing w:after="0" w:line="240" w:lineRule="auto"/>
        <w:ind w:firstLine="360"/>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V rozpočte obce sa uplatňuje rozpočtová klasifikácia v súlade s osobitným predpisom.</w:t>
      </w:r>
    </w:p>
    <w:p>
      <w:pPr>
        <w:suppressAutoHyphens/>
        <w:spacing w:after="0" w:line="240" w:lineRule="auto"/>
        <w:ind w:firstLine="360"/>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Rozpočet obce na rok 2016 bol zostavený v súlade s ustanovením § 10 zákona č.583/2004 Z.z. o rozpočtových pravidlách územnej samosprávy a o zmene a doplnení niektorých zákonov v znení neskorších predpisov. </w:t>
      </w:r>
    </w:p>
    <w:p>
      <w:pPr>
        <w:suppressAutoHyphens/>
        <w:spacing w:after="0" w:line="240" w:lineRule="auto"/>
        <w:ind w:firstLine="360"/>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Rozpočet obce sa vnútorne člení na bežné príjmy a bežné výdavky (ďalej len bežný rozpočet), kapitálové príjmy a kapitálové výdavky (ďalej len kapitálový rozpočet) a finančné operácie. </w:t>
      </w:r>
    </w:p>
    <w:p>
      <w:pPr>
        <w:suppressAutoHyphens/>
        <w:spacing w:after="0" w:line="240" w:lineRule="auto"/>
        <w:ind w:firstLine="360"/>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Rozpočet obce na rok 2021 bol zostavený ako vyrovnaný. Bežný rozpočet a kapitálový rozpočet bol zostavený ako vyrovnaný. </w:t>
      </w:r>
    </w:p>
    <w:p>
      <w:pPr>
        <w:suppressAutoHyphens/>
        <w:spacing w:after="0" w:line="24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Rozpočet obce bol schválený obecným zastupiteľstvom dňa 11.12.2020 uznesením č.2/5/2020.</w:t>
      </w:r>
    </w:p>
    <w:p>
      <w:pPr>
        <w:suppressAutoHyphens/>
        <w:spacing w:after="0" w:line="240" w:lineRule="auto"/>
        <w:rPr>
          <w:rFonts w:ascii="Times New Roman" w:hAnsi="Times New Roman" w:eastAsia="Times New Roman" w:cs="Times New Roman"/>
          <w:sz w:val="24"/>
          <w:szCs w:val="24"/>
          <w:lang w:eastAsia="ar-SA"/>
        </w:rPr>
      </w:pPr>
    </w:p>
    <w:p>
      <w:pPr>
        <w:suppressAutoHyphens/>
        <w:spacing w:after="0" w:line="240" w:lineRule="auto"/>
        <w:rPr>
          <w:rFonts w:ascii="Times New Roman" w:hAnsi="Times New Roman" w:eastAsia="Times New Roman" w:cs="Times New Roman"/>
          <w:sz w:val="24"/>
          <w:szCs w:val="24"/>
          <w:lang w:eastAsia="ar-SA"/>
        </w:rPr>
      </w:pPr>
    </w:p>
    <w:p>
      <w:pPr>
        <w:suppressAutoHyphens/>
        <w:spacing w:after="0" w:line="240" w:lineRule="auto"/>
        <w:rPr>
          <w:rFonts w:ascii="Times New Roman" w:hAnsi="Times New Roman" w:eastAsia="Times New Roman" w:cs="Times New Roman"/>
          <w:sz w:val="24"/>
          <w:szCs w:val="24"/>
          <w:lang w:eastAsia="ar-SA"/>
        </w:rPr>
      </w:pPr>
    </w:p>
    <w:p>
      <w:pPr>
        <w:tabs>
          <w:tab w:val="right" w:pos="8460"/>
        </w:tabs>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sz w:val="24"/>
          <w:szCs w:val="24"/>
          <w:lang w:eastAsia="ar-SA"/>
        </w:rPr>
        <w:t xml:space="preserve"> </w:t>
      </w:r>
    </w:p>
    <w:p>
      <w:pPr>
        <w:tabs>
          <w:tab w:val="right" w:pos="8460"/>
        </w:tabs>
        <w:suppressAutoHyphens/>
        <w:spacing w:after="0" w:line="240" w:lineRule="auto"/>
        <w:ind w:firstLine="540"/>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2.1.1 Bežné príjmy</w:t>
      </w:r>
    </w:p>
    <w:p>
      <w:pPr>
        <w:tabs>
          <w:tab w:val="right" w:pos="8460"/>
        </w:tabs>
        <w:suppressAutoHyphens/>
        <w:spacing w:after="0" w:line="240" w:lineRule="auto"/>
        <w:jc w:val="both"/>
        <w:rPr>
          <w:rFonts w:ascii="Times New Roman" w:hAnsi="Times New Roman" w:eastAsia="Times New Roman" w:cs="Times New Roman"/>
          <w:b/>
          <w:sz w:val="24"/>
          <w:szCs w:val="24"/>
          <w:lang w:eastAsia="ar-SA"/>
        </w:rPr>
      </w:pPr>
    </w:p>
    <w:tbl>
      <w:tblPr>
        <w:tblStyle w:val="3"/>
        <w:tblW w:w="0" w:type="auto"/>
        <w:tblInd w:w="965" w:type="dxa"/>
        <w:tblLayout w:type="fixed"/>
        <w:tblCellMar>
          <w:top w:w="0" w:type="dxa"/>
          <w:left w:w="70" w:type="dxa"/>
          <w:bottom w:w="0" w:type="dxa"/>
          <w:right w:w="70" w:type="dxa"/>
        </w:tblCellMar>
      </w:tblPr>
      <w:tblGrid>
        <w:gridCol w:w="4500"/>
        <w:gridCol w:w="3070"/>
      </w:tblGrid>
      <w:tr>
        <w:tblPrEx>
          <w:tblCellMar>
            <w:top w:w="0" w:type="dxa"/>
            <w:left w:w="70" w:type="dxa"/>
            <w:bottom w:w="0" w:type="dxa"/>
            <w:right w:w="70" w:type="dxa"/>
          </w:tblCellMar>
        </w:tblPrEx>
        <w:trPr>
          <w:trHeight w:val="345" w:hRule="atLeast"/>
        </w:trPr>
        <w:tc>
          <w:tcPr>
            <w:tcW w:w="4500" w:type="dxa"/>
            <w:tcBorders>
              <w:top w:val="single" w:color="000000" w:sz="4" w:space="0"/>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Príjmy celkom</w:t>
            </w:r>
          </w:p>
        </w:tc>
        <w:tc>
          <w:tcPr>
            <w:tcW w:w="3070"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v € )</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Schválený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216807</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Upravený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237870</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Skutočnosť k 31.12.2021</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256934,42</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plnenia k upravenému rozpočtu</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108,01</w:t>
            </w:r>
          </w:p>
        </w:tc>
      </w:tr>
    </w:tbl>
    <w:p>
      <w:pPr>
        <w:suppressAutoHyphens/>
        <w:spacing w:after="0" w:line="240" w:lineRule="auto"/>
        <w:rPr>
          <w:rFonts w:ascii="Times New Roman" w:hAnsi="Times New Roman" w:eastAsia="Times New Roman" w:cs="Times New Roman"/>
          <w:sz w:val="24"/>
          <w:szCs w:val="24"/>
          <w:lang w:eastAsia="ar-SA"/>
        </w:rPr>
      </w:pPr>
    </w:p>
    <w:p>
      <w:pPr>
        <w:suppressAutoHyphens/>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Plnenie rozpočtu bežných príjmov obce a rozpočtových organizácií</w:t>
      </w:r>
    </w:p>
    <w:p>
      <w:pPr>
        <w:suppressAutoHyphens/>
        <w:spacing w:after="0" w:line="240" w:lineRule="auto"/>
        <w:jc w:val="center"/>
        <w:rPr>
          <w:rFonts w:ascii="Times New Roman" w:hAnsi="Times New Roman" w:eastAsia="Times New Roman" w:cs="Times New Roman"/>
          <w:sz w:val="24"/>
          <w:szCs w:val="24"/>
          <w:lang w:eastAsia="ar-SA"/>
        </w:rPr>
      </w:pPr>
    </w:p>
    <w:tbl>
      <w:tblPr>
        <w:tblStyle w:val="3"/>
        <w:tblW w:w="0" w:type="auto"/>
        <w:tblInd w:w="245" w:type="dxa"/>
        <w:tblLayout w:type="fixed"/>
        <w:tblCellMar>
          <w:top w:w="0" w:type="dxa"/>
          <w:left w:w="70" w:type="dxa"/>
          <w:bottom w:w="0" w:type="dxa"/>
          <w:right w:w="70" w:type="dxa"/>
        </w:tblCellMar>
      </w:tblPr>
      <w:tblGrid>
        <w:gridCol w:w="1260"/>
        <w:gridCol w:w="3240"/>
        <w:gridCol w:w="1800"/>
        <w:gridCol w:w="1620"/>
        <w:gridCol w:w="1090"/>
      </w:tblGrid>
      <w:tr>
        <w:tblPrEx>
          <w:tblCellMar>
            <w:top w:w="0" w:type="dxa"/>
            <w:left w:w="70" w:type="dxa"/>
            <w:bottom w:w="0" w:type="dxa"/>
            <w:right w:w="70" w:type="dxa"/>
          </w:tblCellMar>
        </w:tblPrEx>
        <w:trPr>
          <w:trHeight w:val="226" w:hRule="atLeast"/>
        </w:trPr>
        <w:tc>
          <w:tcPr>
            <w:tcW w:w="126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Hl. kateg.</w:t>
            </w:r>
          </w:p>
          <w:p>
            <w:pPr>
              <w:tabs>
                <w:tab w:val="right" w:pos="8820"/>
              </w:tabs>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Kategória</w:t>
            </w:r>
          </w:p>
        </w:tc>
        <w:tc>
          <w:tcPr>
            <w:tcW w:w="324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Text</w:t>
            </w:r>
          </w:p>
        </w:tc>
        <w:tc>
          <w:tcPr>
            <w:tcW w:w="180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Upravený</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rozpočet 2021</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162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Skutočnosť</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2021</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1090"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w:t>
            </w:r>
          </w:p>
        </w:tc>
      </w:tr>
      <w:tr>
        <w:tblPrEx>
          <w:tblCellMar>
            <w:top w:w="0" w:type="dxa"/>
            <w:left w:w="70" w:type="dxa"/>
            <w:bottom w:w="0" w:type="dxa"/>
            <w:right w:w="70" w:type="dxa"/>
          </w:tblCellMar>
        </w:tblPrEx>
        <w:trPr>
          <w:trHeight w:val="375" w:hRule="atLeast"/>
        </w:trPr>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8"/>
                <w:szCs w:val="28"/>
                <w:lang w:eastAsia="ar-SA"/>
              </w:rPr>
            </w:pP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Príjmy celkom</w:t>
            </w:r>
          </w:p>
        </w:tc>
        <w:tc>
          <w:tcPr>
            <w:tcW w:w="180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237870,00</w:t>
            </w:r>
          </w:p>
        </w:tc>
        <w:tc>
          <w:tcPr>
            <w:tcW w:w="16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256934,42</w:t>
            </w:r>
          </w:p>
        </w:tc>
        <w:tc>
          <w:tcPr>
            <w:tcW w:w="109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108,01</w:t>
            </w:r>
          </w:p>
        </w:tc>
      </w:tr>
      <w:tr>
        <w:tblPrEx>
          <w:tblCellMar>
            <w:top w:w="0" w:type="dxa"/>
            <w:left w:w="70" w:type="dxa"/>
            <w:bottom w:w="0" w:type="dxa"/>
            <w:right w:w="70" w:type="dxa"/>
          </w:tblCellMar>
        </w:tblPrEx>
        <w:trPr>
          <w:trHeight w:val="375" w:hRule="atLeast"/>
        </w:trPr>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Daňové príjmy</w:t>
            </w:r>
          </w:p>
        </w:tc>
        <w:tc>
          <w:tcPr>
            <w:tcW w:w="180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142400</w:t>
            </w:r>
          </w:p>
        </w:tc>
        <w:tc>
          <w:tcPr>
            <w:tcW w:w="16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141135,6</w:t>
            </w:r>
          </w:p>
        </w:tc>
        <w:tc>
          <w:tcPr>
            <w:tcW w:w="109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99,11</w:t>
            </w:r>
          </w:p>
        </w:tc>
      </w:tr>
      <w:tr>
        <w:tblPrEx>
          <w:tblCellMar>
            <w:top w:w="0" w:type="dxa"/>
            <w:left w:w="70" w:type="dxa"/>
            <w:bottom w:w="0" w:type="dxa"/>
            <w:right w:w="70" w:type="dxa"/>
          </w:tblCellMar>
        </w:tblPrEx>
        <w:trPr>
          <w:trHeight w:val="375" w:hRule="atLeast"/>
        </w:trPr>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Nedaňové príjmy</w:t>
            </w:r>
          </w:p>
        </w:tc>
        <w:tc>
          <w:tcPr>
            <w:tcW w:w="180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4400</w:t>
            </w:r>
          </w:p>
        </w:tc>
        <w:tc>
          <w:tcPr>
            <w:tcW w:w="16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8681,62</w:t>
            </w:r>
          </w:p>
        </w:tc>
        <w:tc>
          <w:tcPr>
            <w:tcW w:w="109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197,30</w:t>
            </w:r>
          </w:p>
        </w:tc>
      </w:tr>
      <w:tr>
        <w:tblPrEx>
          <w:tblCellMar>
            <w:top w:w="0" w:type="dxa"/>
            <w:left w:w="70" w:type="dxa"/>
            <w:bottom w:w="0" w:type="dxa"/>
            <w:right w:w="70" w:type="dxa"/>
          </w:tblCellMar>
        </w:tblPrEx>
        <w:trPr>
          <w:trHeight w:val="375" w:hRule="atLeast"/>
        </w:trPr>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310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Granty a transfery</w:t>
            </w:r>
          </w:p>
        </w:tc>
        <w:tc>
          <w:tcPr>
            <w:tcW w:w="180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91070</w:t>
            </w:r>
          </w:p>
        </w:tc>
        <w:tc>
          <w:tcPr>
            <w:tcW w:w="16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107117,2</w:t>
            </w:r>
          </w:p>
        </w:tc>
        <w:tc>
          <w:tcPr>
            <w:tcW w:w="109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117,62</w:t>
            </w:r>
          </w:p>
        </w:tc>
      </w:tr>
    </w:tbl>
    <w:p>
      <w:pPr>
        <w:tabs>
          <w:tab w:val="right" w:pos="8820"/>
        </w:tabs>
        <w:suppressAutoHyphens/>
        <w:spacing w:after="0" w:line="240" w:lineRule="auto"/>
        <w:jc w:val="both"/>
        <w:rPr>
          <w:rFonts w:ascii="Times New Roman" w:hAnsi="Times New Roman" w:eastAsia="Times New Roman" w:cs="Times New Roman"/>
          <w:sz w:val="28"/>
          <w:szCs w:val="28"/>
          <w:lang w:eastAsia="ar-SA"/>
        </w:rPr>
      </w:pP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ind w:firstLine="540"/>
        <w:jc w:val="both"/>
        <w:rPr>
          <w:rFonts w:ascii="Times New Roman" w:hAnsi="Times New Roman" w:eastAsia="Times New Roman" w:cs="Times New Roman"/>
          <w:b/>
          <w:sz w:val="24"/>
          <w:szCs w:val="24"/>
          <w:lang w:eastAsia="ar-SA"/>
        </w:rPr>
      </w:pPr>
    </w:p>
    <w:p>
      <w:pPr>
        <w:tabs>
          <w:tab w:val="right" w:pos="8820"/>
        </w:tabs>
        <w:suppressAutoHyphens/>
        <w:spacing w:after="0" w:line="240" w:lineRule="auto"/>
        <w:ind w:firstLine="540"/>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2.1.2 Kapitálové príjmy</w:t>
      </w:r>
    </w:p>
    <w:p>
      <w:pPr>
        <w:tabs>
          <w:tab w:val="right" w:pos="8820"/>
        </w:tabs>
        <w:suppressAutoHyphens/>
        <w:spacing w:after="0" w:line="240" w:lineRule="auto"/>
        <w:jc w:val="both"/>
        <w:rPr>
          <w:rFonts w:ascii="Times New Roman" w:hAnsi="Times New Roman" w:eastAsia="Times New Roman" w:cs="Times New Roman"/>
          <w:b/>
          <w:sz w:val="24"/>
          <w:szCs w:val="24"/>
          <w:lang w:eastAsia="ar-SA"/>
        </w:rPr>
      </w:pPr>
    </w:p>
    <w:p>
      <w:pPr>
        <w:tabs>
          <w:tab w:val="right" w:pos="8460"/>
        </w:tabs>
        <w:suppressAutoHyphens/>
        <w:spacing w:after="0" w:line="240" w:lineRule="auto"/>
        <w:jc w:val="both"/>
        <w:rPr>
          <w:rFonts w:ascii="Times New Roman" w:hAnsi="Times New Roman" w:eastAsia="Times New Roman" w:cs="Times New Roman"/>
          <w:b/>
          <w:sz w:val="24"/>
          <w:szCs w:val="24"/>
          <w:lang w:eastAsia="ar-SA"/>
        </w:rPr>
      </w:pPr>
    </w:p>
    <w:tbl>
      <w:tblPr>
        <w:tblStyle w:val="3"/>
        <w:tblW w:w="0" w:type="auto"/>
        <w:tblInd w:w="965" w:type="dxa"/>
        <w:tblLayout w:type="fixed"/>
        <w:tblCellMar>
          <w:top w:w="0" w:type="dxa"/>
          <w:left w:w="70" w:type="dxa"/>
          <w:bottom w:w="0" w:type="dxa"/>
          <w:right w:w="70" w:type="dxa"/>
        </w:tblCellMar>
      </w:tblPr>
      <w:tblGrid>
        <w:gridCol w:w="4500"/>
        <w:gridCol w:w="3070"/>
      </w:tblGrid>
      <w:tr>
        <w:tblPrEx>
          <w:tblCellMar>
            <w:top w:w="0" w:type="dxa"/>
            <w:left w:w="70" w:type="dxa"/>
            <w:bottom w:w="0" w:type="dxa"/>
            <w:right w:w="70" w:type="dxa"/>
          </w:tblCellMar>
        </w:tblPrEx>
        <w:trPr>
          <w:trHeight w:val="345" w:hRule="atLeast"/>
        </w:trPr>
        <w:tc>
          <w:tcPr>
            <w:tcW w:w="4500" w:type="dxa"/>
            <w:tcBorders>
              <w:top w:val="single" w:color="000000" w:sz="4" w:space="0"/>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Príjmy celkom</w:t>
            </w:r>
          </w:p>
        </w:tc>
        <w:tc>
          <w:tcPr>
            <w:tcW w:w="3070"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 ( v € )</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Schválený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0</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Upravený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0</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Skutočnosť k 31.12.2021</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9622</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plnenia k upravenému rozpočtu</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9622</w:t>
            </w:r>
          </w:p>
        </w:tc>
      </w:tr>
    </w:tbl>
    <w:p>
      <w:pPr>
        <w:suppressAutoHyphens/>
        <w:spacing w:after="0" w:line="240" w:lineRule="auto"/>
        <w:jc w:val="center"/>
        <w:rPr>
          <w:rFonts w:ascii="Times New Roman" w:hAnsi="Times New Roman" w:eastAsia="Times New Roman" w:cs="Times New Roman"/>
          <w:sz w:val="24"/>
          <w:szCs w:val="24"/>
          <w:lang w:eastAsia="ar-SA"/>
        </w:rPr>
      </w:pPr>
    </w:p>
    <w:p>
      <w:pPr>
        <w:suppressAutoHyphens/>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Plnenie rozpočtu kapitálových príjmov obce a rozpočtových organizácií</w:t>
      </w: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tbl>
      <w:tblPr>
        <w:tblStyle w:val="3"/>
        <w:tblW w:w="0" w:type="auto"/>
        <w:tblInd w:w="245" w:type="dxa"/>
        <w:tblLayout w:type="fixed"/>
        <w:tblCellMar>
          <w:top w:w="0" w:type="dxa"/>
          <w:left w:w="70" w:type="dxa"/>
          <w:bottom w:w="0" w:type="dxa"/>
          <w:right w:w="70" w:type="dxa"/>
        </w:tblCellMar>
      </w:tblPr>
      <w:tblGrid>
        <w:gridCol w:w="1260"/>
        <w:gridCol w:w="3240"/>
        <w:gridCol w:w="1800"/>
        <w:gridCol w:w="1620"/>
        <w:gridCol w:w="1090"/>
      </w:tblGrid>
      <w:tr>
        <w:tblPrEx>
          <w:tblCellMar>
            <w:top w:w="0" w:type="dxa"/>
            <w:left w:w="70" w:type="dxa"/>
            <w:bottom w:w="0" w:type="dxa"/>
            <w:right w:w="70" w:type="dxa"/>
          </w:tblCellMar>
        </w:tblPrEx>
        <w:trPr>
          <w:trHeight w:val="420" w:hRule="atLeast"/>
        </w:trPr>
        <w:tc>
          <w:tcPr>
            <w:tcW w:w="126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Kategória</w:t>
            </w:r>
          </w:p>
        </w:tc>
        <w:tc>
          <w:tcPr>
            <w:tcW w:w="324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Text</w:t>
            </w:r>
          </w:p>
        </w:tc>
        <w:tc>
          <w:tcPr>
            <w:tcW w:w="180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Upravený</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rozpočet 2021</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162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Skutočnosť</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2021</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1090"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w:t>
            </w:r>
          </w:p>
        </w:tc>
      </w:tr>
      <w:tr>
        <w:tblPrEx>
          <w:tblCellMar>
            <w:top w:w="0" w:type="dxa"/>
            <w:left w:w="70" w:type="dxa"/>
            <w:bottom w:w="0" w:type="dxa"/>
            <w:right w:w="70" w:type="dxa"/>
          </w:tblCellMar>
        </w:tblPrEx>
        <w:trPr>
          <w:trHeight w:val="315" w:hRule="atLeast"/>
        </w:trPr>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Príjmy celkom</w:t>
            </w:r>
          </w:p>
        </w:tc>
        <w:tc>
          <w:tcPr>
            <w:tcW w:w="180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0</w:t>
            </w:r>
          </w:p>
        </w:tc>
        <w:tc>
          <w:tcPr>
            <w:tcW w:w="16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9622</w:t>
            </w:r>
          </w:p>
        </w:tc>
        <w:tc>
          <w:tcPr>
            <w:tcW w:w="109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9622</w:t>
            </w:r>
          </w:p>
        </w:tc>
      </w:tr>
      <w:tr>
        <w:tblPrEx>
          <w:tblCellMar>
            <w:top w:w="0" w:type="dxa"/>
            <w:left w:w="70" w:type="dxa"/>
            <w:bottom w:w="0" w:type="dxa"/>
            <w:right w:w="70" w:type="dxa"/>
          </w:tblCellMar>
        </w:tblPrEx>
        <w:trPr>
          <w:trHeight w:val="315" w:hRule="atLeast"/>
        </w:trPr>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230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Kapitálové príjmy</w:t>
            </w:r>
          </w:p>
        </w:tc>
        <w:tc>
          <w:tcPr>
            <w:tcW w:w="180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0</w:t>
            </w:r>
          </w:p>
        </w:tc>
        <w:tc>
          <w:tcPr>
            <w:tcW w:w="16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0</w:t>
            </w:r>
          </w:p>
        </w:tc>
        <w:tc>
          <w:tcPr>
            <w:tcW w:w="109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0</w:t>
            </w:r>
          </w:p>
        </w:tc>
      </w:tr>
      <w:tr>
        <w:tblPrEx>
          <w:tblCellMar>
            <w:top w:w="0" w:type="dxa"/>
            <w:left w:w="70" w:type="dxa"/>
            <w:bottom w:w="0" w:type="dxa"/>
            <w:right w:w="70" w:type="dxa"/>
          </w:tblCellMar>
        </w:tblPrEx>
        <w:trPr>
          <w:trHeight w:val="315" w:hRule="atLeast"/>
        </w:trPr>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320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Kapitálové granty a transfery</w:t>
            </w:r>
          </w:p>
        </w:tc>
        <w:tc>
          <w:tcPr>
            <w:tcW w:w="180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0</w:t>
            </w:r>
          </w:p>
        </w:tc>
        <w:tc>
          <w:tcPr>
            <w:tcW w:w="16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9622</w:t>
            </w:r>
          </w:p>
        </w:tc>
        <w:tc>
          <w:tcPr>
            <w:tcW w:w="109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9622</w:t>
            </w:r>
          </w:p>
        </w:tc>
      </w:tr>
    </w:tbl>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ind w:firstLine="540"/>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2.1.3 Príjmové finančné operácie</w:t>
      </w:r>
    </w:p>
    <w:p>
      <w:pPr>
        <w:tabs>
          <w:tab w:val="right" w:pos="8460"/>
        </w:tabs>
        <w:suppressAutoHyphens/>
        <w:spacing w:after="0" w:line="240" w:lineRule="auto"/>
        <w:jc w:val="both"/>
        <w:rPr>
          <w:rFonts w:ascii="Times New Roman" w:hAnsi="Times New Roman" w:eastAsia="Times New Roman" w:cs="Times New Roman"/>
          <w:b/>
          <w:sz w:val="24"/>
          <w:szCs w:val="24"/>
          <w:lang w:eastAsia="ar-SA"/>
        </w:rPr>
      </w:pPr>
    </w:p>
    <w:tbl>
      <w:tblPr>
        <w:tblStyle w:val="3"/>
        <w:tblW w:w="0" w:type="auto"/>
        <w:tblInd w:w="965" w:type="dxa"/>
        <w:tblLayout w:type="fixed"/>
        <w:tblCellMar>
          <w:top w:w="0" w:type="dxa"/>
          <w:left w:w="70" w:type="dxa"/>
          <w:bottom w:w="0" w:type="dxa"/>
          <w:right w:w="70" w:type="dxa"/>
        </w:tblCellMar>
      </w:tblPr>
      <w:tblGrid>
        <w:gridCol w:w="4500"/>
        <w:gridCol w:w="3070"/>
      </w:tblGrid>
      <w:tr>
        <w:tblPrEx>
          <w:tblCellMar>
            <w:top w:w="0" w:type="dxa"/>
            <w:left w:w="70" w:type="dxa"/>
            <w:bottom w:w="0" w:type="dxa"/>
            <w:right w:w="70" w:type="dxa"/>
          </w:tblCellMar>
        </w:tblPrEx>
        <w:trPr>
          <w:trHeight w:val="345" w:hRule="atLeast"/>
        </w:trPr>
        <w:tc>
          <w:tcPr>
            <w:tcW w:w="4500" w:type="dxa"/>
            <w:tcBorders>
              <w:top w:val="single" w:color="000000" w:sz="4" w:space="0"/>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Príjmy celkom</w:t>
            </w:r>
          </w:p>
        </w:tc>
        <w:tc>
          <w:tcPr>
            <w:tcW w:w="3070"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v € )</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Schválený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12000</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Upravený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51897</w:t>
            </w:r>
          </w:p>
        </w:tc>
      </w:tr>
      <w:tr>
        <w:tblPrEx>
          <w:tblCellMar>
            <w:top w:w="0" w:type="dxa"/>
            <w:left w:w="70" w:type="dxa"/>
            <w:bottom w:w="0" w:type="dxa"/>
            <w:right w:w="70" w:type="dxa"/>
          </w:tblCellMar>
        </w:tblPrEx>
        <w:trPr>
          <w:trHeight w:val="282"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Skutočnosť k 31.12.2021</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12000</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plnenia k upravenému rozpočtu</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23,12</w:t>
            </w:r>
          </w:p>
        </w:tc>
      </w:tr>
    </w:tbl>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Plnenie rozpočtu príjmových finančných operácií obce</w:t>
      </w: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tbl>
      <w:tblPr>
        <w:tblStyle w:val="3"/>
        <w:tblW w:w="0" w:type="auto"/>
        <w:tblInd w:w="245" w:type="dxa"/>
        <w:tblLayout w:type="fixed"/>
        <w:tblCellMar>
          <w:top w:w="0" w:type="dxa"/>
          <w:left w:w="70" w:type="dxa"/>
          <w:bottom w:w="0" w:type="dxa"/>
          <w:right w:w="70" w:type="dxa"/>
        </w:tblCellMar>
      </w:tblPr>
      <w:tblGrid>
        <w:gridCol w:w="1260"/>
        <w:gridCol w:w="3240"/>
        <w:gridCol w:w="1800"/>
        <w:gridCol w:w="1620"/>
        <w:gridCol w:w="1090"/>
      </w:tblGrid>
      <w:tr>
        <w:tblPrEx>
          <w:tblCellMar>
            <w:top w:w="0" w:type="dxa"/>
            <w:left w:w="70" w:type="dxa"/>
            <w:bottom w:w="0" w:type="dxa"/>
            <w:right w:w="70" w:type="dxa"/>
          </w:tblCellMar>
        </w:tblPrEx>
        <w:trPr>
          <w:trHeight w:val="420" w:hRule="atLeast"/>
        </w:trPr>
        <w:tc>
          <w:tcPr>
            <w:tcW w:w="126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Hlavná </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Kategória</w:t>
            </w:r>
          </w:p>
        </w:tc>
        <w:tc>
          <w:tcPr>
            <w:tcW w:w="324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Text</w:t>
            </w:r>
          </w:p>
        </w:tc>
        <w:tc>
          <w:tcPr>
            <w:tcW w:w="180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Upravený</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rozpočet 2021</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162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Skutočnosť</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2020</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1090"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w:t>
            </w:r>
          </w:p>
        </w:tc>
      </w:tr>
      <w:tr>
        <w:tblPrEx>
          <w:tblCellMar>
            <w:top w:w="0" w:type="dxa"/>
            <w:left w:w="70" w:type="dxa"/>
            <w:bottom w:w="0" w:type="dxa"/>
            <w:right w:w="70" w:type="dxa"/>
          </w:tblCellMar>
        </w:tblPrEx>
        <w:trPr>
          <w:trHeight w:val="315" w:hRule="atLeast"/>
        </w:trPr>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Príjmy celkom</w:t>
            </w:r>
          </w:p>
        </w:tc>
        <w:tc>
          <w:tcPr>
            <w:tcW w:w="180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51897</w:t>
            </w:r>
          </w:p>
        </w:tc>
        <w:tc>
          <w:tcPr>
            <w:tcW w:w="16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12000</w:t>
            </w:r>
          </w:p>
        </w:tc>
        <w:tc>
          <w:tcPr>
            <w:tcW w:w="109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23,12</w:t>
            </w:r>
          </w:p>
        </w:tc>
      </w:tr>
      <w:tr>
        <w:tblPrEx>
          <w:tblCellMar>
            <w:top w:w="0" w:type="dxa"/>
            <w:left w:w="70" w:type="dxa"/>
            <w:bottom w:w="0" w:type="dxa"/>
            <w:right w:w="70" w:type="dxa"/>
          </w:tblCellMar>
        </w:tblPrEx>
        <w:trPr>
          <w:trHeight w:val="315" w:hRule="atLeast"/>
        </w:trPr>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400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Príjmy z rezervného fondu</w:t>
            </w:r>
          </w:p>
        </w:tc>
        <w:tc>
          <w:tcPr>
            <w:tcW w:w="180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12000</w:t>
            </w:r>
          </w:p>
        </w:tc>
        <w:tc>
          <w:tcPr>
            <w:tcW w:w="16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12000</w:t>
            </w:r>
          </w:p>
        </w:tc>
        <w:tc>
          <w:tcPr>
            <w:tcW w:w="109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100,00</w:t>
            </w:r>
          </w:p>
        </w:tc>
      </w:tr>
      <w:tr>
        <w:tblPrEx>
          <w:tblCellMar>
            <w:top w:w="0" w:type="dxa"/>
            <w:left w:w="70" w:type="dxa"/>
            <w:bottom w:w="0" w:type="dxa"/>
            <w:right w:w="70" w:type="dxa"/>
          </w:tblCellMar>
        </w:tblPrEx>
        <w:trPr>
          <w:trHeight w:val="315" w:hRule="atLeast"/>
        </w:trPr>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500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Prijaté úvery, pôžičky a NFV</w:t>
            </w:r>
          </w:p>
        </w:tc>
        <w:tc>
          <w:tcPr>
            <w:tcW w:w="180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39897</w:t>
            </w:r>
          </w:p>
        </w:tc>
        <w:tc>
          <w:tcPr>
            <w:tcW w:w="162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0,00</w:t>
            </w:r>
          </w:p>
        </w:tc>
        <w:tc>
          <w:tcPr>
            <w:tcW w:w="109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0,00</w:t>
            </w:r>
          </w:p>
        </w:tc>
      </w:tr>
    </w:tbl>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Rozpočtové organizácie : </w:t>
      </w:r>
    </w:p>
    <w:p>
      <w:pPr>
        <w:numPr>
          <w:ilvl w:val="0"/>
          <w:numId w:val="3"/>
        </w:numPr>
        <w:suppressAutoHyphens/>
        <w:spacing w:after="0" w:line="24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školy a školské zariadenia dosiahli príjmy vo výške : 16475,52 Eur.......  </w:t>
      </w:r>
    </w:p>
    <w:p>
      <w:pPr>
        <w:suppressAutoHyphens/>
        <w:spacing w:after="0" w:line="240" w:lineRule="auto"/>
        <w:ind w:left="360"/>
        <w:rPr>
          <w:rFonts w:ascii="Times New Roman" w:hAnsi="Times New Roman" w:eastAsia="Times New Roman" w:cs="Times New Roman"/>
          <w:sz w:val="24"/>
          <w:szCs w:val="24"/>
          <w:lang w:eastAsia="ar-SA"/>
        </w:rPr>
      </w:pPr>
    </w:p>
    <w:p>
      <w:pPr>
        <w:suppressAutoHyphens/>
        <w:spacing w:after="0" w:line="240" w:lineRule="auto"/>
        <w:ind w:left="360"/>
        <w:rPr>
          <w:rFonts w:ascii="Times New Roman" w:hAnsi="Times New Roman" w:eastAsia="Times New Roman" w:cs="Times New Roman"/>
          <w:sz w:val="24"/>
          <w:szCs w:val="24"/>
          <w:lang w:eastAsia="ar-SA"/>
        </w:rPr>
      </w:pPr>
    </w:p>
    <w:p>
      <w:pPr>
        <w:tabs>
          <w:tab w:val="right" w:pos="8820"/>
        </w:tabs>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2.2 Plnenie výdavkov za rok 2021</w:t>
      </w:r>
    </w:p>
    <w:p>
      <w:pPr>
        <w:tabs>
          <w:tab w:val="right" w:pos="8820"/>
        </w:tabs>
        <w:suppressAutoHyphens/>
        <w:spacing w:after="0" w:line="240" w:lineRule="auto"/>
        <w:jc w:val="both"/>
        <w:rPr>
          <w:rFonts w:ascii="Times New Roman" w:hAnsi="Times New Roman" w:eastAsia="Times New Roman" w:cs="Times New Roman"/>
          <w:b/>
          <w:sz w:val="24"/>
          <w:szCs w:val="24"/>
          <w:lang w:eastAsia="ar-SA"/>
        </w:rPr>
      </w:pPr>
    </w:p>
    <w:p>
      <w:pPr>
        <w:tabs>
          <w:tab w:val="right" w:pos="8820"/>
        </w:tabs>
        <w:suppressAutoHyphens/>
        <w:spacing w:after="0" w:line="240" w:lineRule="auto"/>
        <w:ind w:firstLine="540"/>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2.2.1 Bežné výdavky</w:t>
      </w: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tbl>
      <w:tblPr>
        <w:tblStyle w:val="3"/>
        <w:tblW w:w="0" w:type="auto"/>
        <w:tblInd w:w="965" w:type="dxa"/>
        <w:tblLayout w:type="fixed"/>
        <w:tblCellMar>
          <w:top w:w="0" w:type="dxa"/>
          <w:left w:w="70" w:type="dxa"/>
          <w:bottom w:w="0" w:type="dxa"/>
          <w:right w:w="70" w:type="dxa"/>
        </w:tblCellMar>
      </w:tblPr>
      <w:tblGrid>
        <w:gridCol w:w="4500"/>
        <w:gridCol w:w="3070"/>
      </w:tblGrid>
      <w:tr>
        <w:tblPrEx>
          <w:tblCellMar>
            <w:top w:w="0" w:type="dxa"/>
            <w:left w:w="70" w:type="dxa"/>
            <w:bottom w:w="0" w:type="dxa"/>
            <w:right w:w="70" w:type="dxa"/>
          </w:tblCellMar>
        </w:tblPrEx>
        <w:trPr>
          <w:trHeight w:val="345" w:hRule="atLeast"/>
        </w:trPr>
        <w:tc>
          <w:tcPr>
            <w:tcW w:w="4500" w:type="dxa"/>
            <w:tcBorders>
              <w:top w:val="single" w:color="000000" w:sz="4" w:space="0"/>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Výdavky celkom</w:t>
            </w:r>
          </w:p>
        </w:tc>
        <w:tc>
          <w:tcPr>
            <w:tcW w:w="3070"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v € )</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Schválený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208287</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Upravený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229350</w:t>
            </w:r>
          </w:p>
          <w:p>
            <w:pPr>
              <w:suppressAutoHyphens/>
              <w:snapToGrid w:val="0"/>
              <w:spacing w:after="0" w:line="240" w:lineRule="auto"/>
              <w:jc w:val="center"/>
              <w:rPr>
                <w:rFonts w:ascii="Times New Roman" w:hAnsi="Times New Roman" w:eastAsia="Times New Roman" w:cs="Times New Roman"/>
                <w:sz w:val="24"/>
                <w:szCs w:val="24"/>
                <w:lang w:eastAsia="ar-SA"/>
              </w:rPr>
            </w:pP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Skutočnosť k 31.12.2021</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259178,27</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plnenia k upravenému rozpočtu</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113,00</w:t>
            </w:r>
          </w:p>
        </w:tc>
      </w:tr>
    </w:tbl>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Plnenie rozpočtu bežných výdavkov obce a rozpočtových organizácií</w:t>
      </w: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tbl>
      <w:tblPr>
        <w:tblStyle w:val="3"/>
        <w:tblW w:w="9608" w:type="dxa"/>
        <w:tblInd w:w="-115" w:type="dxa"/>
        <w:tblLayout w:type="fixed"/>
        <w:tblCellMar>
          <w:top w:w="0" w:type="dxa"/>
          <w:left w:w="70" w:type="dxa"/>
          <w:bottom w:w="0" w:type="dxa"/>
          <w:right w:w="70" w:type="dxa"/>
        </w:tblCellMar>
      </w:tblPr>
      <w:tblGrid>
        <w:gridCol w:w="1440"/>
        <w:gridCol w:w="1260"/>
        <w:gridCol w:w="3240"/>
        <w:gridCol w:w="1350"/>
        <w:gridCol w:w="1184"/>
        <w:gridCol w:w="1134"/>
      </w:tblGrid>
      <w:tr>
        <w:tblPrEx>
          <w:tblCellMar>
            <w:top w:w="0" w:type="dxa"/>
            <w:left w:w="70" w:type="dxa"/>
            <w:bottom w:w="0" w:type="dxa"/>
            <w:right w:w="70" w:type="dxa"/>
          </w:tblCellMar>
        </w:tblPrEx>
        <w:trPr>
          <w:trHeight w:val="420" w:hRule="atLeast"/>
        </w:trPr>
        <w:tc>
          <w:tcPr>
            <w:tcW w:w="144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Oddiel</w:t>
            </w:r>
          </w:p>
        </w:tc>
        <w:tc>
          <w:tcPr>
            <w:tcW w:w="126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Kategória</w:t>
            </w:r>
          </w:p>
        </w:tc>
        <w:tc>
          <w:tcPr>
            <w:tcW w:w="324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Text</w:t>
            </w:r>
          </w:p>
        </w:tc>
        <w:tc>
          <w:tcPr>
            <w:tcW w:w="135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Upravený</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rozpočet</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2021</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1184"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Skutočnosť</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2021</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1134"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Bežné výdavky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229350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259178,27</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113,00</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600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obec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99442</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111355,71</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111,98</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 xml:space="preserve">01 - obec </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Mzdy, platy, služobné príjmy ...</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47500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47059,33</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99,07</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Poist. a príspevok do poisťovní</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16825</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16908,44</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100,49</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630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Tovary a služby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33627</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36670,40</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ind w:right="-241"/>
              <w:jc w:val="both"/>
              <w:rPr>
                <w:rFonts w:ascii="Times New Roman" w:hAnsi="Times New Roman" w:eastAsia="Times New Roman" w:cs="Times New Roman"/>
                <w:lang w:eastAsia="ar-SA"/>
              </w:rPr>
            </w:pPr>
            <w:r>
              <w:rPr>
                <w:rFonts w:ascii="Times New Roman" w:hAnsi="Times New Roman" w:eastAsia="Times New Roman" w:cs="Times New Roman"/>
                <w:lang w:eastAsia="ar-SA"/>
              </w:rPr>
              <w:t>109,05</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640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Bežné transfery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990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10550,9</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1065,74</w:t>
            </w:r>
          </w:p>
        </w:tc>
      </w:tr>
      <w:tr>
        <w:tblPrEx>
          <w:tblCellMar>
            <w:top w:w="0" w:type="dxa"/>
            <w:left w:w="70" w:type="dxa"/>
            <w:bottom w:w="0" w:type="dxa"/>
            <w:right w:w="70" w:type="dxa"/>
          </w:tblCellMar>
        </w:tblPrEx>
        <w:trPr>
          <w:trHeight w:val="304"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650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Splácanie úrokov a popl. z úverov</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500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166,64</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 xml:space="preserve">33,32 </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04-aktiv.činn</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600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na aktiv.činnosť</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650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530,81</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81,66</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Mzdy,platy,služobné príjmy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Poisť.a príspevok do poisťovní</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630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Tovary a služby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650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530,81</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81,66</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05 – živ.prost</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600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na živ.prostr.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4500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3359,46</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   93,38</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Mzdy, platy, služobné príjmy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Poist. a príspevok do poisťovní</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630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Tovary a služby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4500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3359,46</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93,38</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06- odpadové</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600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na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1920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1885,43</w:t>
            </w:r>
          </w:p>
        </w:tc>
        <w:tc>
          <w:tcPr>
            <w:tcW w:w="1134"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   98,19</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 xml:space="preserve"> Hospodárst.</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630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Tovary a služby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1920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1885,43</w:t>
            </w:r>
          </w:p>
        </w:tc>
        <w:tc>
          <w:tcPr>
            <w:tcW w:w="1134"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98,19</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08 - kultúra</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600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kultúru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8750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7358,08</w:t>
            </w:r>
          </w:p>
        </w:tc>
        <w:tc>
          <w:tcPr>
            <w:tcW w:w="1134"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  84,09</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Mzdy, platy, služobné príjmy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c>
          <w:tcPr>
            <w:tcW w:w="1184"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c>
          <w:tcPr>
            <w:tcW w:w="1134" w:type="dxa"/>
            <w:tcBorders>
              <w:top w:val="single" w:color="000000" w:sz="4" w:space="0"/>
              <w:left w:val="single" w:color="000000" w:sz="4" w:space="0"/>
              <w:bottom w:val="single" w:color="auto"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r>
      <w:tr>
        <w:tblPrEx>
          <w:tblCellMar>
            <w:top w:w="0" w:type="dxa"/>
            <w:left w:w="70" w:type="dxa"/>
            <w:bottom w:w="0" w:type="dxa"/>
            <w:right w:w="70" w:type="dxa"/>
          </w:tblCellMar>
        </w:tblPrEx>
        <w:trPr>
          <w:cantSplit/>
          <w:trHeight w:val="315" w:hRule="exac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Poist. a príspevok do poisťovní</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c>
          <w:tcPr>
            <w:tcW w:w="1184"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c>
          <w:tcPr>
            <w:tcW w:w="1134" w:type="dxa"/>
            <w:tcBorders>
              <w:top w:val="nil"/>
              <w:left w:val="single" w:color="000000" w:sz="4" w:space="0"/>
              <w:bottom w:val="single" w:color="auto"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r>
      <w:tr>
        <w:tblPrEx>
          <w:tblCellMar>
            <w:top w:w="0" w:type="dxa"/>
            <w:left w:w="70" w:type="dxa"/>
            <w:bottom w:w="0" w:type="dxa"/>
            <w:right w:w="70" w:type="dxa"/>
          </w:tblCellMar>
        </w:tblPrEx>
        <w:trPr>
          <w:cantSplit/>
          <w:trHeight w:val="315" w:hRule="exac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630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Tovary a služby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8750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7358,08</w:t>
            </w:r>
          </w:p>
        </w:tc>
        <w:tc>
          <w:tcPr>
            <w:tcW w:w="1134" w:type="dxa"/>
            <w:tcBorders>
              <w:top w:val="single" w:color="auto" w:sz="4" w:space="0"/>
              <w:left w:val="single" w:color="000000" w:sz="4" w:space="0"/>
              <w:bottom w:val="single" w:color="000000" w:sz="4" w:space="0"/>
              <w:right w:val="single" w:color="000000" w:sz="4" w:space="0"/>
            </w:tcBorders>
          </w:tcPr>
          <w:p>
            <w:pPr>
              <w:suppressAutoHyphens/>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84,09</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640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Bežné transfery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09 - vzdeláv.</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600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školstvo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114088</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134688,78</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ind w:right="-241"/>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118,05</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Mzdy, platy, služobné príjmy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83300,00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78214,22</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93,89</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Poist. a príspevok do poisťovní</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29432,00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22766,16</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77,35</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630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Tovary a služby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26310,00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25075,32</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95,30</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640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Transfery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0,00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0,00</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0,00</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10 - soc. zab.</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600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soc. zabez.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Mzdy, platy, služobné príjmy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0,00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0,00</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0,00</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Poist. a príspevok do poisťovní</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0,00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0,00</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0,00</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630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Tovary a služby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0,00</w:t>
            </w:r>
          </w:p>
        </w:tc>
        <w:tc>
          <w:tcPr>
            <w:tcW w:w="1184"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0,00</w:t>
            </w:r>
          </w:p>
        </w:tc>
        <w:tc>
          <w:tcPr>
            <w:tcW w:w="1134"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0,00</w:t>
            </w:r>
          </w:p>
        </w:tc>
      </w:tr>
    </w:tbl>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ind w:firstLine="540"/>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2.2.2 Kapitálové výdavky</w:t>
      </w: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tbl>
      <w:tblPr>
        <w:tblStyle w:val="3"/>
        <w:tblW w:w="0" w:type="auto"/>
        <w:tblInd w:w="965" w:type="dxa"/>
        <w:tblLayout w:type="fixed"/>
        <w:tblCellMar>
          <w:top w:w="0" w:type="dxa"/>
          <w:left w:w="70" w:type="dxa"/>
          <w:bottom w:w="0" w:type="dxa"/>
          <w:right w:w="70" w:type="dxa"/>
        </w:tblCellMar>
      </w:tblPr>
      <w:tblGrid>
        <w:gridCol w:w="4500"/>
        <w:gridCol w:w="3070"/>
      </w:tblGrid>
      <w:tr>
        <w:tblPrEx>
          <w:tblCellMar>
            <w:top w:w="0" w:type="dxa"/>
            <w:left w:w="70" w:type="dxa"/>
            <w:bottom w:w="0" w:type="dxa"/>
            <w:right w:w="70" w:type="dxa"/>
          </w:tblCellMar>
        </w:tblPrEx>
        <w:trPr>
          <w:trHeight w:val="345" w:hRule="atLeast"/>
        </w:trPr>
        <w:tc>
          <w:tcPr>
            <w:tcW w:w="4500" w:type="dxa"/>
            <w:tcBorders>
              <w:top w:val="single" w:color="000000" w:sz="4" w:space="0"/>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Výdavky celkom</w:t>
            </w:r>
          </w:p>
        </w:tc>
        <w:tc>
          <w:tcPr>
            <w:tcW w:w="3070"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v € )</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Schválený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12100,00</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Upravený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51997,00</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Skutočnosť k 31.12.2021</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10723,3</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nil"/>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plnenia k upravenému rozpočtu</w:t>
            </w:r>
          </w:p>
        </w:tc>
        <w:tc>
          <w:tcPr>
            <w:tcW w:w="3070" w:type="dxa"/>
            <w:tcBorders>
              <w:top w:val="nil"/>
              <w:left w:val="single" w:color="000000" w:sz="4" w:space="0"/>
              <w:bottom w:val="nil"/>
              <w:right w:val="single" w:color="000000" w:sz="4" w:space="0"/>
            </w:tcBorders>
          </w:tcPr>
          <w:p>
            <w:pPr>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20,62</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right"/>
              <w:rPr>
                <w:rFonts w:ascii="Times New Roman" w:hAnsi="Times New Roman" w:eastAsia="Times New Roman" w:cs="Times New Roman"/>
                <w:sz w:val="24"/>
                <w:szCs w:val="24"/>
                <w:lang w:eastAsia="ar-SA"/>
              </w:rPr>
            </w:pPr>
          </w:p>
        </w:tc>
      </w:tr>
    </w:tbl>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Plnenie rozpočtu kapitálových výdavkov obce a rozpočtových organizácií</w:t>
      </w: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tbl>
      <w:tblPr>
        <w:tblStyle w:val="3"/>
        <w:tblW w:w="0" w:type="auto"/>
        <w:tblInd w:w="-115" w:type="dxa"/>
        <w:tblLayout w:type="fixed"/>
        <w:tblCellMar>
          <w:top w:w="0" w:type="dxa"/>
          <w:left w:w="70" w:type="dxa"/>
          <w:bottom w:w="0" w:type="dxa"/>
          <w:right w:w="70" w:type="dxa"/>
        </w:tblCellMar>
      </w:tblPr>
      <w:tblGrid>
        <w:gridCol w:w="1440"/>
        <w:gridCol w:w="1260"/>
        <w:gridCol w:w="3240"/>
        <w:gridCol w:w="1350"/>
        <w:gridCol w:w="1350"/>
        <w:gridCol w:w="730"/>
      </w:tblGrid>
      <w:tr>
        <w:tblPrEx>
          <w:tblCellMar>
            <w:top w:w="0" w:type="dxa"/>
            <w:left w:w="70" w:type="dxa"/>
            <w:bottom w:w="0" w:type="dxa"/>
            <w:right w:w="70" w:type="dxa"/>
          </w:tblCellMar>
        </w:tblPrEx>
        <w:trPr>
          <w:trHeight w:val="420" w:hRule="atLeast"/>
        </w:trPr>
        <w:tc>
          <w:tcPr>
            <w:tcW w:w="144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Oddiel</w:t>
            </w:r>
          </w:p>
        </w:tc>
        <w:tc>
          <w:tcPr>
            <w:tcW w:w="126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Kategória</w:t>
            </w:r>
          </w:p>
        </w:tc>
        <w:tc>
          <w:tcPr>
            <w:tcW w:w="324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Text</w:t>
            </w:r>
          </w:p>
        </w:tc>
        <w:tc>
          <w:tcPr>
            <w:tcW w:w="135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Upravený</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rozpočet</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2021</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135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Skutočnosť</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2021</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730"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Kapitálové výdavky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51997</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10723,30</w:t>
            </w:r>
          </w:p>
        </w:tc>
        <w:tc>
          <w:tcPr>
            <w:tcW w:w="73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20,62</w:t>
            </w:r>
          </w:p>
        </w:tc>
      </w:tr>
      <w:tr>
        <w:tblPrEx>
          <w:tblCellMar>
            <w:top w:w="0" w:type="dxa"/>
            <w:left w:w="70" w:type="dxa"/>
            <w:bottom w:w="0" w:type="dxa"/>
            <w:right w:w="70" w:type="dxa"/>
          </w:tblCellMar>
        </w:tblPrEx>
        <w:trPr>
          <w:trHeight w:val="444"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01-obec</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700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obec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37554</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10000</w:t>
            </w:r>
          </w:p>
        </w:tc>
        <w:tc>
          <w:tcPr>
            <w:tcW w:w="73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26,62</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710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Obstarávanie kapitálových aktív</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37554</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10000</w:t>
            </w:r>
          </w:p>
        </w:tc>
        <w:tc>
          <w:tcPr>
            <w:tcW w:w="73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26,62</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720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Kapitálové transfery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73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06 - ŽP</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700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na ŽP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14443</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723,30</w:t>
            </w:r>
          </w:p>
        </w:tc>
        <w:tc>
          <w:tcPr>
            <w:tcW w:w="73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5,00</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710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Obstarávanie kapitálových aktív</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73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08 - kultúra</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700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kultúru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73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cantSplit/>
          <w:trHeight w:val="315" w:hRule="exac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710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Obstarávanie kapitálových aktív</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73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cantSplit/>
          <w:trHeight w:val="315" w:hRule="exac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720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Kapitálové transfery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730" w:type="dxa"/>
            <w:tcBorders>
              <w:top w:val="nil"/>
              <w:left w:val="single" w:color="000000" w:sz="4" w:space="0"/>
              <w:bottom w:val="single" w:color="000000" w:sz="4" w:space="0"/>
              <w:right w:val="single" w:color="000000" w:sz="4" w:space="0"/>
            </w:tcBorders>
          </w:tcPr>
          <w:p>
            <w:pPr>
              <w:suppressAutoHyphens/>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09 - vzdeláv.</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700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školstvo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73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710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Obstarávanie kapitálových aktív</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73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720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Kapitálové transfery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73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10 - soc. zab.</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700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soc. zabez.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73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710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Obstarávanie kapitálových aktív</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73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720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Kapitálové transfery</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730"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bl>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b/>
          <w:sz w:val="24"/>
          <w:szCs w:val="24"/>
          <w:lang w:eastAsia="ar-SA"/>
        </w:rPr>
        <w:t>2.2.3 Výdavkové finančné operácie</w:t>
      </w:r>
    </w:p>
    <w:p>
      <w:pPr>
        <w:tabs>
          <w:tab w:val="right" w:pos="8820"/>
        </w:tabs>
        <w:suppressAutoHyphens/>
        <w:spacing w:after="0" w:line="240" w:lineRule="auto"/>
        <w:jc w:val="both"/>
        <w:rPr>
          <w:rFonts w:ascii="Times New Roman" w:hAnsi="Times New Roman" w:eastAsia="Times New Roman" w:cs="Times New Roman"/>
          <w:b/>
          <w:sz w:val="24"/>
          <w:szCs w:val="24"/>
          <w:lang w:eastAsia="ar-SA"/>
        </w:rPr>
      </w:pPr>
    </w:p>
    <w:tbl>
      <w:tblPr>
        <w:tblStyle w:val="3"/>
        <w:tblW w:w="0" w:type="auto"/>
        <w:tblInd w:w="965" w:type="dxa"/>
        <w:tblLayout w:type="fixed"/>
        <w:tblCellMar>
          <w:top w:w="0" w:type="dxa"/>
          <w:left w:w="70" w:type="dxa"/>
          <w:bottom w:w="0" w:type="dxa"/>
          <w:right w:w="70" w:type="dxa"/>
        </w:tblCellMar>
      </w:tblPr>
      <w:tblGrid>
        <w:gridCol w:w="4500"/>
        <w:gridCol w:w="3070"/>
      </w:tblGrid>
      <w:tr>
        <w:tblPrEx>
          <w:tblCellMar>
            <w:top w:w="0" w:type="dxa"/>
            <w:left w:w="70" w:type="dxa"/>
            <w:bottom w:w="0" w:type="dxa"/>
            <w:right w:w="70" w:type="dxa"/>
          </w:tblCellMar>
        </w:tblPrEx>
        <w:trPr>
          <w:trHeight w:val="345" w:hRule="atLeast"/>
        </w:trPr>
        <w:tc>
          <w:tcPr>
            <w:tcW w:w="4500" w:type="dxa"/>
            <w:tcBorders>
              <w:top w:val="single" w:color="000000" w:sz="4" w:space="0"/>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Výdavky celkom</w:t>
            </w:r>
          </w:p>
        </w:tc>
        <w:tc>
          <w:tcPr>
            <w:tcW w:w="3070"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 )</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Schválený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8420,00</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Upravený rozpočet</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8420,00</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Skutočnosť k 31.12.2021</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8482,67</w:t>
            </w:r>
          </w:p>
        </w:tc>
      </w:tr>
      <w:tr>
        <w:tblPrEx>
          <w:tblCellMar>
            <w:top w:w="0" w:type="dxa"/>
            <w:left w:w="70" w:type="dxa"/>
            <w:bottom w:w="0" w:type="dxa"/>
            <w:right w:w="70" w:type="dxa"/>
          </w:tblCellMar>
        </w:tblPrEx>
        <w:trPr>
          <w:trHeight w:val="345" w:hRule="atLeast"/>
        </w:trPr>
        <w:tc>
          <w:tcPr>
            <w:tcW w:w="4500" w:type="dxa"/>
            <w:tcBorders>
              <w:top w:val="nil"/>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plnenia k upravenému rozpočtu</w:t>
            </w:r>
          </w:p>
        </w:tc>
        <w:tc>
          <w:tcPr>
            <w:tcW w:w="3070" w:type="dxa"/>
            <w:tcBorders>
              <w:top w:val="nil"/>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100,74</w:t>
            </w:r>
          </w:p>
        </w:tc>
      </w:tr>
    </w:tbl>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Plnenie rozpočtu výdavkových finančných operácií obce</w:t>
      </w:r>
    </w:p>
    <w:p>
      <w:pPr>
        <w:tabs>
          <w:tab w:val="left" w:pos="2340"/>
          <w:tab w:val="right" w:pos="6840"/>
          <w:tab w:val="right" w:pos="8820"/>
        </w:tabs>
        <w:suppressAutoHyphens/>
        <w:spacing w:after="0" w:line="240" w:lineRule="auto"/>
        <w:jc w:val="both"/>
        <w:rPr>
          <w:rFonts w:ascii="Times New Roman" w:hAnsi="Times New Roman" w:eastAsia="Times New Roman" w:cs="Times New Roman"/>
          <w:sz w:val="24"/>
          <w:szCs w:val="24"/>
          <w:lang w:eastAsia="ar-SA"/>
        </w:rPr>
      </w:pPr>
    </w:p>
    <w:tbl>
      <w:tblPr>
        <w:tblStyle w:val="3"/>
        <w:tblW w:w="9466" w:type="dxa"/>
        <w:tblInd w:w="-115" w:type="dxa"/>
        <w:tblLayout w:type="fixed"/>
        <w:tblCellMar>
          <w:top w:w="0" w:type="dxa"/>
          <w:left w:w="70" w:type="dxa"/>
          <w:bottom w:w="0" w:type="dxa"/>
          <w:right w:w="70" w:type="dxa"/>
        </w:tblCellMar>
      </w:tblPr>
      <w:tblGrid>
        <w:gridCol w:w="1440"/>
        <w:gridCol w:w="1260"/>
        <w:gridCol w:w="3240"/>
        <w:gridCol w:w="1350"/>
        <w:gridCol w:w="1350"/>
        <w:gridCol w:w="826"/>
      </w:tblGrid>
      <w:tr>
        <w:tblPrEx>
          <w:tblCellMar>
            <w:top w:w="0" w:type="dxa"/>
            <w:left w:w="70" w:type="dxa"/>
            <w:bottom w:w="0" w:type="dxa"/>
            <w:right w:w="70" w:type="dxa"/>
          </w:tblCellMar>
        </w:tblPrEx>
        <w:trPr>
          <w:trHeight w:val="420" w:hRule="atLeast"/>
        </w:trPr>
        <w:tc>
          <w:tcPr>
            <w:tcW w:w="144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Oddiel</w:t>
            </w:r>
          </w:p>
        </w:tc>
        <w:tc>
          <w:tcPr>
            <w:tcW w:w="126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Kategória</w:t>
            </w:r>
          </w:p>
        </w:tc>
        <w:tc>
          <w:tcPr>
            <w:tcW w:w="324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Text</w:t>
            </w:r>
          </w:p>
        </w:tc>
        <w:tc>
          <w:tcPr>
            <w:tcW w:w="135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Upravený</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rozpočet</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2021</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135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Skutočnosť</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2021</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c>
          <w:tcPr>
            <w:tcW w:w="826"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Bežné výdavky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8420,00</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8482,67</w:t>
            </w: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100,74</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sz w:val="24"/>
                <w:szCs w:val="24"/>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800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obec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260"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 xml:space="preserve">01 - obec </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810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Úvery, pôžičky, NFV ....</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820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Splácanie istín</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8420,00</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8482,67</w:t>
            </w: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100,74</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05 - ŽP</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800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na ŽP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820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Splácanie istín</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08 - kultúra</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800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kultúru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820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Splácanie istín</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09 - vzdeláv.</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800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školstvo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820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Splácanie istín</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10 - soc. zab.</w:t>
            </w: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800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Výdavky za soc. zabez. celkom</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r>
        <w:tblPrEx>
          <w:tblCellMar>
            <w:top w:w="0" w:type="dxa"/>
            <w:left w:w="70" w:type="dxa"/>
            <w:bottom w:w="0" w:type="dxa"/>
            <w:right w:w="70" w:type="dxa"/>
          </w:tblCellMar>
        </w:tblPrEx>
        <w:trPr>
          <w:trHeight w:val="315" w:hRule="atLeast"/>
        </w:trPr>
        <w:tc>
          <w:tcPr>
            <w:tcW w:w="14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b/>
                <w:lang w:eastAsia="ar-SA"/>
              </w:rPr>
            </w:pPr>
          </w:p>
        </w:tc>
        <w:tc>
          <w:tcPr>
            <w:tcW w:w="126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820</w:t>
            </w:r>
          </w:p>
        </w:tc>
        <w:tc>
          <w:tcPr>
            <w:tcW w:w="324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Splácanie istín</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1350" w:type="dxa"/>
            <w:tcBorders>
              <w:top w:val="nil"/>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c>
          <w:tcPr>
            <w:tcW w:w="826" w:type="dxa"/>
            <w:tcBorders>
              <w:top w:val="nil"/>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w:t>
            </w:r>
          </w:p>
        </w:tc>
      </w:tr>
    </w:tbl>
    <w:p>
      <w:pPr>
        <w:tabs>
          <w:tab w:val="left" w:pos="2340"/>
          <w:tab w:val="right" w:pos="6840"/>
          <w:tab w:val="right" w:pos="8820"/>
        </w:tabs>
        <w:suppressAutoHyphens/>
        <w:spacing w:after="0" w:line="240" w:lineRule="auto"/>
        <w:jc w:val="both"/>
        <w:rPr>
          <w:rFonts w:ascii="Times New Roman" w:hAnsi="Times New Roman" w:eastAsia="Times New Roman" w:cs="Times New Roman"/>
          <w:b/>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b/>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b/>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b/>
          <w:sz w:val="24"/>
          <w:szCs w:val="24"/>
          <w:lang w:eastAsia="ar-SA"/>
        </w:rPr>
      </w:pPr>
    </w:p>
    <w:p>
      <w:pPr>
        <w:tabs>
          <w:tab w:val="right" w:pos="8820"/>
        </w:tabs>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2.3 Plán rozpočtu na roky 2022 - 2024</w:t>
      </w:r>
    </w:p>
    <w:p>
      <w:pPr>
        <w:tabs>
          <w:tab w:val="right" w:pos="8820"/>
        </w:tabs>
        <w:suppressAutoHyphens/>
        <w:spacing w:after="0" w:line="240" w:lineRule="auto"/>
        <w:jc w:val="both"/>
        <w:rPr>
          <w:rFonts w:ascii="Times New Roman" w:hAnsi="Times New Roman" w:eastAsia="Times New Roman" w:cs="Times New Roman"/>
          <w:b/>
          <w:sz w:val="24"/>
          <w:szCs w:val="24"/>
          <w:lang w:eastAsia="ar-SA"/>
        </w:rPr>
      </w:pPr>
    </w:p>
    <w:p>
      <w:pPr>
        <w:tabs>
          <w:tab w:val="right" w:pos="8460"/>
        </w:tabs>
        <w:suppressAutoHyphens/>
        <w:spacing w:after="0" w:line="240" w:lineRule="auto"/>
        <w:ind w:firstLine="540"/>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2.3.1 Príjmy celkom</w:t>
      </w:r>
    </w:p>
    <w:p>
      <w:pPr>
        <w:tabs>
          <w:tab w:val="right" w:pos="8460"/>
        </w:tabs>
        <w:suppressAutoHyphens/>
        <w:spacing w:after="0" w:line="240" w:lineRule="auto"/>
        <w:jc w:val="both"/>
        <w:rPr>
          <w:rFonts w:ascii="Times New Roman" w:hAnsi="Times New Roman" w:eastAsia="Times New Roman" w:cs="Times New Roman"/>
          <w:b/>
          <w:sz w:val="24"/>
          <w:szCs w:val="24"/>
          <w:lang w:eastAsia="ar-SA"/>
        </w:rPr>
      </w:pPr>
    </w:p>
    <w:tbl>
      <w:tblPr>
        <w:tblStyle w:val="3"/>
        <w:tblW w:w="0" w:type="auto"/>
        <w:tblInd w:w="-5" w:type="dxa"/>
        <w:tblLayout w:type="fixed"/>
        <w:tblCellMar>
          <w:top w:w="0" w:type="dxa"/>
          <w:left w:w="108" w:type="dxa"/>
          <w:bottom w:w="0" w:type="dxa"/>
          <w:right w:w="108" w:type="dxa"/>
        </w:tblCellMar>
      </w:tblPr>
      <w:tblGrid>
        <w:gridCol w:w="2246"/>
        <w:gridCol w:w="1642"/>
        <w:gridCol w:w="1717"/>
        <w:gridCol w:w="1869"/>
        <w:gridCol w:w="1879"/>
      </w:tblGrid>
      <w:tr>
        <w:tblPrEx>
          <w:tblCellMar>
            <w:top w:w="0" w:type="dxa"/>
            <w:left w:w="108" w:type="dxa"/>
            <w:bottom w:w="0" w:type="dxa"/>
            <w:right w:w="108" w:type="dxa"/>
          </w:tblCellMar>
        </w:tblPrEx>
        <w:tc>
          <w:tcPr>
            <w:tcW w:w="2246" w:type="dxa"/>
            <w:tcBorders>
              <w:top w:val="single" w:color="000000" w:sz="4" w:space="0"/>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p>
        </w:tc>
        <w:tc>
          <w:tcPr>
            <w:tcW w:w="1642" w:type="dxa"/>
            <w:tcBorders>
              <w:top w:val="single" w:color="000000" w:sz="4" w:space="0"/>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Skutočnosť k 31.12.2021</w:t>
            </w:r>
          </w:p>
        </w:tc>
        <w:tc>
          <w:tcPr>
            <w:tcW w:w="1717" w:type="dxa"/>
            <w:tcBorders>
              <w:top w:val="single" w:color="000000" w:sz="4" w:space="0"/>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Plán na rok  2022</w:t>
            </w:r>
          </w:p>
        </w:tc>
        <w:tc>
          <w:tcPr>
            <w:tcW w:w="1869" w:type="dxa"/>
            <w:tcBorders>
              <w:top w:val="single" w:color="000000" w:sz="4" w:space="0"/>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Plán na rok 2023</w:t>
            </w:r>
          </w:p>
        </w:tc>
        <w:tc>
          <w:tcPr>
            <w:tcW w:w="1879" w:type="dxa"/>
            <w:tcBorders>
              <w:top w:val="single" w:color="000000" w:sz="4" w:space="0"/>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Plán na rok 2024</w:t>
            </w:r>
          </w:p>
        </w:tc>
      </w:tr>
      <w:tr>
        <w:tblPrEx>
          <w:tblCellMar>
            <w:top w:w="0" w:type="dxa"/>
            <w:left w:w="108" w:type="dxa"/>
            <w:bottom w:w="0" w:type="dxa"/>
            <w:right w:w="108" w:type="dxa"/>
          </w:tblCellMar>
        </w:tblPrEx>
        <w:tc>
          <w:tcPr>
            <w:tcW w:w="2246"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Príjmy celkom</w:t>
            </w:r>
          </w:p>
        </w:tc>
        <w:tc>
          <w:tcPr>
            <w:tcW w:w="1642"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278556,42</w:t>
            </w:r>
          </w:p>
        </w:tc>
        <w:tc>
          <w:tcPr>
            <w:tcW w:w="1717"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275217</w:t>
            </w:r>
          </w:p>
        </w:tc>
        <w:tc>
          <w:tcPr>
            <w:tcW w:w="1869"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235320</w:t>
            </w:r>
          </w:p>
        </w:tc>
        <w:tc>
          <w:tcPr>
            <w:tcW w:w="1879"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235320</w:t>
            </w:r>
          </w:p>
        </w:tc>
      </w:tr>
      <w:tr>
        <w:tblPrEx>
          <w:tblCellMar>
            <w:top w:w="0" w:type="dxa"/>
            <w:left w:w="108" w:type="dxa"/>
            <w:bottom w:w="0" w:type="dxa"/>
            <w:right w:w="108" w:type="dxa"/>
          </w:tblCellMar>
        </w:tblPrEx>
        <w:tc>
          <w:tcPr>
            <w:tcW w:w="2246"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z toho :</w:t>
            </w:r>
          </w:p>
        </w:tc>
        <w:tc>
          <w:tcPr>
            <w:tcW w:w="1642"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p>
        </w:tc>
        <w:tc>
          <w:tcPr>
            <w:tcW w:w="1717"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p>
        </w:tc>
        <w:tc>
          <w:tcPr>
            <w:tcW w:w="1869"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p>
        </w:tc>
        <w:tc>
          <w:tcPr>
            <w:tcW w:w="1879"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p>
        </w:tc>
      </w:tr>
      <w:tr>
        <w:tblPrEx>
          <w:tblCellMar>
            <w:top w:w="0" w:type="dxa"/>
            <w:left w:w="108" w:type="dxa"/>
            <w:bottom w:w="0" w:type="dxa"/>
            <w:right w:w="108" w:type="dxa"/>
          </w:tblCellMar>
        </w:tblPrEx>
        <w:tc>
          <w:tcPr>
            <w:tcW w:w="2246"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Bežné príjmy</w:t>
            </w:r>
          </w:p>
        </w:tc>
        <w:tc>
          <w:tcPr>
            <w:tcW w:w="1642"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256934,42</w:t>
            </w:r>
          </w:p>
        </w:tc>
        <w:tc>
          <w:tcPr>
            <w:tcW w:w="1717"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233320</w:t>
            </w:r>
          </w:p>
        </w:tc>
        <w:tc>
          <w:tcPr>
            <w:tcW w:w="1869"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233320</w:t>
            </w:r>
          </w:p>
        </w:tc>
        <w:tc>
          <w:tcPr>
            <w:tcW w:w="1879"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233320</w:t>
            </w:r>
          </w:p>
        </w:tc>
      </w:tr>
      <w:tr>
        <w:tblPrEx>
          <w:tblCellMar>
            <w:top w:w="0" w:type="dxa"/>
            <w:left w:w="108" w:type="dxa"/>
            <w:bottom w:w="0" w:type="dxa"/>
            <w:right w:w="108" w:type="dxa"/>
          </w:tblCellMar>
        </w:tblPrEx>
        <w:tc>
          <w:tcPr>
            <w:tcW w:w="2246"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Kapitálové príjmy</w:t>
            </w:r>
          </w:p>
        </w:tc>
        <w:tc>
          <w:tcPr>
            <w:tcW w:w="1642"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9622,00</w:t>
            </w:r>
          </w:p>
        </w:tc>
        <w:tc>
          <w:tcPr>
            <w:tcW w:w="1717"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39897</w:t>
            </w:r>
          </w:p>
        </w:tc>
        <w:tc>
          <w:tcPr>
            <w:tcW w:w="1869"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w:t>
            </w:r>
          </w:p>
        </w:tc>
        <w:tc>
          <w:tcPr>
            <w:tcW w:w="1879"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w:t>
            </w:r>
          </w:p>
        </w:tc>
      </w:tr>
      <w:tr>
        <w:tblPrEx>
          <w:tblCellMar>
            <w:top w:w="0" w:type="dxa"/>
            <w:left w:w="108" w:type="dxa"/>
            <w:bottom w:w="0" w:type="dxa"/>
            <w:right w:w="108" w:type="dxa"/>
          </w:tblCellMar>
        </w:tblPrEx>
        <w:tc>
          <w:tcPr>
            <w:tcW w:w="2246"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Finančné príjmy</w:t>
            </w:r>
          </w:p>
        </w:tc>
        <w:tc>
          <w:tcPr>
            <w:tcW w:w="1642"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12000,00</w:t>
            </w:r>
          </w:p>
        </w:tc>
        <w:tc>
          <w:tcPr>
            <w:tcW w:w="1717"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2000</w:t>
            </w:r>
          </w:p>
        </w:tc>
        <w:tc>
          <w:tcPr>
            <w:tcW w:w="1869"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2000</w:t>
            </w:r>
          </w:p>
        </w:tc>
        <w:tc>
          <w:tcPr>
            <w:tcW w:w="1879"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2000</w:t>
            </w:r>
          </w:p>
        </w:tc>
      </w:tr>
    </w:tbl>
    <w:p>
      <w:pPr>
        <w:tabs>
          <w:tab w:val="right" w:pos="8820"/>
        </w:tabs>
        <w:suppressAutoHyphens/>
        <w:spacing w:after="0" w:line="240" w:lineRule="auto"/>
        <w:jc w:val="both"/>
        <w:rPr>
          <w:rFonts w:ascii="Times New Roman" w:hAnsi="Times New Roman" w:eastAsia="Times New Roman" w:cs="Times New Roman"/>
          <w:b/>
          <w:sz w:val="24"/>
          <w:szCs w:val="24"/>
          <w:lang w:eastAsia="ar-SA"/>
        </w:rPr>
      </w:pPr>
    </w:p>
    <w:p>
      <w:pPr>
        <w:tabs>
          <w:tab w:val="right" w:pos="8460"/>
        </w:tabs>
        <w:suppressAutoHyphens/>
        <w:spacing w:after="0" w:line="240" w:lineRule="auto"/>
        <w:jc w:val="both"/>
        <w:rPr>
          <w:rFonts w:ascii="Times New Roman" w:hAnsi="Times New Roman" w:eastAsia="Times New Roman" w:cs="Times New Roman"/>
          <w:b/>
          <w:sz w:val="24"/>
          <w:szCs w:val="24"/>
          <w:lang w:eastAsia="ar-SA"/>
        </w:rPr>
      </w:pPr>
    </w:p>
    <w:p>
      <w:pPr>
        <w:tabs>
          <w:tab w:val="right" w:pos="8460"/>
        </w:tabs>
        <w:suppressAutoHyphens/>
        <w:spacing w:after="0" w:line="240" w:lineRule="auto"/>
        <w:jc w:val="both"/>
        <w:rPr>
          <w:rFonts w:ascii="Times New Roman" w:hAnsi="Times New Roman" w:eastAsia="Times New Roman" w:cs="Times New Roman"/>
          <w:b/>
          <w:sz w:val="24"/>
          <w:szCs w:val="24"/>
          <w:lang w:eastAsia="ar-SA"/>
        </w:rPr>
      </w:pPr>
    </w:p>
    <w:p>
      <w:pPr>
        <w:tabs>
          <w:tab w:val="right" w:pos="8460"/>
        </w:tabs>
        <w:suppressAutoHyphens/>
        <w:spacing w:after="0" w:line="240" w:lineRule="auto"/>
        <w:jc w:val="both"/>
        <w:rPr>
          <w:rFonts w:ascii="Times New Roman" w:hAnsi="Times New Roman" w:eastAsia="Times New Roman" w:cs="Times New Roman"/>
          <w:b/>
          <w:sz w:val="24"/>
          <w:szCs w:val="24"/>
          <w:lang w:eastAsia="ar-SA"/>
        </w:rPr>
      </w:pPr>
    </w:p>
    <w:p>
      <w:pPr>
        <w:tabs>
          <w:tab w:val="right" w:pos="8460"/>
        </w:tabs>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2.3.2 Výdavky celkom</w:t>
      </w:r>
    </w:p>
    <w:p>
      <w:pPr>
        <w:tabs>
          <w:tab w:val="right" w:pos="8460"/>
        </w:tabs>
        <w:suppressAutoHyphens/>
        <w:spacing w:after="0" w:line="240" w:lineRule="auto"/>
        <w:jc w:val="both"/>
        <w:rPr>
          <w:rFonts w:ascii="Times New Roman" w:hAnsi="Times New Roman" w:eastAsia="Times New Roman" w:cs="Times New Roman"/>
          <w:b/>
          <w:sz w:val="24"/>
          <w:szCs w:val="24"/>
          <w:lang w:eastAsia="ar-SA"/>
        </w:rPr>
      </w:pPr>
    </w:p>
    <w:tbl>
      <w:tblPr>
        <w:tblStyle w:val="3"/>
        <w:tblW w:w="0" w:type="auto"/>
        <w:tblInd w:w="-5" w:type="dxa"/>
        <w:tblLayout w:type="fixed"/>
        <w:tblCellMar>
          <w:top w:w="0" w:type="dxa"/>
          <w:left w:w="108" w:type="dxa"/>
          <w:bottom w:w="0" w:type="dxa"/>
          <w:right w:w="108" w:type="dxa"/>
        </w:tblCellMar>
      </w:tblPr>
      <w:tblGrid>
        <w:gridCol w:w="2246"/>
        <w:gridCol w:w="1642"/>
        <w:gridCol w:w="1717"/>
        <w:gridCol w:w="1869"/>
        <w:gridCol w:w="1879"/>
      </w:tblGrid>
      <w:tr>
        <w:tblPrEx>
          <w:tblCellMar>
            <w:top w:w="0" w:type="dxa"/>
            <w:left w:w="108" w:type="dxa"/>
            <w:bottom w:w="0" w:type="dxa"/>
            <w:right w:w="108" w:type="dxa"/>
          </w:tblCellMar>
        </w:tblPrEx>
        <w:tc>
          <w:tcPr>
            <w:tcW w:w="2246" w:type="dxa"/>
            <w:tcBorders>
              <w:top w:val="single" w:color="000000" w:sz="4" w:space="0"/>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p>
        </w:tc>
        <w:tc>
          <w:tcPr>
            <w:tcW w:w="1642" w:type="dxa"/>
            <w:tcBorders>
              <w:top w:val="single" w:color="000000" w:sz="4" w:space="0"/>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Skutočnosť k 31.12.2021</w:t>
            </w:r>
          </w:p>
        </w:tc>
        <w:tc>
          <w:tcPr>
            <w:tcW w:w="1717" w:type="dxa"/>
            <w:tcBorders>
              <w:top w:val="single" w:color="000000" w:sz="4" w:space="0"/>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Plán na rok 2022</w:t>
            </w:r>
          </w:p>
        </w:tc>
        <w:tc>
          <w:tcPr>
            <w:tcW w:w="1869" w:type="dxa"/>
            <w:tcBorders>
              <w:top w:val="single" w:color="000000" w:sz="4" w:space="0"/>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Plán na  rok 2023</w:t>
            </w:r>
          </w:p>
        </w:tc>
        <w:tc>
          <w:tcPr>
            <w:tcW w:w="1879" w:type="dxa"/>
            <w:tcBorders>
              <w:top w:val="single" w:color="000000" w:sz="4" w:space="0"/>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Plán na  rok 2024</w:t>
            </w:r>
          </w:p>
        </w:tc>
      </w:tr>
      <w:tr>
        <w:tblPrEx>
          <w:tblCellMar>
            <w:top w:w="0" w:type="dxa"/>
            <w:left w:w="108" w:type="dxa"/>
            <w:bottom w:w="0" w:type="dxa"/>
            <w:right w:w="108" w:type="dxa"/>
          </w:tblCellMar>
        </w:tblPrEx>
        <w:tc>
          <w:tcPr>
            <w:tcW w:w="2246"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Výdavky celkom</w:t>
            </w:r>
          </w:p>
        </w:tc>
        <w:tc>
          <w:tcPr>
            <w:tcW w:w="1642"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278384,24</w:t>
            </w:r>
          </w:p>
        </w:tc>
        <w:tc>
          <w:tcPr>
            <w:tcW w:w="1717"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275217</w:t>
            </w:r>
          </w:p>
        </w:tc>
        <w:tc>
          <w:tcPr>
            <w:tcW w:w="1869"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235320</w:t>
            </w:r>
          </w:p>
        </w:tc>
        <w:tc>
          <w:tcPr>
            <w:tcW w:w="1879"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235320</w:t>
            </w:r>
          </w:p>
        </w:tc>
      </w:tr>
      <w:tr>
        <w:tblPrEx>
          <w:tblCellMar>
            <w:top w:w="0" w:type="dxa"/>
            <w:left w:w="108" w:type="dxa"/>
            <w:bottom w:w="0" w:type="dxa"/>
            <w:right w:w="108" w:type="dxa"/>
          </w:tblCellMar>
        </w:tblPrEx>
        <w:tc>
          <w:tcPr>
            <w:tcW w:w="2246"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z toho :</w:t>
            </w:r>
          </w:p>
        </w:tc>
        <w:tc>
          <w:tcPr>
            <w:tcW w:w="1642"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p>
        </w:tc>
        <w:tc>
          <w:tcPr>
            <w:tcW w:w="1717"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p>
        </w:tc>
        <w:tc>
          <w:tcPr>
            <w:tcW w:w="1869"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p>
        </w:tc>
        <w:tc>
          <w:tcPr>
            <w:tcW w:w="1879"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p>
        </w:tc>
      </w:tr>
      <w:tr>
        <w:tblPrEx>
          <w:tblCellMar>
            <w:top w:w="0" w:type="dxa"/>
            <w:left w:w="108" w:type="dxa"/>
            <w:bottom w:w="0" w:type="dxa"/>
            <w:right w:w="108" w:type="dxa"/>
          </w:tblCellMar>
        </w:tblPrEx>
        <w:tc>
          <w:tcPr>
            <w:tcW w:w="2246"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Bežné výdavky</w:t>
            </w:r>
          </w:p>
        </w:tc>
        <w:tc>
          <w:tcPr>
            <w:tcW w:w="1642"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259178,27</w:t>
            </w:r>
          </w:p>
        </w:tc>
        <w:tc>
          <w:tcPr>
            <w:tcW w:w="1717"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232200</w:t>
            </w:r>
          </w:p>
        </w:tc>
        <w:tc>
          <w:tcPr>
            <w:tcW w:w="1869"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232200</w:t>
            </w:r>
          </w:p>
        </w:tc>
        <w:tc>
          <w:tcPr>
            <w:tcW w:w="1879"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232200</w:t>
            </w:r>
          </w:p>
        </w:tc>
      </w:tr>
      <w:tr>
        <w:tblPrEx>
          <w:tblCellMar>
            <w:top w:w="0" w:type="dxa"/>
            <w:left w:w="108" w:type="dxa"/>
            <w:bottom w:w="0" w:type="dxa"/>
            <w:right w:w="108" w:type="dxa"/>
          </w:tblCellMar>
        </w:tblPrEx>
        <w:tc>
          <w:tcPr>
            <w:tcW w:w="2246"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Kapitálové výdavky</w:t>
            </w:r>
          </w:p>
        </w:tc>
        <w:tc>
          <w:tcPr>
            <w:tcW w:w="1642"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10723,3</w:t>
            </w:r>
          </w:p>
        </w:tc>
        <w:tc>
          <w:tcPr>
            <w:tcW w:w="1717" w:type="dxa"/>
            <w:tcBorders>
              <w:top w:val="nil"/>
              <w:left w:val="single" w:color="000000" w:sz="4" w:space="0"/>
              <w:bottom w:val="single" w:color="000000" w:sz="4" w:space="0"/>
              <w:right w:val="nil"/>
            </w:tcBorders>
          </w:tcPr>
          <w:p>
            <w:pPr>
              <w:tabs>
                <w:tab w:val="left" w:pos="690"/>
                <w:tab w:val="center" w:pos="750"/>
                <w:tab w:val="right" w:pos="8460"/>
              </w:tabs>
              <w:suppressAutoHyphens/>
              <w:snapToGrid w:val="0"/>
              <w:spacing w:after="0" w:line="240" w:lineRule="auto"/>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         -------</w:t>
            </w:r>
          </w:p>
        </w:tc>
        <w:tc>
          <w:tcPr>
            <w:tcW w:w="1869"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w:t>
            </w:r>
          </w:p>
        </w:tc>
        <w:tc>
          <w:tcPr>
            <w:tcW w:w="1879"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w:t>
            </w:r>
          </w:p>
        </w:tc>
      </w:tr>
      <w:tr>
        <w:tblPrEx>
          <w:tblCellMar>
            <w:top w:w="0" w:type="dxa"/>
            <w:left w:w="108" w:type="dxa"/>
            <w:bottom w:w="0" w:type="dxa"/>
            <w:right w:w="108" w:type="dxa"/>
          </w:tblCellMar>
        </w:tblPrEx>
        <w:tc>
          <w:tcPr>
            <w:tcW w:w="2246"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Finančné výdavky</w:t>
            </w:r>
          </w:p>
        </w:tc>
        <w:tc>
          <w:tcPr>
            <w:tcW w:w="1642"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8482,67</w:t>
            </w:r>
          </w:p>
        </w:tc>
        <w:tc>
          <w:tcPr>
            <w:tcW w:w="1717"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43017</w:t>
            </w:r>
          </w:p>
        </w:tc>
        <w:tc>
          <w:tcPr>
            <w:tcW w:w="1869"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3120</w:t>
            </w:r>
          </w:p>
        </w:tc>
        <w:tc>
          <w:tcPr>
            <w:tcW w:w="1879"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3120</w:t>
            </w:r>
          </w:p>
        </w:tc>
      </w:tr>
    </w:tbl>
    <w:p>
      <w:pPr>
        <w:tabs>
          <w:tab w:val="left" w:pos="2340"/>
          <w:tab w:val="right" w:pos="6840"/>
          <w:tab w:val="right" w:pos="8820"/>
        </w:tabs>
        <w:suppressAutoHyphens/>
        <w:spacing w:after="0" w:line="240" w:lineRule="auto"/>
        <w:jc w:val="both"/>
        <w:rPr>
          <w:rFonts w:ascii="Times New Roman" w:hAnsi="Times New Roman" w:eastAsia="Times New Roman" w:cs="Times New Roman"/>
          <w:b/>
          <w:sz w:val="24"/>
          <w:szCs w:val="24"/>
          <w:lang w:eastAsia="ar-SA"/>
        </w:rPr>
      </w:pPr>
    </w:p>
    <w:p>
      <w:pPr>
        <w:tabs>
          <w:tab w:val="left" w:pos="2340"/>
          <w:tab w:val="right" w:pos="6840"/>
          <w:tab w:val="right" w:pos="8820"/>
        </w:tabs>
        <w:suppressAutoHyphens/>
        <w:spacing w:after="0" w:line="240" w:lineRule="auto"/>
        <w:jc w:val="both"/>
        <w:rPr>
          <w:rFonts w:ascii="Times New Roman" w:hAnsi="Times New Roman" w:eastAsia="Times New Roman" w:cs="Times New Roman"/>
          <w:b/>
          <w:sz w:val="24"/>
          <w:szCs w:val="24"/>
          <w:lang w:eastAsia="ar-SA"/>
        </w:rPr>
      </w:pPr>
    </w:p>
    <w:p>
      <w:pPr>
        <w:tabs>
          <w:tab w:val="right" w:pos="8820"/>
        </w:tabs>
        <w:suppressAutoHyphens/>
        <w:spacing w:after="0" w:line="240" w:lineRule="auto"/>
        <w:jc w:val="both"/>
        <w:rPr>
          <w:rFonts w:ascii="Times New Roman" w:hAnsi="Times New Roman" w:eastAsia="Times New Roman" w:cs="Times New Roman"/>
          <w:b/>
          <w:sz w:val="28"/>
          <w:szCs w:val="28"/>
          <w:lang w:eastAsia="ar-SA"/>
        </w:rPr>
      </w:pPr>
      <w:r>
        <w:rPr>
          <w:rFonts w:ascii="Times New Roman" w:hAnsi="Times New Roman" w:eastAsia="Times New Roman" w:cs="Times New Roman"/>
          <w:b/>
          <w:sz w:val="28"/>
          <w:szCs w:val="28"/>
          <w:lang w:eastAsia="ar-SA"/>
        </w:rPr>
        <w:t>3. Hospodárenie obce a rozdelenie výsledku hospodárenia za rok 2021</w:t>
      </w:r>
    </w:p>
    <w:p>
      <w:pPr>
        <w:tabs>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right" w:pos="8820"/>
        </w:tabs>
        <w:suppressAutoHyphens/>
        <w:spacing w:after="0" w:line="240" w:lineRule="auto"/>
        <w:ind w:firstLine="360"/>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Skutočné čerpanie rozpočtu obce k 31.12.2021 :</w:t>
      </w:r>
    </w:p>
    <w:p>
      <w:pPr>
        <w:tabs>
          <w:tab w:val="right" w:pos="8820"/>
        </w:tabs>
        <w:suppressAutoHyphens/>
        <w:spacing w:after="0" w:line="240" w:lineRule="auto"/>
        <w:jc w:val="both"/>
        <w:rPr>
          <w:rFonts w:ascii="Times New Roman" w:hAnsi="Times New Roman" w:eastAsia="Times New Roman" w:cs="Times New Roman"/>
          <w:b/>
          <w:sz w:val="28"/>
          <w:szCs w:val="28"/>
          <w:lang w:eastAsia="ar-SA"/>
        </w:rPr>
      </w:pPr>
    </w:p>
    <w:tbl>
      <w:tblPr>
        <w:tblStyle w:val="3"/>
        <w:tblW w:w="0" w:type="auto"/>
        <w:tblInd w:w="463" w:type="dxa"/>
        <w:tblLayout w:type="fixed"/>
        <w:tblCellMar>
          <w:top w:w="0" w:type="dxa"/>
          <w:left w:w="108" w:type="dxa"/>
          <w:bottom w:w="0" w:type="dxa"/>
          <w:right w:w="108" w:type="dxa"/>
        </w:tblCellMar>
      </w:tblPr>
      <w:tblGrid>
        <w:gridCol w:w="3420"/>
        <w:gridCol w:w="1800"/>
        <w:gridCol w:w="1810"/>
      </w:tblGrid>
      <w:tr>
        <w:tblPrEx>
          <w:tblCellMar>
            <w:top w:w="0" w:type="dxa"/>
            <w:left w:w="108" w:type="dxa"/>
            <w:bottom w:w="0" w:type="dxa"/>
            <w:right w:w="108" w:type="dxa"/>
          </w:tblCellMar>
        </w:tblPrEx>
        <w:tc>
          <w:tcPr>
            <w:tcW w:w="3420" w:type="dxa"/>
            <w:tcBorders>
              <w:top w:val="single" w:color="000000" w:sz="4" w:space="0"/>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p>
        </w:tc>
        <w:tc>
          <w:tcPr>
            <w:tcW w:w="1800" w:type="dxa"/>
            <w:tcBorders>
              <w:top w:val="single" w:color="000000" w:sz="4" w:space="0"/>
              <w:left w:val="single" w:color="000000" w:sz="4" w:space="0"/>
              <w:bottom w:val="single" w:color="000000" w:sz="4" w:space="0"/>
              <w:right w:val="nil"/>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Upravený</w:t>
            </w:r>
          </w:p>
          <w:p>
            <w:pPr>
              <w:tabs>
                <w:tab w:val="right" w:pos="882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rozpočet</w:t>
            </w:r>
          </w:p>
          <w:p>
            <w:pPr>
              <w:tabs>
                <w:tab w:val="right" w:pos="846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2021 (v €)</w:t>
            </w:r>
          </w:p>
        </w:tc>
        <w:tc>
          <w:tcPr>
            <w:tcW w:w="1810" w:type="dxa"/>
            <w:tcBorders>
              <w:top w:val="single" w:color="000000" w:sz="4" w:space="0"/>
              <w:left w:val="single" w:color="000000" w:sz="4" w:space="0"/>
              <w:bottom w:val="single" w:color="000000" w:sz="4" w:space="0"/>
              <w:right w:val="single" w:color="000000" w:sz="4" w:space="0"/>
            </w:tcBorders>
          </w:tcPr>
          <w:p>
            <w:pPr>
              <w:tabs>
                <w:tab w:val="right" w:pos="882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Skutočnosť</w:t>
            </w:r>
          </w:p>
          <w:p>
            <w:pPr>
              <w:tabs>
                <w:tab w:val="right" w:pos="8820"/>
              </w:tabs>
              <w:suppressAutoHyphens/>
              <w:spacing w:after="0" w:line="240" w:lineRule="auto"/>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k 31.12.2021</w:t>
            </w:r>
          </w:p>
          <w:p>
            <w:pPr>
              <w:tabs>
                <w:tab w:val="right" w:pos="8460"/>
              </w:tabs>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 €)</w:t>
            </w:r>
          </w:p>
        </w:tc>
      </w:tr>
      <w:tr>
        <w:tblPrEx>
          <w:tblCellMar>
            <w:top w:w="0" w:type="dxa"/>
            <w:left w:w="108" w:type="dxa"/>
            <w:bottom w:w="0" w:type="dxa"/>
            <w:right w:w="108" w:type="dxa"/>
          </w:tblCellMar>
        </w:tblPrEx>
        <w:tc>
          <w:tcPr>
            <w:tcW w:w="342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Príjmy celkom</w:t>
            </w:r>
          </w:p>
        </w:tc>
        <w:tc>
          <w:tcPr>
            <w:tcW w:w="180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289767</w:t>
            </w:r>
          </w:p>
        </w:tc>
        <w:tc>
          <w:tcPr>
            <w:tcW w:w="1810"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278556,42</w:t>
            </w:r>
          </w:p>
        </w:tc>
      </w:tr>
      <w:tr>
        <w:tblPrEx>
          <w:tblCellMar>
            <w:top w:w="0" w:type="dxa"/>
            <w:left w:w="108" w:type="dxa"/>
            <w:bottom w:w="0" w:type="dxa"/>
            <w:right w:w="108" w:type="dxa"/>
          </w:tblCellMar>
        </w:tblPrEx>
        <w:tc>
          <w:tcPr>
            <w:tcW w:w="342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z toho :</w:t>
            </w:r>
          </w:p>
        </w:tc>
        <w:tc>
          <w:tcPr>
            <w:tcW w:w="180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p>
        </w:tc>
        <w:tc>
          <w:tcPr>
            <w:tcW w:w="1810"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p>
        </w:tc>
      </w:tr>
      <w:tr>
        <w:tblPrEx>
          <w:tblCellMar>
            <w:top w:w="0" w:type="dxa"/>
            <w:left w:w="108" w:type="dxa"/>
            <w:bottom w:w="0" w:type="dxa"/>
            <w:right w:w="108" w:type="dxa"/>
          </w:tblCellMar>
        </w:tblPrEx>
        <w:tc>
          <w:tcPr>
            <w:tcW w:w="342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Bežné príjmy</w:t>
            </w:r>
          </w:p>
        </w:tc>
        <w:tc>
          <w:tcPr>
            <w:tcW w:w="180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237870</w:t>
            </w:r>
          </w:p>
        </w:tc>
        <w:tc>
          <w:tcPr>
            <w:tcW w:w="1810"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256934,42</w:t>
            </w:r>
          </w:p>
        </w:tc>
      </w:tr>
      <w:tr>
        <w:tblPrEx>
          <w:tblCellMar>
            <w:top w:w="0" w:type="dxa"/>
            <w:left w:w="108" w:type="dxa"/>
            <w:bottom w:w="0" w:type="dxa"/>
            <w:right w:w="108" w:type="dxa"/>
          </w:tblCellMar>
        </w:tblPrEx>
        <w:tc>
          <w:tcPr>
            <w:tcW w:w="342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Kapitálové príjmy</w:t>
            </w:r>
          </w:p>
        </w:tc>
        <w:tc>
          <w:tcPr>
            <w:tcW w:w="180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c>
          <w:tcPr>
            <w:tcW w:w="1810"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9622,00</w:t>
            </w:r>
          </w:p>
        </w:tc>
      </w:tr>
      <w:tr>
        <w:tblPrEx>
          <w:tblCellMar>
            <w:top w:w="0" w:type="dxa"/>
            <w:left w:w="108" w:type="dxa"/>
            <w:bottom w:w="0" w:type="dxa"/>
            <w:right w:w="108" w:type="dxa"/>
          </w:tblCellMar>
        </w:tblPrEx>
        <w:tc>
          <w:tcPr>
            <w:tcW w:w="342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Finančné príjmy</w:t>
            </w:r>
          </w:p>
        </w:tc>
        <w:tc>
          <w:tcPr>
            <w:tcW w:w="180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51897</w:t>
            </w:r>
          </w:p>
        </w:tc>
        <w:tc>
          <w:tcPr>
            <w:tcW w:w="1810"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12000,00</w:t>
            </w:r>
          </w:p>
        </w:tc>
      </w:tr>
      <w:tr>
        <w:tblPrEx>
          <w:tblCellMar>
            <w:top w:w="0" w:type="dxa"/>
            <w:left w:w="108" w:type="dxa"/>
            <w:bottom w:w="0" w:type="dxa"/>
            <w:right w:w="108" w:type="dxa"/>
          </w:tblCellMar>
        </w:tblPrEx>
        <w:tc>
          <w:tcPr>
            <w:tcW w:w="342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Výdavky celkom</w:t>
            </w:r>
          </w:p>
        </w:tc>
        <w:tc>
          <w:tcPr>
            <w:tcW w:w="180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289767</w:t>
            </w:r>
          </w:p>
        </w:tc>
        <w:tc>
          <w:tcPr>
            <w:tcW w:w="1810"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278384,24</w:t>
            </w:r>
          </w:p>
        </w:tc>
      </w:tr>
      <w:tr>
        <w:tblPrEx>
          <w:tblCellMar>
            <w:top w:w="0" w:type="dxa"/>
            <w:left w:w="108" w:type="dxa"/>
            <w:bottom w:w="0" w:type="dxa"/>
            <w:right w:w="108" w:type="dxa"/>
          </w:tblCellMar>
        </w:tblPrEx>
        <w:tc>
          <w:tcPr>
            <w:tcW w:w="342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z toho :</w:t>
            </w:r>
          </w:p>
        </w:tc>
        <w:tc>
          <w:tcPr>
            <w:tcW w:w="180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p>
        </w:tc>
        <w:tc>
          <w:tcPr>
            <w:tcW w:w="1810"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p>
        </w:tc>
      </w:tr>
      <w:tr>
        <w:tblPrEx>
          <w:tblCellMar>
            <w:top w:w="0" w:type="dxa"/>
            <w:left w:w="108" w:type="dxa"/>
            <w:bottom w:w="0" w:type="dxa"/>
            <w:right w:w="108" w:type="dxa"/>
          </w:tblCellMar>
        </w:tblPrEx>
        <w:tc>
          <w:tcPr>
            <w:tcW w:w="342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Bežné výdavky</w:t>
            </w:r>
          </w:p>
        </w:tc>
        <w:tc>
          <w:tcPr>
            <w:tcW w:w="180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229350</w:t>
            </w:r>
          </w:p>
        </w:tc>
        <w:tc>
          <w:tcPr>
            <w:tcW w:w="1810"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259178,27</w:t>
            </w:r>
          </w:p>
        </w:tc>
      </w:tr>
      <w:tr>
        <w:tblPrEx>
          <w:tblCellMar>
            <w:top w:w="0" w:type="dxa"/>
            <w:left w:w="108" w:type="dxa"/>
            <w:bottom w:w="0" w:type="dxa"/>
            <w:right w:w="108" w:type="dxa"/>
          </w:tblCellMar>
        </w:tblPrEx>
        <w:tc>
          <w:tcPr>
            <w:tcW w:w="342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Kapitálové výdavky</w:t>
            </w:r>
          </w:p>
        </w:tc>
        <w:tc>
          <w:tcPr>
            <w:tcW w:w="180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51997</w:t>
            </w:r>
          </w:p>
        </w:tc>
        <w:tc>
          <w:tcPr>
            <w:tcW w:w="1810"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10723,3</w:t>
            </w:r>
          </w:p>
        </w:tc>
      </w:tr>
      <w:tr>
        <w:tblPrEx>
          <w:tblCellMar>
            <w:top w:w="0" w:type="dxa"/>
            <w:left w:w="108" w:type="dxa"/>
            <w:bottom w:w="0" w:type="dxa"/>
            <w:right w:w="108" w:type="dxa"/>
          </w:tblCellMar>
        </w:tblPrEx>
        <w:tc>
          <w:tcPr>
            <w:tcW w:w="342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Finančné výdavky</w:t>
            </w:r>
          </w:p>
        </w:tc>
        <w:tc>
          <w:tcPr>
            <w:tcW w:w="180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8420</w:t>
            </w:r>
          </w:p>
        </w:tc>
        <w:tc>
          <w:tcPr>
            <w:tcW w:w="1810"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8482,67</w:t>
            </w:r>
          </w:p>
        </w:tc>
      </w:tr>
      <w:tr>
        <w:tblPrEx>
          <w:tblCellMar>
            <w:top w:w="0" w:type="dxa"/>
            <w:left w:w="108" w:type="dxa"/>
            <w:bottom w:w="0" w:type="dxa"/>
            <w:right w:w="108" w:type="dxa"/>
          </w:tblCellMar>
        </w:tblPrEx>
        <w:tc>
          <w:tcPr>
            <w:tcW w:w="342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Rozpočet obce za rok 2021</w:t>
            </w:r>
          </w:p>
        </w:tc>
        <w:tc>
          <w:tcPr>
            <w:tcW w:w="1800" w:type="dxa"/>
            <w:tcBorders>
              <w:top w:val="nil"/>
              <w:left w:val="single" w:color="000000" w:sz="4" w:space="0"/>
              <w:bottom w:val="single" w:color="000000" w:sz="4" w:space="0"/>
              <w:right w:val="nil"/>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p>
        </w:tc>
        <w:tc>
          <w:tcPr>
            <w:tcW w:w="1810" w:type="dxa"/>
            <w:tcBorders>
              <w:top w:val="nil"/>
              <w:left w:val="single" w:color="000000" w:sz="4" w:space="0"/>
              <w:bottom w:val="single" w:color="000000" w:sz="4" w:space="0"/>
              <w:right w:val="single" w:color="000000" w:sz="4" w:space="0"/>
            </w:tcBorders>
          </w:tcPr>
          <w:p>
            <w:pPr>
              <w:tabs>
                <w:tab w:val="right" w:pos="8460"/>
              </w:tabs>
              <w:suppressAutoHyphens/>
              <w:snapToGrid w:val="0"/>
              <w:spacing w:after="0" w:line="240" w:lineRule="auto"/>
              <w:jc w:val="center"/>
              <w:rPr>
                <w:rFonts w:ascii="Times New Roman" w:hAnsi="Times New Roman" w:eastAsia="Times New Roman" w:cs="Times New Roman"/>
                <w:b/>
                <w:sz w:val="24"/>
                <w:szCs w:val="24"/>
                <w:lang w:eastAsia="ar-SA"/>
              </w:rPr>
            </w:pPr>
          </w:p>
        </w:tc>
      </w:tr>
    </w:tbl>
    <w:p>
      <w:pPr>
        <w:tabs>
          <w:tab w:val="right" w:pos="8820"/>
        </w:tabs>
        <w:suppressAutoHyphens/>
        <w:spacing w:after="0" w:line="240" w:lineRule="auto"/>
        <w:jc w:val="both"/>
        <w:rPr>
          <w:rFonts w:ascii="Times New Roman" w:hAnsi="Times New Roman" w:eastAsia="Times New Roman" w:cs="Times New Roman"/>
          <w:sz w:val="28"/>
          <w:szCs w:val="28"/>
          <w:lang w:eastAsia="ar-SA"/>
        </w:rPr>
      </w:pPr>
    </w:p>
    <w:p>
      <w:pPr>
        <w:suppressAutoHyphens/>
        <w:spacing w:after="0" w:line="24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Výsledok hospodárenia za rok 2021 je</w:t>
      </w:r>
      <w:r>
        <w:rPr>
          <w:rFonts w:ascii="Times New Roman" w:hAnsi="Times New Roman" w:eastAsia="Times New Roman" w:cs="Times New Roman"/>
          <w:b/>
          <w:sz w:val="24"/>
          <w:szCs w:val="24"/>
          <w:lang w:eastAsia="ar-SA"/>
        </w:rPr>
        <w:t xml:space="preserve"> 172,18</w:t>
      </w:r>
      <w:r>
        <w:rPr>
          <w:rFonts w:ascii="Times New Roman" w:hAnsi="Times New Roman" w:eastAsia="Times New Roman" w:cs="Times New Roman"/>
          <w:sz w:val="24"/>
          <w:szCs w:val="24"/>
          <w:lang w:eastAsia="ar-SA"/>
        </w:rPr>
        <w:t xml:space="preserve">   </w:t>
      </w:r>
      <w:r>
        <w:rPr>
          <w:rFonts w:ascii="Times New Roman" w:hAnsi="Times New Roman" w:eastAsia="Times New Roman" w:cs="Times New Roman"/>
          <w:b/>
          <w:sz w:val="24"/>
          <w:szCs w:val="24"/>
          <w:lang w:eastAsia="ar-SA"/>
        </w:rPr>
        <w:t>Eur.</w:t>
      </w:r>
    </w:p>
    <w:p>
      <w:pPr>
        <w:suppressAutoHyphens/>
        <w:spacing w:after="0" w:line="24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w:t>
      </w:r>
    </w:p>
    <w:p>
      <w:pPr>
        <w:tabs>
          <w:tab w:val="right" w:pos="7740"/>
        </w:tabs>
        <w:suppressAutoHyphens/>
        <w:spacing w:after="0" w:line="240" w:lineRule="auto"/>
        <w:ind w:left="540"/>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Zostatky fin.prostriedkov na bežných bankových účtoch obce k 31.12.2021 je vo výške </w:t>
      </w:r>
    </w:p>
    <w:p>
      <w:pPr>
        <w:tabs>
          <w:tab w:val="right" w:pos="7740"/>
        </w:tabs>
        <w:suppressAutoHyphens/>
        <w:spacing w:after="0" w:line="240" w:lineRule="auto"/>
        <w:ind w:left="540"/>
        <w:rPr>
          <w:rFonts w:ascii="Times New Roman" w:hAnsi="Times New Roman" w:eastAsia="Times New Roman" w:cs="Times New Roman"/>
          <w:sz w:val="24"/>
          <w:szCs w:val="24"/>
          <w:lang w:eastAsia="ar-SA"/>
        </w:rPr>
      </w:pPr>
      <w:r>
        <w:rPr>
          <w:rFonts w:ascii="Times New Roman" w:hAnsi="Times New Roman" w:eastAsia="Times New Roman" w:cs="Times New Roman"/>
          <w:b/>
          <w:sz w:val="24"/>
          <w:szCs w:val="24"/>
          <w:lang w:eastAsia="ar-SA"/>
        </w:rPr>
        <w:t xml:space="preserve">     13155,70</w:t>
      </w:r>
      <w:r>
        <w:rPr>
          <w:rFonts w:ascii="Times New Roman" w:hAnsi="Times New Roman" w:eastAsia="Times New Roman" w:cs="Times New Roman"/>
          <w:sz w:val="24"/>
          <w:szCs w:val="24"/>
          <w:lang w:eastAsia="ar-SA"/>
        </w:rPr>
        <w:t xml:space="preserve"> €  a v pokladnici vo výške </w:t>
      </w:r>
      <w:r>
        <w:rPr>
          <w:rFonts w:ascii="Times New Roman" w:hAnsi="Times New Roman" w:eastAsia="Times New Roman" w:cs="Times New Roman"/>
          <w:b/>
          <w:sz w:val="24"/>
          <w:szCs w:val="24"/>
          <w:lang w:eastAsia="ar-SA"/>
        </w:rPr>
        <w:t xml:space="preserve">138,85 </w:t>
      </w:r>
      <w:r>
        <w:rPr>
          <w:rFonts w:ascii="Times New Roman" w:hAnsi="Times New Roman" w:eastAsia="Times New Roman" w:cs="Times New Roman"/>
          <w:sz w:val="24"/>
          <w:szCs w:val="24"/>
          <w:lang w:eastAsia="ar-SA"/>
        </w:rPr>
        <w:t xml:space="preserve">€  . </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 xml:space="preserve">           </w:t>
      </w:r>
    </w:p>
    <w:p>
      <w:pPr>
        <w:tabs>
          <w:tab w:val="right" w:pos="7740"/>
        </w:tabs>
        <w:suppressAutoHyphens/>
        <w:spacing w:after="0" w:line="240" w:lineRule="auto"/>
        <w:ind w:firstLine="540"/>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Nevyčerpané prostriedky účelovo určené zo ŠR na školu presunuté do roku </w:t>
      </w:r>
    </w:p>
    <w:p>
      <w:pPr>
        <w:tabs>
          <w:tab w:val="right" w:pos="7740"/>
        </w:tabs>
        <w:suppressAutoHyphens/>
        <w:spacing w:after="0" w:line="240" w:lineRule="auto"/>
        <w:ind w:firstLine="540"/>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2022   sú vo výške  </w:t>
      </w:r>
      <w:r>
        <w:rPr>
          <w:rFonts w:ascii="Times New Roman" w:hAnsi="Times New Roman" w:eastAsia="Times New Roman" w:cs="Times New Roman"/>
          <w:b/>
          <w:sz w:val="24"/>
          <w:szCs w:val="24"/>
          <w:lang w:eastAsia="ar-SA"/>
        </w:rPr>
        <w:t>246,06</w:t>
      </w:r>
      <w:r>
        <w:rPr>
          <w:rFonts w:ascii="Times New Roman" w:hAnsi="Times New Roman" w:eastAsia="Times New Roman" w:cs="Times New Roman"/>
          <w:sz w:val="24"/>
          <w:szCs w:val="24"/>
          <w:lang w:eastAsia="ar-SA"/>
        </w:rPr>
        <w:t xml:space="preserve"> €  ( dopravné žiakov) ,  </w:t>
      </w:r>
    </w:p>
    <w:p>
      <w:pPr>
        <w:tabs>
          <w:tab w:val="right" w:pos="7740"/>
        </w:tabs>
        <w:suppressAutoHyphens/>
        <w:spacing w:after="0" w:line="240" w:lineRule="auto"/>
        <w:ind w:firstLine="540"/>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w:t>
      </w:r>
    </w:p>
    <w:p>
      <w:pPr>
        <w:tabs>
          <w:tab w:val="right" w:pos="7740"/>
        </w:tabs>
        <w:suppressAutoHyphens/>
        <w:spacing w:after="0" w:line="240" w:lineRule="auto"/>
        <w:rPr>
          <w:rFonts w:ascii="Times New Roman" w:hAnsi="Times New Roman" w:eastAsia="Times New Roman" w:cs="Times New Roman"/>
          <w:sz w:val="24"/>
          <w:szCs w:val="24"/>
          <w:lang w:eastAsia="ar-SA"/>
        </w:rPr>
      </w:pPr>
    </w:p>
    <w:p>
      <w:pPr>
        <w:tabs>
          <w:tab w:val="right" w:pos="7740"/>
        </w:tabs>
        <w:suppressAutoHyphens/>
        <w:spacing w:after="0" w:line="24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w:t>
      </w:r>
    </w:p>
    <w:p>
      <w:pPr>
        <w:suppressAutoHyphens/>
        <w:spacing w:after="0" w:line="240" w:lineRule="auto"/>
        <w:ind w:firstLine="360"/>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V zmysle ustanovenia § 16  odsek 6 zákona č.583/2004 Z.z. o rozpočtových pravidlách územnej samosprávy a o zmene a doplnení niektorých zákonov v znení neskorších predpisov sa na účely tvorby peňažných fondov pri usporiadaní prebytku rozpočtu obce z tohto  </w:t>
      </w:r>
      <w:r>
        <w:rPr>
          <w:rFonts w:ascii="Times New Roman" w:hAnsi="Times New Roman" w:eastAsia="Times New Roman" w:cs="Times New Roman"/>
          <w:sz w:val="24"/>
          <w:szCs w:val="24"/>
          <w:u w:val="single"/>
          <w:lang w:eastAsia="ar-SA"/>
        </w:rPr>
        <w:t>prebytku vylučujú</w:t>
      </w:r>
      <w:r>
        <w:rPr>
          <w:rFonts w:ascii="Times New Roman" w:hAnsi="Times New Roman" w:eastAsia="Times New Roman" w:cs="Times New Roman"/>
          <w:sz w:val="24"/>
          <w:szCs w:val="24"/>
          <w:lang w:eastAsia="ar-SA"/>
        </w:rPr>
        <w:t xml:space="preserve"> : </w:t>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nevyčerpané prostriedky účelovo určené na </w:t>
      </w:r>
      <w:r>
        <w:rPr>
          <w:rFonts w:ascii="Times New Roman" w:hAnsi="Times New Roman" w:eastAsia="Times New Roman" w:cs="Times New Roman"/>
          <w:b/>
          <w:sz w:val="24"/>
          <w:szCs w:val="24"/>
          <w:lang w:eastAsia="ar-SA"/>
        </w:rPr>
        <w:t>bežné výdavky</w:t>
      </w:r>
      <w:r>
        <w:rPr>
          <w:rFonts w:ascii="Times New Roman" w:hAnsi="Times New Roman" w:eastAsia="Times New Roman" w:cs="Times New Roman"/>
          <w:sz w:val="24"/>
          <w:szCs w:val="24"/>
          <w:lang w:eastAsia="ar-SA"/>
        </w:rPr>
        <w:t xml:space="preserve">  poskytnuté v predchádzajúcom </w:t>
      </w:r>
    </w:p>
    <w:p>
      <w:pPr>
        <w:suppressAutoHyphens/>
        <w:spacing w:after="0" w:line="240" w:lineRule="auto"/>
        <w:ind w:left="180"/>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rozpočtovom roku  vo výške  Eur, a to na : </w:t>
      </w:r>
    </w:p>
    <w:p>
      <w:pPr>
        <w:numPr>
          <w:ilvl w:val="0"/>
          <w:numId w:val="4"/>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Cestovné žiakov   vo výške  246,06 Eur</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p>
    <w:p>
      <w:pPr>
        <w:numPr>
          <w:ilvl w:val="0"/>
          <w:numId w:val="4"/>
        </w:num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nevyčerpané prostriedky účelovo určené na </w:t>
      </w:r>
      <w:r>
        <w:rPr>
          <w:rFonts w:ascii="Times New Roman" w:hAnsi="Times New Roman" w:eastAsia="Times New Roman" w:cs="Times New Roman"/>
          <w:b/>
          <w:sz w:val="24"/>
          <w:szCs w:val="24"/>
          <w:lang w:eastAsia="ar-SA"/>
        </w:rPr>
        <w:t>kapitálové výdavky</w:t>
      </w:r>
      <w:r>
        <w:rPr>
          <w:rFonts w:ascii="Times New Roman" w:hAnsi="Times New Roman" w:eastAsia="Times New Roman" w:cs="Times New Roman"/>
          <w:sz w:val="24"/>
          <w:szCs w:val="24"/>
          <w:lang w:eastAsia="ar-SA"/>
        </w:rPr>
        <w:t xml:space="preserve"> poskytnuté v      </w:t>
      </w:r>
    </w:p>
    <w:p>
      <w:pPr>
        <w:suppressAutoHyphens/>
        <w:spacing w:after="0" w:line="240" w:lineRule="auto"/>
        <w:ind w:left="360"/>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predchádzajúcom rozpočtovom roku z kapitoly MF SR vo výške   100000,- € na    </w:t>
      </w:r>
    </w:p>
    <w:p>
      <w:pPr>
        <w:suppressAutoHyphens/>
        <w:spacing w:after="0" w:line="240" w:lineRule="auto"/>
        <w:ind w:left="360"/>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odstránenie nelegálnej skládky v obci Vrbovka.</w:t>
      </w:r>
    </w:p>
    <w:p>
      <w:pPr>
        <w:suppressAutoHyphens/>
        <w:spacing w:after="0" w:line="240" w:lineRule="auto"/>
        <w:ind w:left="360"/>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ktoré je možné použiť v rozpočtovom roku v súlade s ustanovením § 8 odsek 4 a 5 zákona č.523/2004 Z.z. o rozpočtových pravidlách verejnej správy a o zmene a doplnení niektorých zákonov v znení neskorších predpisov. </w:t>
      </w:r>
    </w:p>
    <w:p>
      <w:pPr>
        <w:tabs>
          <w:tab w:val="right" w:pos="7740"/>
        </w:tabs>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ab/>
      </w:r>
    </w:p>
    <w:p>
      <w:pPr>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w:t>
      </w:r>
    </w:p>
    <w:p>
      <w:pPr>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360" w:lineRule="auto"/>
        <w:jc w:val="both"/>
        <w:rPr>
          <w:rFonts w:ascii="Times New Roman" w:hAnsi="Times New Roman" w:eastAsia="Times New Roman" w:cs="Times New Roman"/>
          <w:b/>
          <w:sz w:val="28"/>
          <w:szCs w:val="28"/>
          <w:lang w:eastAsia="ar-SA"/>
        </w:rPr>
      </w:pPr>
      <w:r>
        <w:rPr>
          <w:rFonts w:ascii="Times New Roman" w:hAnsi="Times New Roman" w:eastAsia="Times New Roman" w:cs="Times New Roman"/>
          <w:b/>
          <w:sz w:val="28"/>
          <w:szCs w:val="28"/>
          <w:lang w:eastAsia="ar-SA"/>
        </w:rPr>
        <w:t>4. Bilancia aktív a pasív  v tis. Sk</w:t>
      </w:r>
    </w:p>
    <w:p>
      <w:pPr>
        <w:suppressAutoHyphens/>
        <w:spacing w:after="0" w:line="36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 xml:space="preserve">4.1  A K T Í V A </w:t>
      </w:r>
    </w:p>
    <w:tbl>
      <w:tblPr>
        <w:tblStyle w:val="3"/>
        <w:tblW w:w="0" w:type="auto"/>
        <w:tblInd w:w="-5" w:type="dxa"/>
        <w:tblLayout w:type="fixed"/>
        <w:tblCellMar>
          <w:top w:w="0" w:type="dxa"/>
          <w:left w:w="70" w:type="dxa"/>
          <w:bottom w:w="0" w:type="dxa"/>
          <w:right w:w="70" w:type="dxa"/>
        </w:tblCellMar>
      </w:tblPr>
      <w:tblGrid>
        <w:gridCol w:w="3756"/>
        <w:gridCol w:w="1534"/>
        <w:gridCol w:w="1440"/>
        <w:gridCol w:w="1440"/>
        <w:gridCol w:w="1450"/>
      </w:tblGrid>
      <w:tr>
        <w:tblPrEx>
          <w:tblCellMar>
            <w:top w:w="0" w:type="dxa"/>
            <w:left w:w="70" w:type="dxa"/>
            <w:bottom w:w="0" w:type="dxa"/>
            <w:right w:w="70" w:type="dxa"/>
          </w:tblCellMar>
        </w:tblPrEx>
        <w:tc>
          <w:tcPr>
            <w:tcW w:w="3756" w:type="dxa"/>
            <w:tcBorders>
              <w:top w:val="single" w:color="000000" w:sz="4" w:space="0"/>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Názov</w:t>
            </w:r>
          </w:p>
        </w:tc>
        <w:tc>
          <w:tcPr>
            <w:tcW w:w="1534" w:type="dxa"/>
            <w:tcBorders>
              <w:top w:val="single" w:color="000000" w:sz="4" w:space="0"/>
              <w:left w:val="single" w:color="000000" w:sz="4" w:space="0"/>
              <w:bottom w:val="single" w:color="000000" w:sz="4" w:space="0"/>
              <w:right w:val="nil"/>
            </w:tcBorders>
          </w:tcPr>
          <w:p>
            <w:pPr>
              <w:suppressAutoHyphens/>
              <w:snapToGrid w:val="0"/>
              <w:spacing w:after="0" w:line="360" w:lineRule="auto"/>
              <w:ind w:left="-188" w:firstLine="188"/>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Skutočnosť</w:t>
            </w:r>
          </w:p>
          <w:p>
            <w:pPr>
              <w:suppressAutoHyphens/>
              <w:spacing w:after="0" w:line="360" w:lineRule="auto"/>
              <w:ind w:left="-188" w:firstLine="188"/>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k 31.12. 2019</w:t>
            </w:r>
          </w:p>
        </w:tc>
        <w:tc>
          <w:tcPr>
            <w:tcW w:w="1440" w:type="dxa"/>
            <w:tcBorders>
              <w:top w:val="single" w:color="000000" w:sz="4" w:space="0"/>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Skutočnosť</w:t>
            </w:r>
          </w:p>
          <w:p>
            <w:pPr>
              <w:suppressAutoHyphens/>
              <w:spacing w:after="0" w:line="36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k 31.12.2020</w:t>
            </w:r>
          </w:p>
        </w:tc>
        <w:tc>
          <w:tcPr>
            <w:tcW w:w="1440" w:type="dxa"/>
            <w:tcBorders>
              <w:top w:val="single" w:color="000000" w:sz="4" w:space="0"/>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Skutočnosť</w:t>
            </w:r>
          </w:p>
          <w:p>
            <w:pPr>
              <w:suppressAutoHyphens/>
              <w:spacing w:after="0" w:line="36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k 31.12.2021</w:t>
            </w:r>
          </w:p>
        </w:tc>
        <w:tc>
          <w:tcPr>
            <w:tcW w:w="1450"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Predpoklad</w:t>
            </w:r>
          </w:p>
          <w:p>
            <w:pPr>
              <w:suppressAutoHyphens/>
              <w:spacing w:after="0" w:line="36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rok 2022</w:t>
            </w: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Neobežný majetok spolu</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943988,74</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1029055,42</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994539,73</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z toho :</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Dlhodobý nehmotný majetok</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7170,59</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6534,59</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5898,59</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Dlhodobý hmotný majetok</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848350,15</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934052,83</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900173,14</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rPr>
          <w:trHeight w:val="521" w:hRule="atLeast"/>
        </w:trPr>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Dlhodobý finančný majetok</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88468,00</w:t>
            </w:r>
          </w:p>
        </w:tc>
        <w:tc>
          <w:tcPr>
            <w:tcW w:w="1440" w:type="dxa"/>
            <w:tcBorders>
              <w:top w:val="nil"/>
              <w:left w:val="single" w:color="000000" w:sz="4" w:space="0"/>
              <w:bottom w:val="single" w:color="000000" w:sz="4" w:space="0"/>
              <w:right w:val="nil"/>
            </w:tcBorders>
          </w:tcPr>
          <w:p>
            <w:pPr>
              <w:suppressAutoHyphens/>
              <w:snapToGrid w:val="0"/>
              <w:spacing w:after="0" w:line="360" w:lineRule="auto"/>
              <w:rPr>
                <w:rFonts w:ascii="Times New Roman" w:hAnsi="Times New Roman" w:eastAsia="Times New Roman" w:cs="Times New Roman"/>
                <w:lang w:eastAsia="ar-SA"/>
              </w:rPr>
            </w:pPr>
            <w:r>
              <w:rPr>
                <w:rFonts w:ascii="Times New Roman" w:hAnsi="Times New Roman" w:eastAsia="Times New Roman" w:cs="Times New Roman"/>
                <w:lang w:eastAsia="ar-SA"/>
              </w:rPr>
              <w:t xml:space="preserve">      88468,00</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88468,00</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Obežný majetok spolu</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119015,89</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35497,89</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38136,64</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z toho :</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Zásoby</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200,00</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200,00</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200,00</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Pohľadávky</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4812,97</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10026,00</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24170,40</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Finančný majetok</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114002,92</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25271,89</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13766,24</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Poskytnuté návratné fin. výpomoci dlh.</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Poskytnuté návratné fin. výpomoci krát.</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Prechodné účty aktív</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297,36</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297,36</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297,36</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Majetok spolu</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i/>
                <w:lang w:eastAsia="ar-SA"/>
              </w:rPr>
            </w:pPr>
            <w:r>
              <w:rPr>
                <w:rFonts w:ascii="Times New Roman" w:hAnsi="Times New Roman" w:eastAsia="Times New Roman" w:cs="Times New Roman"/>
                <w:i/>
                <w:lang w:eastAsia="ar-SA"/>
              </w:rPr>
              <w:t>1063301,99</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i/>
                <w:lang w:eastAsia="ar-SA"/>
              </w:rPr>
            </w:pPr>
            <w:r>
              <w:rPr>
                <w:rFonts w:ascii="Times New Roman" w:hAnsi="Times New Roman" w:eastAsia="Times New Roman" w:cs="Times New Roman"/>
                <w:i/>
                <w:lang w:eastAsia="ar-SA"/>
              </w:rPr>
              <w:t>1064850,67</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i/>
                <w:lang w:eastAsia="ar-SA"/>
              </w:rPr>
            </w:pPr>
            <w:r>
              <w:rPr>
                <w:rFonts w:ascii="Times New Roman" w:hAnsi="Times New Roman" w:eastAsia="Times New Roman" w:cs="Times New Roman"/>
                <w:i/>
                <w:lang w:eastAsia="ar-SA"/>
              </w:rPr>
              <w:t>1032768,34</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i/>
                <w:lang w:eastAsia="ar-SA"/>
              </w:rPr>
            </w:pPr>
          </w:p>
        </w:tc>
      </w:tr>
    </w:tbl>
    <w:p>
      <w:pPr>
        <w:suppressAutoHyphens/>
        <w:spacing w:after="0" w:line="360" w:lineRule="auto"/>
        <w:jc w:val="both"/>
        <w:rPr>
          <w:rFonts w:ascii="Times New Roman" w:hAnsi="Times New Roman" w:eastAsia="Times New Roman" w:cs="Times New Roman"/>
          <w:b/>
          <w:lang w:eastAsia="ar-SA"/>
        </w:rPr>
      </w:pPr>
    </w:p>
    <w:p>
      <w:pPr>
        <w:suppressAutoHyphens/>
        <w:spacing w:after="0" w:line="360" w:lineRule="auto"/>
        <w:jc w:val="both"/>
        <w:rPr>
          <w:rFonts w:ascii="Times New Roman" w:hAnsi="Times New Roman" w:eastAsia="Times New Roman" w:cs="Times New Roman"/>
          <w:b/>
          <w:lang w:eastAsia="ar-SA"/>
        </w:rPr>
      </w:pPr>
    </w:p>
    <w:p>
      <w:pPr>
        <w:suppressAutoHyphens/>
        <w:spacing w:after="0" w:line="36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4.2  P A S Í V A</w:t>
      </w:r>
    </w:p>
    <w:tbl>
      <w:tblPr>
        <w:tblStyle w:val="3"/>
        <w:tblW w:w="0" w:type="auto"/>
        <w:tblInd w:w="-5" w:type="dxa"/>
        <w:tblLayout w:type="fixed"/>
        <w:tblCellMar>
          <w:top w:w="0" w:type="dxa"/>
          <w:left w:w="70" w:type="dxa"/>
          <w:bottom w:w="0" w:type="dxa"/>
          <w:right w:w="70" w:type="dxa"/>
        </w:tblCellMar>
      </w:tblPr>
      <w:tblGrid>
        <w:gridCol w:w="3756"/>
        <w:gridCol w:w="1534"/>
        <w:gridCol w:w="1440"/>
        <w:gridCol w:w="1440"/>
        <w:gridCol w:w="1450"/>
      </w:tblGrid>
      <w:tr>
        <w:tblPrEx>
          <w:tblCellMar>
            <w:top w:w="0" w:type="dxa"/>
            <w:left w:w="70" w:type="dxa"/>
            <w:bottom w:w="0" w:type="dxa"/>
            <w:right w:w="70" w:type="dxa"/>
          </w:tblCellMar>
        </w:tblPrEx>
        <w:tc>
          <w:tcPr>
            <w:tcW w:w="3756" w:type="dxa"/>
            <w:tcBorders>
              <w:top w:val="single" w:color="000000" w:sz="4" w:space="0"/>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Názov</w:t>
            </w:r>
          </w:p>
        </w:tc>
        <w:tc>
          <w:tcPr>
            <w:tcW w:w="1534" w:type="dxa"/>
            <w:tcBorders>
              <w:top w:val="single" w:color="000000" w:sz="4" w:space="0"/>
              <w:left w:val="single" w:color="000000" w:sz="4" w:space="0"/>
              <w:bottom w:val="single" w:color="000000" w:sz="4" w:space="0"/>
              <w:right w:val="nil"/>
            </w:tcBorders>
          </w:tcPr>
          <w:p>
            <w:pPr>
              <w:suppressAutoHyphens/>
              <w:snapToGrid w:val="0"/>
              <w:spacing w:after="0" w:line="360" w:lineRule="auto"/>
              <w:ind w:left="-188" w:firstLine="188"/>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Skutočnosť</w:t>
            </w:r>
          </w:p>
          <w:p>
            <w:pPr>
              <w:suppressAutoHyphens/>
              <w:spacing w:after="0" w:line="360" w:lineRule="auto"/>
              <w:ind w:left="-188" w:firstLine="188"/>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k 31.12. 2019</w:t>
            </w:r>
          </w:p>
        </w:tc>
        <w:tc>
          <w:tcPr>
            <w:tcW w:w="1440" w:type="dxa"/>
            <w:tcBorders>
              <w:top w:val="single" w:color="000000" w:sz="4" w:space="0"/>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Skutočnosť</w:t>
            </w:r>
          </w:p>
          <w:p>
            <w:pPr>
              <w:suppressAutoHyphens/>
              <w:spacing w:after="0" w:line="36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k  31.12.2020</w:t>
            </w:r>
          </w:p>
        </w:tc>
        <w:tc>
          <w:tcPr>
            <w:tcW w:w="1440" w:type="dxa"/>
            <w:tcBorders>
              <w:top w:val="single" w:color="000000" w:sz="4" w:space="0"/>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Skutočnosť</w:t>
            </w:r>
          </w:p>
          <w:p>
            <w:pPr>
              <w:suppressAutoHyphens/>
              <w:spacing w:after="0" w:line="36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k 31.12.2021</w:t>
            </w:r>
          </w:p>
        </w:tc>
        <w:tc>
          <w:tcPr>
            <w:tcW w:w="1450"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Predpoklad</w:t>
            </w:r>
          </w:p>
          <w:p>
            <w:pPr>
              <w:suppressAutoHyphens/>
              <w:spacing w:after="0" w:line="360" w:lineRule="auto"/>
              <w:jc w:val="center"/>
              <w:rPr>
                <w:rFonts w:ascii="Times New Roman" w:hAnsi="Times New Roman" w:eastAsia="Times New Roman" w:cs="Times New Roman"/>
                <w:b/>
                <w:lang w:eastAsia="ar-SA"/>
              </w:rPr>
            </w:pPr>
            <w:r>
              <w:rPr>
                <w:rFonts w:ascii="Times New Roman" w:hAnsi="Times New Roman" w:eastAsia="Times New Roman" w:cs="Times New Roman"/>
                <w:b/>
                <w:lang w:eastAsia="ar-SA"/>
              </w:rPr>
              <w:t>rok 2022</w:t>
            </w: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A.Vlastné zdroje krytia majetku</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1063301,99</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1064850,67</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1032768,34</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z toho :</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Fondy účtovnej jednotky</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 xml:space="preserve">Výsledok hospodárenia </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481541,91</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620383,33</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-16739,24</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rPr>
          <w:trHeight w:val="452" w:hRule="atLeast"/>
        </w:trPr>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B. Záväzky súčet</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i/>
                <w:lang w:eastAsia="ar-SA"/>
              </w:rPr>
            </w:pPr>
            <w:r>
              <w:rPr>
                <w:rFonts w:ascii="Times New Roman" w:hAnsi="Times New Roman" w:eastAsia="Times New Roman" w:cs="Times New Roman"/>
                <w:i/>
                <w:lang w:eastAsia="ar-SA"/>
              </w:rPr>
              <w:t>266231,80</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i/>
                <w:lang w:eastAsia="ar-SA"/>
              </w:rPr>
            </w:pPr>
            <w:r>
              <w:rPr>
                <w:rFonts w:ascii="Times New Roman" w:hAnsi="Times New Roman" w:eastAsia="Times New Roman" w:cs="Times New Roman"/>
                <w:i/>
                <w:lang w:eastAsia="ar-SA"/>
              </w:rPr>
              <w:t>62708,37</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i/>
                <w:lang w:eastAsia="ar-SA"/>
              </w:rPr>
            </w:pPr>
            <w:r>
              <w:rPr>
                <w:rFonts w:ascii="Times New Roman" w:hAnsi="Times New Roman" w:eastAsia="Times New Roman" w:cs="Times New Roman"/>
                <w:i/>
                <w:lang w:eastAsia="ar-SA"/>
              </w:rPr>
              <w:t>70495,04</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i/>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z toho :</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Dlhodobé záväzky</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17843,48</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12710,58</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9968,82</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Krátkodobé záväzky</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89235,00</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24583,54</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47764,02</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Bankové úvery a ostatné prij. výpomoci</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113227,03</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13105,20</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9985,20</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lang w:eastAsia="ar-SA"/>
              </w:rPr>
            </w:pPr>
            <w:r>
              <w:rPr>
                <w:rFonts w:ascii="Times New Roman" w:hAnsi="Times New Roman" w:eastAsia="Times New Roman" w:cs="Times New Roman"/>
                <w:lang w:eastAsia="ar-SA"/>
              </w:rPr>
              <w:t>Prechodné účty pasív</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315528,28</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381758,97</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lang w:eastAsia="ar-SA"/>
              </w:rPr>
            </w:pPr>
            <w:r>
              <w:rPr>
                <w:rFonts w:ascii="Times New Roman" w:hAnsi="Times New Roman" w:eastAsia="Times New Roman" w:cs="Times New Roman"/>
                <w:lang w:eastAsia="ar-SA"/>
              </w:rPr>
              <w:t>336592,08</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lang w:eastAsia="ar-SA"/>
              </w:rPr>
            </w:pPr>
          </w:p>
        </w:tc>
      </w:tr>
      <w:tr>
        <w:tblPrEx>
          <w:tblCellMar>
            <w:top w:w="0" w:type="dxa"/>
            <w:left w:w="70" w:type="dxa"/>
            <w:bottom w:w="0" w:type="dxa"/>
            <w:right w:w="70" w:type="dxa"/>
          </w:tblCellMar>
        </w:tblPrEx>
        <w:tc>
          <w:tcPr>
            <w:tcW w:w="3756"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 xml:space="preserve">Vlastné zdroje krytia majetku </w:t>
            </w:r>
          </w:p>
          <w:p>
            <w:pPr>
              <w:suppressAutoHyphens/>
              <w:spacing w:after="0" w:line="360" w:lineRule="auto"/>
              <w:jc w:val="both"/>
              <w:rPr>
                <w:rFonts w:ascii="Times New Roman" w:hAnsi="Times New Roman" w:eastAsia="Times New Roman" w:cs="Times New Roman"/>
                <w:b/>
                <w:lang w:eastAsia="ar-SA"/>
              </w:rPr>
            </w:pPr>
            <w:r>
              <w:rPr>
                <w:rFonts w:ascii="Times New Roman" w:hAnsi="Times New Roman" w:eastAsia="Times New Roman" w:cs="Times New Roman"/>
                <w:b/>
                <w:lang w:eastAsia="ar-SA"/>
              </w:rPr>
              <w:t>a záväzky  spolu</w:t>
            </w:r>
          </w:p>
        </w:tc>
        <w:tc>
          <w:tcPr>
            <w:tcW w:w="1534"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i/>
                <w:lang w:eastAsia="ar-SA"/>
              </w:rPr>
            </w:pPr>
            <w:r>
              <w:rPr>
                <w:rFonts w:ascii="Times New Roman" w:hAnsi="Times New Roman" w:eastAsia="Times New Roman" w:cs="Times New Roman"/>
                <w:i/>
                <w:lang w:eastAsia="ar-SA"/>
              </w:rPr>
              <w:t>1063301,99</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i/>
                <w:lang w:eastAsia="ar-SA"/>
              </w:rPr>
            </w:pPr>
            <w:r>
              <w:rPr>
                <w:rFonts w:ascii="Times New Roman" w:hAnsi="Times New Roman" w:eastAsia="Times New Roman" w:cs="Times New Roman"/>
                <w:i/>
                <w:lang w:eastAsia="ar-SA"/>
              </w:rPr>
              <w:t>1064850,67</w:t>
            </w:r>
          </w:p>
        </w:tc>
        <w:tc>
          <w:tcPr>
            <w:tcW w:w="1440"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i/>
                <w:lang w:eastAsia="ar-SA"/>
              </w:rPr>
            </w:pPr>
            <w:r>
              <w:rPr>
                <w:rFonts w:ascii="Times New Roman" w:hAnsi="Times New Roman" w:eastAsia="Times New Roman" w:cs="Times New Roman"/>
                <w:i/>
                <w:lang w:eastAsia="ar-SA"/>
              </w:rPr>
              <w:t>1032768,34</w:t>
            </w:r>
          </w:p>
        </w:tc>
        <w:tc>
          <w:tcPr>
            <w:tcW w:w="14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i/>
                <w:lang w:eastAsia="ar-SA"/>
              </w:rPr>
            </w:pPr>
          </w:p>
        </w:tc>
      </w:tr>
    </w:tbl>
    <w:p>
      <w:pPr>
        <w:tabs>
          <w:tab w:val="left" w:pos="288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880"/>
          <w:tab w:val="right" w:pos="8820"/>
        </w:tabs>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360" w:lineRule="auto"/>
        <w:jc w:val="both"/>
        <w:rPr>
          <w:rFonts w:ascii="Times New Roman" w:hAnsi="Times New Roman" w:eastAsia="Times New Roman" w:cs="Times New Roman"/>
          <w:b/>
          <w:sz w:val="28"/>
          <w:szCs w:val="28"/>
          <w:lang w:eastAsia="ar-SA"/>
        </w:rPr>
      </w:pPr>
      <w:r>
        <w:rPr>
          <w:rFonts w:ascii="Times New Roman" w:hAnsi="Times New Roman" w:eastAsia="Times New Roman" w:cs="Times New Roman"/>
          <w:b/>
          <w:sz w:val="28"/>
          <w:szCs w:val="28"/>
          <w:lang w:eastAsia="ar-SA"/>
        </w:rPr>
        <w:t>5. Vývoj pohľadávok a záväzkov  v  €</w:t>
      </w:r>
    </w:p>
    <w:p>
      <w:pPr>
        <w:suppressAutoHyphens/>
        <w:spacing w:after="0" w:line="360" w:lineRule="auto"/>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5.1. Pohľadávky </w:t>
      </w:r>
    </w:p>
    <w:tbl>
      <w:tblPr>
        <w:tblStyle w:val="3"/>
        <w:tblW w:w="0" w:type="auto"/>
        <w:tblInd w:w="108" w:type="dxa"/>
        <w:tblLayout w:type="fixed"/>
        <w:tblCellMar>
          <w:top w:w="0" w:type="dxa"/>
          <w:left w:w="108" w:type="dxa"/>
          <w:bottom w:w="0" w:type="dxa"/>
          <w:right w:w="108" w:type="dxa"/>
        </w:tblCellMar>
      </w:tblPr>
      <w:tblGrid>
        <w:gridCol w:w="5103"/>
        <w:gridCol w:w="1557"/>
        <w:gridCol w:w="1567"/>
      </w:tblGrid>
      <w:tr>
        <w:tblPrEx>
          <w:tblCellMar>
            <w:top w:w="0" w:type="dxa"/>
            <w:left w:w="108" w:type="dxa"/>
            <w:bottom w:w="0" w:type="dxa"/>
            <w:right w:w="108" w:type="dxa"/>
          </w:tblCellMar>
        </w:tblPrEx>
        <w:trPr>
          <w:trHeight w:val="563" w:hRule="atLeast"/>
        </w:trPr>
        <w:tc>
          <w:tcPr>
            <w:tcW w:w="5103" w:type="dxa"/>
            <w:tcBorders>
              <w:top w:val="single" w:color="000000" w:sz="4" w:space="0"/>
              <w:left w:val="single" w:color="000000" w:sz="4" w:space="0"/>
              <w:bottom w:val="single" w:color="000000" w:sz="4" w:space="0"/>
              <w:right w:val="nil"/>
            </w:tcBorders>
          </w:tcPr>
          <w:p>
            <w:pPr>
              <w:suppressAutoHyphens/>
              <w:snapToGrid w:val="0"/>
              <w:spacing w:after="0" w:line="360" w:lineRule="auto"/>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Pohľadávky </w:t>
            </w:r>
          </w:p>
        </w:tc>
        <w:tc>
          <w:tcPr>
            <w:tcW w:w="1557" w:type="dxa"/>
            <w:tcBorders>
              <w:top w:val="single" w:color="000000" w:sz="4" w:space="0"/>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Rok 2020</w:t>
            </w:r>
          </w:p>
        </w:tc>
        <w:tc>
          <w:tcPr>
            <w:tcW w:w="1567"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Rok 2021</w:t>
            </w:r>
          </w:p>
        </w:tc>
      </w:tr>
      <w:tr>
        <w:tblPrEx>
          <w:tblCellMar>
            <w:top w:w="0" w:type="dxa"/>
            <w:left w:w="108" w:type="dxa"/>
            <w:bottom w:w="0" w:type="dxa"/>
            <w:right w:w="108" w:type="dxa"/>
          </w:tblCellMar>
        </w:tblPrEx>
        <w:tc>
          <w:tcPr>
            <w:tcW w:w="5103" w:type="dxa"/>
            <w:tcBorders>
              <w:top w:val="nil"/>
              <w:left w:val="single" w:color="000000" w:sz="4" w:space="0"/>
              <w:bottom w:val="single" w:color="000000" w:sz="4" w:space="0"/>
              <w:right w:val="nil"/>
            </w:tcBorders>
          </w:tcPr>
          <w:p>
            <w:pPr>
              <w:suppressAutoHyphens/>
              <w:snapToGrid w:val="0"/>
              <w:spacing w:after="0" w:line="36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Pohľadávky do lehoty splatnosti  </w:t>
            </w:r>
          </w:p>
        </w:tc>
        <w:tc>
          <w:tcPr>
            <w:tcW w:w="1557"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sz w:val="24"/>
                <w:szCs w:val="24"/>
                <w:lang w:eastAsia="ar-SA"/>
              </w:rPr>
            </w:pPr>
          </w:p>
        </w:tc>
        <w:tc>
          <w:tcPr>
            <w:tcW w:w="1567"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sz w:val="24"/>
                <w:szCs w:val="24"/>
                <w:lang w:eastAsia="ar-SA"/>
              </w:rPr>
            </w:pPr>
          </w:p>
        </w:tc>
      </w:tr>
      <w:tr>
        <w:tblPrEx>
          <w:tblCellMar>
            <w:top w:w="0" w:type="dxa"/>
            <w:left w:w="108" w:type="dxa"/>
            <w:bottom w:w="0" w:type="dxa"/>
            <w:right w:w="108" w:type="dxa"/>
          </w:tblCellMar>
        </w:tblPrEx>
        <w:tc>
          <w:tcPr>
            <w:tcW w:w="5103" w:type="dxa"/>
            <w:tcBorders>
              <w:top w:val="nil"/>
              <w:left w:val="single" w:color="000000" w:sz="4" w:space="0"/>
              <w:bottom w:val="single" w:color="000000" w:sz="4" w:space="0"/>
              <w:right w:val="nil"/>
            </w:tcBorders>
          </w:tcPr>
          <w:p>
            <w:pPr>
              <w:suppressAutoHyphens/>
              <w:snapToGrid w:val="0"/>
              <w:spacing w:after="0" w:line="36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Pohľadávky po lehote splatnosti  </w:t>
            </w:r>
          </w:p>
        </w:tc>
        <w:tc>
          <w:tcPr>
            <w:tcW w:w="1557"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10026,00</w:t>
            </w:r>
          </w:p>
        </w:tc>
        <w:tc>
          <w:tcPr>
            <w:tcW w:w="1567"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24170,40</w:t>
            </w:r>
          </w:p>
        </w:tc>
      </w:tr>
      <w:tr>
        <w:tblPrEx>
          <w:tblCellMar>
            <w:top w:w="0" w:type="dxa"/>
            <w:left w:w="108" w:type="dxa"/>
            <w:bottom w:w="0" w:type="dxa"/>
            <w:right w:w="108" w:type="dxa"/>
          </w:tblCellMar>
        </w:tblPrEx>
        <w:tc>
          <w:tcPr>
            <w:tcW w:w="5103" w:type="dxa"/>
            <w:tcBorders>
              <w:top w:val="nil"/>
              <w:left w:val="single" w:color="000000" w:sz="4" w:space="0"/>
              <w:bottom w:val="single" w:color="000000" w:sz="4" w:space="0"/>
              <w:right w:val="nil"/>
            </w:tcBorders>
          </w:tcPr>
          <w:p>
            <w:pPr>
              <w:suppressAutoHyphens/>
              <w:snapToGrid w:val="0"/>
              <w:spacing w:after="0" w:line="36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Pohľadávky premlčané                 </w:t>
            </w:r>
          </w:p>
        </w:tc>
        <w:tc>
          <w:tcPr>
            <w:tcW w:w="1557"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c>
          <w:tcPr>
            <w:tcW w:w="1567"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r>
      <w:tr>
        <w:tblPrEx>
          <w:tblCellMar>
            <w:top w:w="0" w:type="dxa"/>
            <w:left w:w="108" w:type="dxa"/>
            <w:bottom w:w="0" w:type="dxa"/>
            <w:right w:w="108" w:type="dxa"/>
          </w:tblCellMar>
        </w:tblPrEx>
        <w:tc>
          <w:tcPr>
            <w:tcW w:w="5103" w:type="dxa"/>
            <w:tcBorders>
              <w:top w:val="nil"/>
              <w:left w:val="single" w:color="000000" w:sz="4" w:space="0"/>
              <w:bottom w:val="single" w:color="000000" w:sz="4" w:space="0"/>
              <w:right w:val="nil"/>
            </w:tcBorders>
          </w:tcPr>
          <w:p>
            <w:pPr>
              <w:suppressAutoHyphens/>
              <w:snapToGrid w:val="0"/>
              <w:spacing w:after="0" w:line="36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Pohľadávky v priebehu roka odpísané (daň z nehnuteľnosti - nevymožiteľná)</w:t>
            </w:r>
          </w:p>
        </w:tc>
        <w:tc>
          <w:tcPr>
            <w:tcW w:w="1557"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c>
          <w:tcPr>
            <w:tcW w:w="1567"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sz w:val="24"/>
                <w:szCs w:val="24"/>
                <w:lang w:eastAsia="ar-SA"/>
              </w:rPr>
            </w:pPr>
          </w:p>
        </w:tc>
      </w:tr>
    </w:tbl>
    <w:p>
      <w:pPr>
        <w:suppressAutoHyphens/>
        <w:spacing w:after="0" w:line="240" w:lineRule="auto"/>
        <w:rPr>
          <w:rFonts w:ascii="Times New Roman" w:hAnsi="Times New Roman" w:eastAsia="Times New Roman" w:cs="Times New Roman"/>
          <w:sz w:val="24"/>
          <w:szCs w:val="24"/>
          <w:lang w:eastAsia="ar-SA"/>
        </w:rPr>
      </w:pPr>
    </w:p>
    <w:p>
      <w:pPr>
        <w:suppressAutoHyphens/>
        <w:spacing w:after="0" w:line="240" w:lineRule="auto"/>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5.2 Záväzky</w:t>
      </w:r>
    </w:p>
    <w:p>
      <w:pPr>
        <w:suppressAutoHyphens/>
        <w:spacing w:after="0" w:line="240" w:lineRule="auto"/>
        <w:rPr>
          <w:rFonts w:ascii="Times New Roman" w:hAnsi="Times New Roman" w:eastAsia="Times New Roman" w:cs="Times New Roman"/>
          <w:b/>
          <w:sz w:val="24"/>
          <w:szCs w:val="24"/>
          <w:lang w:eastAsia="ar-SA"/>
        </w:rPr>
      </w:pPr>
    </w:p>
    <w:tbl>
      <w:tblPr>
        <w:tblStyle w:val="3"/>
        <w:tblW w:w="0" w:type="auto"/>
        <w:tblInd w:w="108" w:type="dxa"/>
        <w:tblLayout w:type="fixed"/>
        <w:tblCellMar>
          <w:top w:w="0" w:type="dxa"/>
          <w:left w:w="108" w:type="dxa"/>
          <w:bottom w:w="0" w:type="dxa"/>
          <w:right w:w="108" w:type="dxa"/>
        </w:tblCellMar>
      </w:tblPr>
      <w:tblGrid>
        <w:gridCol w:w="5103"/>
        <w:gridCol w:w="1557"/>
        <w:gridCol w:w="1704"/>
      </w:tblGrid>
      <w:tr>
        <w:tblPrEx>
          <w:tblCellMar>
            <w:top w:w="0" w:type="dxa"/>
            <w:left w:w="108" w:type="dxa"/>
            <w:bottom w:w="0" w:type="dxa"/>
            <w:right w:w="108" w:type="dxa"/>
          </w:tblCellMar>
        </w:tblPrEx>
        <w:tc>
          <w:tcPr>
            <w:tcW w:w="5103" w:type="dxa"/>
            <w:tcBorders>
              <w:top w:val="single" w:color="000000" w:sz="4" w:space="0"/>
              <w:left w:val="single" w:color="000000" w:sz="4" w:space="0"/>
              <w:bottom w:val="single" w:color="000000" w:sz="4" w:space="0"/>
              <w:right w:val="nil"/>
            </w:tcBorders>
          </w:tcPr>
          <w:p>
            <w:pPr>
              <w:suppressAutoHyphens/>
              <w:snapToGrid w:val="0"/>
              <w:spacing w:after="0" w:line="360" w:lineRule="auto"/>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Záväzky</w:t>
            </w:r>
          </w:p>
        </w:tc>
        <w:tc>
          <w:tcPr>
            <w:tcW w:w="1557" w:type="dxa"/>
            <w:tcBorders>
              <w:top w:val="single" w:color="000000" w:sz="4" w:space="0"/>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Rok 2020</w:t>
            </w:r>
          </w:p>
        </w:tc>
        <w:tc>
          <w:tcPr>
            <w:tcW w:w="1704"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Rok 2021</w:t>
            </w:r>
          </w:p>
        </w:tc>
      </w:tr>
      <w:tr>
        <w:tblPrEx>
          <w:tblCellMar>
            <w:top w:w="0" w:type="dxa"/>
            <w:left w:w="108" w:type="dxa"/>
            <w:bottom w:w="0" w:type="dxa"/>
            <w:right w:w="108" w:type="dxa"/>
          </w:tblCellMar>
        </w:tblPrEx>
        <w:tc>
          <w:tcPr>
            <w:tcW w:w="5103" w:type="dxa"/>
            <w:tcBorders>
              <w:top w:val="nil"/>
              <w:left w:val="single" w:color="000000" w:sz="4" w:space="0"/>
              <w:bottom w:val="single" w:color="000000" w:sz="4" w:space="0"/>
              <w:right w:val="nil"/>
            </w:tcBorders>
          </w:tcPr>
          <w:p>
            <w:pPr>
              <w:suppressAutoHyphens/>
              <w:snapToGrid w:val="0"/>
              <w:spacing w:after="0" w:line="36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Záväzky do lehoty splatnosti  </w:t>
            </w:r>
          </w:p>
        </w:tc>
        <w:tc>
          <w:tcPr>
            <w:tcW w:w="1557" w:type="dxa"/>
            <w:tcBorders>
              <w:top w:val="nil"/>
              <w:left w:val="single" w:color="000000" w:sz="4" w:space="0"/>
              <w:bottom w:val="single" w:color="000000" w:sz="4" w:space="0"/>
              <w:right w:val="nil"/>
            </w:tcBorders>
          </w:tcPr>
          <w:p>
            <w:pPr>
              <w:suppressAutoHyphens/>
              <w:snapToGrid w:val="0"/>
              <w:spacing w:after="0" w:line="36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24583,54</w:t>
            </w:r>
          </w:p>
        </w:tc>
        <w:tc>
          <w:tcPr>
            <w:tcW w:w="1704" w:type="dxa"/>
            <w:tcBorders>
              <w:top w:val="nil"/>
              <w:left w:val="single" w:color="000000" w:sz="4" w:space="0"/>
              <w:bottom w:val="single" w:color="000000" w:sz="4" w:space="0"/>
              <w:right w:val="single" w:color="000000" w:sz="4" w:space="0"/>
            </w:tcBorders>
          </w:tcPr>
          <w:p>
            <w:pPr>
              <w:suppressAutoHyphens/>
              <w:snapToGrid w:val="0"/>
              <w:spacing w:after="0" w:line="36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47764,02</w:t>
            </w:r>
          </w:p>
        </w:tc>
      </w:tr>
      <w:tr>
        <w:tblPrEx>
          <w:tblCellMar>
            <w:top w:w="0" w:type="dxa"/>
            <w:left w:w="108" w:type="dxa"/>
            <w:bottom w:w="0" w:type="dxa"/>
            <w:right w:w="108" w:type="dxa"/>
          </w:tblCellMar>
        </w:tblPrEx>
        <w:tc>
          <w:tcPr>
            <w:tcW w:w="5103" w:type="dxa"/>
            <w:tcBorders>
              <w:top w:val="nil"/>
              <w:left w:val="single" w:color="000000" w:sz="4" w:space="0"/>
              <w:bottom w:val="single" w:color="000000" w:sz="4" w:space="0"/>
              <w:right w:val="nil"/>
            </w:tcBorders>
          </w:tcPr>
          <w:p>
            <w:pPr>
              <w:suppressAutoHyphens/>
              <w:snapToGrid w:val="0"/>
              <w:spacing w:after="0" w:line="36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Záväzky po lehote splatnosti  </w:t>
            </w:r>
          </w:p>
        </w:tc>
        <w:tc>
          <w:tcPr>
            <w:tcW w:w="1557"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c>
          <w:tcPr>
            <w:tcW w:w="1704"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r>
      <w:tr>
        <w:tblPrEx>
          <w:tblCellMar>
            <w:top w:w="0" w:type="dxa"/>
            <w:left w:w="108" w:type="dxa"/>
            <w:bottom w:w="0" w:type="dxa"/>
            <w:right w:w="108" w:type="dxa"/>
          </w:tblCellMar>
        </w:tblPrEx>
        <w:tc>
          <w:tcPr>
            <w:tcW w:w="5103" w:type="dxa"/>
            <w:tcBorders>
              <w:top w:val="nil"/>
              <w:left w:val="single" w:color="000000" w:sz="4" w:space="0"/>
              <w:bottom w:val="single" w:color="000000" w:sz="4" w:space="0"/>
              <w:right w:val="nil"/>
            </w:tcBorders>
          </w:tcPr>
          <w:p>
            <w:pPr>
              <w:suppressAutoHyphens/>
              <w:snapToGrid w:val="0"/>
              <w:spacing w:after="0" w:line="360" w:lineRule="auto"/>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Záväzky z  lízingu  </w:t>
            </w:r>
          </w:p>
        </w:tc>
        <w:tc>
          <w:tcPr>
            <w:tcW w:w="1557" w:type="dxa"/>
            <w:tcBorders>
              <w:top w:val="nil"/>
              <w:left w:val="single" w:color="000000" w:sz="4" w:space="0"/>
              <w:bottom w:val="single" w:color="000000" w:sz="4" w:space="0"/>
              <w:right w:val="nil"/>
            </w:tcBorders>
          </w:tcPr>
          <w:p>
            <w:pPr>
              <w:suppressAutoHyphens/>
              <w:snapToGrid w:val="0"/>
              <w:spacing w:after="0" w:line="36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c>
          <w:tcPr>
            <w:tcW w:w="1704"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w:t>
            </w:r>
          </w:p>
        </w:tc>
      </w:tr>
    </w:tbl>
    <w:p>
      <w:pPr>
        <w:suppressAutoHyphens/>
        <w:spacing w:after="0" w:line="360" w:lineRule="auto"/>
        <w:jc w:val="both"/>
        <w:rPr>
          <w:rFonts w:ascii="Times New Roman" w:hAnsi="Times New Roman" w:eastAsia="Times New Roman" w:cs="Times New Roman"/>
          <w:b/>
          <w:sz w:val="28"/>
          <w:szCs w:val="28"/>
          <w:lang w:eastAsia="ar-SA"/>
        </w:rPr>
      </w:pPr>
    </w:p>
    <w:p>
      <w:pPr>
        <w:suppressAutoHyphens/>
        <w:spacing w:after="0" w:line="360" w:lineRule="auto"/>
        <w:jc w:val="both"/>
        <w:rPr>
          <w:rFonts w:ascii="Times New Roman" w:hAnsi="Times New Roman" w:eastAsia="Times New Roman" w:cs="Times New Roman"/>
          <w:b/>
          <w:sz w:val="28"/>
          <w:szCs w:val="28"/>
          <w:lang w:eastAsia="ar-SA"/>
        </w:rPr>
      </w:pPr>
    </w:p>
    <w:p>
      <w:pPr>
        <w:suppressAutoHyphens/>
        <w:spacing w:after="0" w:line="360" w:lineRule="auto"/>
        <w:jc w:val="both"/>
        <w:rPr>
          <w:rFonts w:ascii="Times New Roman" w:hAnsi="Times New Roman" w:eastAsia="Times New Roman" w:cs="Times New Roman"/>
          <w:b/>
          <w:sz w:val="28"/>
          <w:szCs w:val="28"/>
          <w:lang w:eastAsia="ar-SA"/>
        </w:rPr>
      </w:pPr>
    </w:p>
    <w:p>
      <w:pPr>
        <w:suppressAutoHyphens/>
        <w:spacing w:after="0" w:line="360" w:lineRule="auto"/>
        <w:jc w:val="both"/>
        <w:rPr>
          <w:rFonts w:ascii="Times New Roman" w:hAnsi="Times New Roman" w:eastAsia="Times New Roman" w:cs="Times New Roman"/>
          <w:b/>
          <w:sz w:val="28"/>
          <w:szCs w:val="28"/>
          <w:lang w:eastAsia="ar-SA"/>
        </w:rPr>
      </w:pPr>
    </w:p>
    <w:p>
      <w:pPr>
        <w:suppressAutoHyphens/>
        <w:spacing w:after="0" w:line="360" w:lineRule="auto"/>
        <w:jc w:val="both"/>
        <w:rPr>
          <w:rFonts w:ascii="Times New Roman" w:hAnsi="Times New Roman" w:eastAsia="Times New Roman" w:cs="Times New Roman"/>
          <w:b/>
          <w:sz w:val="28"/>
          <w:szCs w:val="28"/>
          <w:lang w:eastAsia="ar-SA"/>
        </w:rPr>
      </w:pPr>
      <w:r>
        <w:rPr>
          <w:rFonts w:ascii="Times New Roman" w:hAnsi="Times New Roman" w:eastAsia="Times New Roman" w:cs="Times New Roman"/>
          <w:b/>
          <w:sz w:val="28"/>
          <w:szCs w:val="28"/>
          <w:lang w:eastAsia="ar-SA"/>
        </w:rPr>
        <w:t xml:space="preserve">6. Ostatné  dôležité informácie </w:t>
      </w:r>
    </w:p>
    <w:p>
      <w:pPr>
        <w:suppressAutoHyphens/>
        <w:spacing w:after="0" w:line="36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6.1 Prijaté granty a transfery </w:t>
      </w:r>
    </w:p>
    <w:p>
      <w:pPr>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V roku 2021 obec prijala nasledovné granty a transfery :</w:t>
      </w:r>
    </w:p>
    <w:tbl>
      <w:tblPr>
        <w:tblStyle w:val="3"/>
        <w:tblW w:w="0" w:type="auto"/>
        <w:tblInd w:w="-5" w:type="dxa"/>
        <w:tblLayout w:type="fixed"/>
        <w:tblCellMar>
          <w:top w:w="0" w:type="dxa"/>
          <w:left w:w="108" w:type="dxa"/>
          <w:bottom w:w="0" w:type="dxa"/>
          <w:right w:w="108" w:type="dxa"/>
        </w:tblCellMar>
      </w:tblPr>
      <w:tblGrid>
        <w:gridCol w:w="1728"/>
        <w:gridCol w:w="4860"/>
        <w:gridCol w:w="2350"/>
      </w:tblGrid>
      <w:tr>
        <w:tblPrEx>
          <w:tblCellMar>
            <w:top w:w="0" w:type="dxa"/>
            <w:left w:w="108" w:type="dxa"/>
            <w:bottom w:w="0" w:type="dxa"/>
            <w:right w:w="108" w:type="dxa"/>
          </w:tblCellMar>
        </w:tblPrEx>
        <w:tc>
          <w:tcPr>
            <w:tcW w:w="1728" w:type="dxa"/>
            <w:tcBorders>
              <w:top w:val="single" w:color="000000" w:sz="4" w:space="0"/>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Poskytovateľ</w:t>
            </w:r>
          </w:p>
        </w:tc>
        <w:tc>
          <w:tcPr>
            <w:tcW w:w="4860" w:type="dxa"/>
            <w:tcBorders>
              <w:top w:val="single" w:color="000000" w:sz="4" w:space="0"/>
              <w:left w:val="single" w:color="000000" w:sz="4" w:space="0"/>
              <w:bottom w:val="single" w:color="000000" w:sz="4" w:space="0"/>
              <w:right w:val="nil"/>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Účelové určenie grantov a transferov</w:t>
            </w:r>
          </w:p>
        </w:tc>
        <w:tc>
          <w:tcPr>
            <w:tcW w:w="2350"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Suma prijatých prostriedkov v  €</w:t>
            </w:r>
          </w:p>
        </w:tc>
      </w:tr>
      <w:tr>
        <w:tblPrEx>
          <w:tblCellMar>
            <w:top w:w="0" w:type="dxa"/>
            <w:left w:w="108" w:type="dxa"/>
            <w:bottom w:w="0" w:type="dxa"/>
            <w:right w:w="108" w:type="dxa"/>
          </w:tblCellMar>
        </w:tblPrEx>
        <w:tc>
          <w:tcPr>
            <w:tcW w:w="1728"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BBSK</w:t>
            </w:r>
          </w:p>
        </w:tc>
        <w:tc>
          <w:tcPr>
            <w:tcW w:w="4860"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Deň obce  Vrbovka</w:t>
            </w:r>
          </w:p>
        </w:tc>
        <w:tc>
          <w:tcPr>
            <w:tcW w:w="23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1000,00</w:t>
            </w:r>
          </w:p>
        </w:tc>
      </w:tr>
      <w:tr>
        <w:tblPrEx>
          <w:tblCellMar>
            <w:top w:w="0" w:type="dxa"/>
            <w:left w:w="108" w:type="dxa"/>
            <w:bottom w:w="0" w:type="dxa"/>
            <w:right w:w="108" w:type="dxa"/>
          </w:tblCellMar>
        </w:tblPrEx>
        <w:tc>
          <w:tcPr>
            <w:tcW w:w="1728"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Fond na podporu kultúry</w:t>
            </w:r>
          </w:p>
        </w:tc>
        <w:tc>
          <w:tcPr>
            <w:tcW w:w="4860"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Spoločný foklór remeslá a špeciality Ipeľskej doliny 2021</w:t>
            </w:r>
          </w:p>
        </w:tc>
        <w:tc>
          <w:tcPr>
            <w:tcW w:w="2350"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2 000,00</w:t>
            </w:r>
          </w:p>
        </w:tc>
      </w:tr>
    </w:tbl>
    <w:p>
      <w:pPr>
        <w:suppressAutoHyphens/>
        <w:spacing w:after="0" w:line="360" w:lineRule="auto"/>
        <w:jc w:val="both"/>
        <w:rPr>
          <w:rFonts w:ascii="Times New Roman" w:hAnsi="Times New Roman" w:eastAsia="Times New Roman" w:cs="Times New Roman"/>
          <w:sz w:val="24"/>
          <w:szCs w:val="24"/>
          <w:lang w:eastAsia="ar-SA"/>
        </w:rPr>
      </w:pPr>
    </w:p>
    <w:p>
      <w:pPr>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Popis najvýznamnejších grantov a transferov :</w:t>
      </w:r>
    </w:p>
    <w:p>
      <w:pPr>
        <w:suppressAutoHyphens/>
        <w:spacing w:after="0" w:line="360" w:lineRule="auto"/>
        <w:jc w:val="both"/>
        <w:rPr>
          <w:rFonts w:ascii="Times New Roman" w:hAnsi="Times New Roman" w:eastAsia="Times New Roman" w:cs="Times New Roman"/>
          <w:sz w:val="24"/>
          <w:szCs w:val="24"/>
          <w:lang w:eastAsia="ar-SA"/>
        </w:rPr>
      </w:pPr>
    </w:p>
    <w:p>
      <w:pPr>
        <w:suppressAutoHyphens/>
        <w:spacing w:after="0" w:line="36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6.2 Poskytnuté dotácie </w:t>
      </w:r>
    </w:p>
    <w:p>
      <w:pPr>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V roku 2021 obec poskytla zo svojho rozpočtu dotácie v zmysle VZN č.   o poskytovaní dotácií z rozpočtu obce : </w:t>
      </w:r>
    </w:p>
    <w:tbl>
      <w:tblPr>
        <w:tblStyle w:val="3"/>
        <w:tblW w:w="0" w:type="auto"/>
        <w:tblInd w:w="-5" w:type="dxa"/>
        <w:tblLayout w:type="fixed"/>
        <w:tblCellMar>
          <w:top w:w="0" w:type="dxa"/>
          <w:left w:w="108" w:type="dxa"/>
          <w:bottom w:w="0" w:type="dxa"/>
          <w:right w:w="108" w:type="dxa"/>
        </w:tblCellMar>
      </w:tblPr>
      <w:tblGrid>
        <w:gridCol w:w="3119"/>
        <w:gridCol w:w="3260"/>
        <w:gridCol w:w="2559"/>
      </w:tblGrid>
      <w:tr>
        <w:tblPrEx>
          <w:tblCellMar>
            <w:top w:w="0" w:type="dxa"/>
            <w:left w:w="108" w:type="dxa"/>
            <w:bottom w:w="0" w:type="dxa"/>
            <w:right w:w="108" w:type="dxa"/>
          </w:tblCellMar>
        </w:tblPrEx>
        <w:tc>
          <w:tcPr>
            <w:tcW w:w="3119" w:type="dxa"/>
            <w:tcBorders>
              <w:top w:val="single" w:color="000000" w:sz="4" w:space="0"/>
              <w:left w:val="single" w:color="000000" w:sz="4" w:space="0"/>
              <w:bottom w:val="single" w:color="000000" w:sz="4" w:space="0"/>
              <w:right w:val="nil"/>
            </w:tcBorders>
          </w:tcPr>
          <w:p>
            <w:pPr>
              <w:suppressAutoHyphens/>
              <w:snapToGrid w:val="0"/>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Prijímateľ dotácie</w:t>
            </w:r>
          </w:p>
        </w:tc>
        <w:tc>
          <w:tcPr>
            <w:tcW w:w="3260" w:type="dxa"/>
            <w:tcBorders>
              <w:top w:val="single" w:color="000000" w:sz="4" w:space="0"/>
              <w:left w:val="single" w:color="000000" w:sz="4" w:space="0"/>
              <w:bottom w:val="single" w:color="000000" w:sz="4" w:space="0"/>
              <w:right w:val="nil"/>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Účelové určenie dotácie</w:t>
            </w:r>
          </w:p>
        </w:tc>
        <w:tc>
          <w:tcPr>
            <w:tcW w:w="2559" w:type="dxa"/>
            <w:tcBorders>
              <w:top w:val="single" w:color="000000" w:sz="4" w:space="0"/>
              <w:left w:val="single" w:color="000000" w:sz="4" w:space="0"/>
              <w:bottom w:val="single" w:color="000000" w:sz="4" w:space="0"/>
              <w:right w:val="single" w:color="000000" w:sz="4" w:space="0"/>
            </w:tcBorders>
          </w:tcPr>
          <w:p>
            <w:pPr>
              <w:suppressAutoHyphens/>
              <w:snapToGrid w:val="0"/>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Suma poskytnutých</w:t>
            </w:r>
          </w:p>
          <w:p>
            <w:pPr>
              <w:suppressAutoHyphens/>
              <w:spacing w:after="0" w:line="240" w:lineRule="auto"/>
              <w:jc w:val="center"/>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 prostriedkov v €</w:t>
            </w:r>
          </w:p>
        </w:tc>
      </w:tr>
      <w:tr>
        <w:tblPrEx>
          <w:tblCellMar>
            <w:top w:w="0" w:type="dxa"/>
            <w:left w:w="108" w:type="dxa"/>
            <w:bottom w:w="0" w:type="dxa"/>
            <w:right w:w="108" w:type="dxa"/>
          </w:tblCellMar>
        </w:tblPrEx>
        <w:tc>
          <w:tcPr>
            <w:tcW w:w="3119" w:type="dxa"/>
            <w:tcBorders>
              <w:top w:val="nil"/>
              <w:left w:val="single" w:color="000000" w:sz="4" w:space="0"/>
              <w:bottom w:val="single" w:color="000000" w:sz="4" w:space="0"/>
              <w:right w:val="nil"/>
            </w:tcBorders>
          </w:tcPr>
          <w:p>
            <w:pPr>
              <w:suppressAutoHyphens/>
              <w:snapToGrid w:val="0"/>
              <w:spacing w:after="0" w:line="360" w:lineRule="auto"/>
              <w:rPr>
                <w:rFonts w:ascii="Times New Roman" w:hAnsi="Times New Roman" w:eastAsia="Times New Roman" w:cs="Times New Roman"/>
                <w:sz w:val="24"/>
                <w:szCs w:val="24"/>
                <w:lang w:eastAsia="ar-SA"/>
              </w:rPr>
            </w:pPr>
          </w:p>
        </w:tc>
        <w:tc>
          <w:tcPr>
            <w:tcW w:w="3260"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p>
        </w:tc>
        <w:tc>
          <w:tcPr>
            <w:tcW w:w="2559" w:type="dxa"/>
            <w:tcBorders>
              <w:top w:val="nil"/>
              <w:left w:val="single" w:color="000000" w:sz="4" w:space="0"/>
              <w:bottom w:val="single" w:color="000000" w:sz="4" w:space="0"/>
              <w:right w:val="single" w:color="000000" w:sz="4" w:space="0"/>
            </w:tcBorders>
          </w:tcPr>
          <w:p>
            <w:pPr>
              <w:suppressAutoHyphens/>
              <w:snapToGrid w:val="0"/>
              <w:spacing w:after="0" w:line="360" w:lineRule="auto"/>
              <w:jc w:val="both"/>
              <w:rPr>
                <w:rFonts w:ascii="Times New Roman" w:hAnsi="Times New Roman" w:eastAsia="Times New Roman" w:cs="Times New Roman"/>
                <w:sz w:val="24"/>
                <w:szCs w:val="24"/>
                <w:lang w:eastAsia="ar-SA"/>
              </w:rPr>
            </w:pPr>
          </w:p>
        </w:tc>
      </w:tr>
      <w:tr>
        <w:tblPrEx>
          <w:tblCellMar>
            <w:top w:w="0" w:type="dxa"/>
            <w:left w:w="108" w:type="dxa"/>
            <w:bottom w:w="0" w:type="dxa"/>
            <w:right w:w="108" w:type="dxa"/>
          </w:tblCellMar>
        </w:tblPrEx>
        <w:tc>
          <w:tcPr>
            <w:tcW w:w="3119"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p>
        </w:tc>
        <w:tc>
          <w:tcPr>
            <w:tcW w:w="3260"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p>
        </w:tc>
        <w:tc>
          <w:tcPr>
            <w:tcW w:w="2559"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sz w:val="24"/>
                <w:szCs w:val="24"/>
                <w:lang w:eastAsia="ar-SA"/>
              </w:rPr>
            </w:pPr>
          </w:p>
        </w:tc>
      </w:tr>
      <w:tr>
        <w:tblPrEx>
          <w:tblCellMar>
            <w:top w:w="0" w:type="dxa"/>
            <w:left w:w="108" w:type="dxa"/>
            <w:bottom w:w="0" w:type="dxa"/>
            <w:right w:w="108" w:type="dxa"/>
          </w:tblCellMar>
        </w:tblPrEx>
        <w:tc>
          <w:tcPr>
            <w:tcW w:w="3119"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p>
        </w:tc>
        <w:tc>
          <w:tcPr>
            <w:tcW w:w="3260"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p>
        </w:tc>
        <w:tc>
          <w:tcPr>
            <w:tcW w:w="2559"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sz w:val="24"/>
                <w:szCs w:val="24"/>
                <w:lang w:eastAsia="ar-SA"/>
              </w:rPr>
            </w:pPr>
          </w:p>
        </w:tc>
      </w:tr>
      <w:tr>
        <w:tblPrEx>
          <w:tblCellMar>
            <w:top w:w="0" w:type="dxa"/>
            <w:left w:w="108" w:type="dxa"/>
            <w:bottom w:w="0" w:type="dxa"/>
            <w:right w:w="108" w:type="dxa"/>
          </w:tblCellMar>
        </w:tblPrEx>
        <w:tc>
          <w:tcPr>
            <w:tcW w:w="3119"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p>
        </w:tc>
        <w:tc>
          <w:tcPr>
            <w:tcW w:w="3260" w:type="dxa"/>
            <w:tcBorders>
              <w:top w:val="nil"/>
              <w:left w:val="single" w:color="000000" w:sz="4" w:space="0"/>
              <w:bottom w:val="single" w:color="000000" w:sz="4" w:space="0"/>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p>
        </w:tc>
        <w:tc>
          <w:tcPr>
            <w:tcW w:w="2559" w:type="dxa"/>
            <w:tcBorders>
              <w:top w:val="nil"/>
              <w:left w:val="single" w:color="000000" w:sz="4" w:space="0"/>
              <w:bottom w:val="single" w:color="000000" w:sz="4" w:space="0"/>
              <w:right w:val="single" w:color="000000" w:sz="4" w:space="0"/>
            </w:tcBorders>
          </w:tcPr>
          <w:p>
            <w:pPr>
              <w:suppressAutoHyphens/>
              <w:snapToGrid w:val="0"/>
              <w:spacing w:after="0" w:line="360" w:lineRule="auto"/>
              <w:jc w:val="center"/>
              <w:rPr>
                <w:rFonts w:ascii="Times New Roman" w:hAnsi="Times New Roman" w:eastAsia="Times New Roman" w:cs="Times New Roman"/>
                <w:sz w:val="24"/>
                <w:szCs w:val="24"/>
                <w:lang w:eastAsia="ar-SA"/>
              </w:rPr>
            </w:pPr>
          </w:p>
        </w:tc>
      </w:tr>
      <w:tr>
        <w:tblPrEx>
          <w:tblCellMar>
            <w:top w:w="0" w:type="dxa"/>
            <w:left w:w="108" w:type="dxa"/>
            <w:bottom w:w="0" w:type="dxa"/>
            <w:right w:w="108" w:type="dxa"/>
          </w:tblCellMar>
        </w:tblPrEx>
        <w:tc>
          <w:tcPr>
            <w:tcW w:w="3119" w:type="dxa"/>
            <w:tcBorders>
              <w:top w:val="nil"/>
              <w:left w:val="single" w:color="000000" w:sz="4" w:space="0"/>
              <w:bottom w:val="nil"/>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p>
        </w:tc>
        <w:tc>
          <w:tcPr>
            <w:tcW w:w="3260" w:type="dxa"/>
            <w:tcBorders>
              <w:top w:val="nil"/>
              <w:left w:val="single" w:color="000000" w:sz="4" w:space="0"/>
              <w:bottom w:val="nil"/>
              <w:right w:val="nil"/>
            </w:tcBorders>
          </w:tcPr>
          <w:p>
            <w:pPr>
              <w:suppressAutoHyphens/>
              <w:snapToGrid w:val="0"/>
              <w:spacing w:after="0" w:line="360" w:lineRule="auto"/>
              <w:jc w:val="both"/>
              <w:rPr>
                <w:rFonts w:ascii="Times New Roman" w:hAnsi="Times New Roman" w:eastAsia="Times New Roman" w:cs="Times New Roman"/>
                <w:sz w:val="24"/>
                <w:szCs w:val="24"/>
                <w:lang w:eastAsia="ar-SA"/>
              </w:rPr>
            </w:pPr>
          </w:p>
        </w:tc>
        <w:tc>
          <w:tcPr>
            <w:tcW w:w="2559" w:type="dxa"/>
            <w:tcBorders>
              <w:top w:val="nil"/>
              <w:left w:val="single" w:color="000000" w:sz="4" w:space="0"/>
              <w:bottom w:val="nil"/>
              <w:right w:val="single" w:color="000000" w:sz="4" w:space="0"/>
            </w:tcBorders>
          </w:tcPr>
          <w:p>
            <w:pPr>
              <w:suppressAutoHyphens/>
              <w:snapToGrid w:val="0"/>
              <w:spacing w:after="0" w:line="360" w:lineRule="auto"/>
              <w:jc w:val="both"/>
              <w:rPr>
                <w:rFonts w:ascii="Times New Roman" w:hAnsi="Times New Roman" w:eastAsia="Times New Roman" w:cs="Times New Roman"/>
                <w:sz w:val="24"/>
                <w:szCs w:val="24"/>
                <w:lang w:eastAsia="ar-SA"/>
              </w:rPr>
            </w:pPr>
          </w:p>
        </w:tc>
      </w:tr>
    </w:tbl>
    <w:p>
      <w:pPr>
        <w:tabs>
          <w:tab w:val="left" w:pos="2880"/>
          <w:tab w:val="right" w:pos="8820"/>
        </w:tabs>
        <w:suppressAutoHyphens/>
        <w:spacing w:after="0" w:line="240" w:lineRule="auto"/>
        <w:jc w:val="both"/>
        <w:rPr>
          <w:rFonts w:ascii="Times New Roman" w:hAnsi="Times New Roman" w:eastAsia="Times New Roman" w:cs="Times New Roman"/>
          <w:sz w:val="24"/>
          <w:szCs w:val="24"/>
          <w:lang w:eastAsia="ar-SA"/>
        </w:rPr>
      </w:pPr>
    </w:p>
    <w:p>
      <w:pPr>
        <w:tabs>
          <w:tab w:val="left" w:pos="2880"/>
          <w:tab w:val="right" w:pos="8820"/>
        </w:tabs>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6.3 Významné investičné akcie v roku 2021</w:t>
      </w:r>
    </w:p>
    <w:p>
      <w:pPr>
        <w:tabs>
          <w:tab w:val="left" w:pos="2880"/>
          <w:tab w:val="right" w:pos="8820"/>
        </w:tabs>
        <w:suppressAutoHyphens/>
        <w:spacing w:after="0" w:line="240" w:lineRule="auto"/>
        <w:jc w:val="both"/>
        <w:rPr>
          <w:rFonts w:ascii="Times New Roman" w:hAnsi="Times New Roman" w:eastAsia="Times New Roman" w:cs="Times New Roman"/>
          <w:b/>
          <w:sz w:val="24"/>
          <w:szCs w:val="24"/>
          <w:lang w:eastAsia="ar-SA"/>
        </w:rPr>
      </w:pPr>
    </w:p>
    <w:p>
      <w:pPr>
        <w:tabs>
          <w:tab w:val="left" w:pos="2880"/>
          <w:tab w:val="right" w:pos="8820"/>
        </w:tabs>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Najvýznamnejšie investičné akcie realizované v roku 2021 :</w:t>
      </w:r>
    </w:p>
    <w:p>
      <w:pPr>
        <w:tabs>
          <w:tab w:val="left" w:pos="2880"/>
          <w:tab w:val="right" w:pos="8820"/>
        </w:tabs>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   Vybudovanie detského ihriska pri ZŠ – 14466,00 Eur  -z toho vlastné zdroje 723,30 Eur,</w:t>
      </w:r>
    </w:p>
    <w:p>
      <w:pPr>
        <w:tabs>
          <w:tab w:val="left" w:pos="2880"/>
          <w:tab w:val="right" w:pos="8820"/>
        </w:tabs>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13742,70 Eur – úver SZRB na predfinancovanie projektu IROP</w:t>
      </w:r>
    </w:p>
    <w:p>
      <w:pPr>
        <w:tabs>
          <w:tab w:val="left" w:pos="2880"/>
          <w:tab w:val="right" w:pos="8820"/>
        </w:tabs>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w:t>
      </w:r>
    </w:p>
    <w:p>
      <w:pPr>
        <w:tabs>
          <w:tab w:val="left" w:pos="2880"/>
          <w:tab w:val="right" w:pos="8820"/>
        </w:tabs>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   Odstránenie nelegálnej skládky v obci Vrbovka - 10 026,34 Eur  – vlastné zdroje 26,34 Eur;    </w:t>
      </w:r>
    </w:p>
    <w:p>
      <w:pPr>
        <w:tabs>
          <w:tab w:val="left" w:pos="2880"/>
          <w:tab w:val="right" w:pos="8820"/>
        </w:tabs>
        <w:suppressAutoHyphens/>
        <w:spacing w:after="0" w:line="24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10 000,-  Eur - dotácia MFSR (r. 2019).</w:t>
      </w:r>
    </w:p>
    <w:p>
      <w:pPr>
        <w:tabs>
          <w:tab w:val="left" w:pos="2880"/>
          <w:tab w:val="right" w:pos="8820"/>
        </w:tabs>
        <w:suppressAutoHyphens/>
        <w:spacing w:after="0" w:line="240" w:lineRule="auto"/>
        <w:jc w:val="both"/>
        <w:rPr>
          <w:rFonts w:ascii="Times New Roman" w:hAnsi="Times New Roman" w:eastAsia="Times New Roman" w:cs="Times New Roman"/>
          <w:sz w:val="24"/>
          <w:szCs w:val="24"/>
          <w:lang w:eastAsia="ar-SA"/>
        </w:rPr>
      </w:pPr>
    </w:p>
    <w:p>
      <w:pPr>
        <w:suppressAutoHyphens/>
        <w:spacing w:after="0" w:line="24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6.4 Predpokladaný budúci vývoj činnosti </w:t>
      </w:r>
    </w:p>
    <w:p>
      <w:pPr>
        <w:suppressAutoHyphens/>
        <w:spacing w:after="0" w:line="240" w:lineRule="auto"/>
        <w:jc w:val="both"/>
        <w:rPr>
          <w:rFonts w:ascii="Times New Roman" w:hAnsi="Times New Roman" w:eastAsia="Times New Roman" w:cs="Times New Roman"/>
          <w:b/>
          <w:sz w:val="24"/>
          <w:szCs w:val="24"/>
          <w:lang w:eastAsia="ar-SA"/>
        </w:rPr>
      </w:pPr>
    </w:p>
    <w:p>
      <w:pPr>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Predpokladané investičné akcie realizované v budúcich rokoch :</w:t>
      </w:r>
    </w:p>
    <w:p>
      <w:pPr>
        <w:numPr>
          <w:ilvl w:val="0"/>
          <w:numId w:val="4"/>
        </w:numPr>
        <w:suppressAutoHyphens/>
        <w:spacing w:after="0" w:line="360" w:lineRule="auto"/>
        <w:contextualSpacing/>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 Ukončenie vybudovanie mosta cez rieku Ipeľ v obci Vrbovka a cesty k mostu. </w:t>
      </w:r>
    </w:p>
    <w:p>
      <w:pPr>
        <w:suppressAutoHyphens/>
        <w:spacing w:after="0" w:line="360" w:lineRule="auto"/>
        <w:jc w:val="both"/>
        <w:rPr>
          <w:rFonts w:ascii="Times New Roman" w:hAnsi="Times New Roman" w:eastAsia="Times New Roman" w:cs="Times New Roman"/>
          <w:sz w:val="24"/>
          <w:szCs w:val="24"/>
          <w:lang w:eastAsia="ar-SA"/>
        </w:rPr>
      </w:pPr>
    </w:p>
    <w:p>
      <w:pPr>
        <w:suppressAutoHyphens/>
        <w:spacing w:after="0" w:line="360" w:lineRule="auto"/>
        <w:jc w:val="both"/>
        <w:rPr>
          <w:rFonts w:ascii="Times New Roman" w:hAnsi="Times New Roman" w:eastAsia="Times New Roman" w:cs="Times New Roman"/>
          <w:b/>
          <w:sz w:val="24"/>
          <w:szCs w:val="24"/>
          <w:lang w:eastAsia="ar-SA"/>
        </w:rPr>
      </w:pPr>
      <w:r>
        <w:rPr>
          <w:rFonts w:ascii="Times New Roman" w:hAnsi="Times New Roman" w:eastAsia="Times New Roman" w:cs="Times New Roman"/>
          <w:b/>
          <w:sz w:val="24"/>
          <w:szCs w:val="24"/>
          <w:lang w:eastAsia="ar-SA"/>
        </w:rPr>
        <w:t xml:space="preserve">6.5 Udalosti osobitného významu po skončení účtovného obdobia </w:t>
      </w:r>
    </w:p>
    <w:p>
      <w:pPr>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 xml:space="preserve">Obec nezaznamenala žiadnu udalosť osobitného významu po skončení účtovného obdobia. </w:t>
      </w:r>
    </w:p>
    <w:p>
      <w:pPr>
        <w:suppressAutoHyphens/>
        <w:spacing w:after="0" w:line="360" w:lineRule="auto"/>
        <w:jc w:val="both"/>
        <w:rPr>
          <w:rFonts w:ascii="Times New Roman" w:hAnsi="Times New Roman" w:eastAsia="Times New Roman" w:cs="Times New Roman"/>
          <w:sz w:val="24"/>
          <w:szCs w:val="24"/>
          <w:lang w:eastAsia="ar-SA"/>
        </w:rPr>
      </w:pPr>
    </w:p>
    <w:p>
      <w:pPr>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Vypracoval:</w:t>
      </w:r>
      <w:r>
        <w:rPr>
          <w:rFonts w:ascii="Times New Roman" w:hAnsi="Times New Roman" w:eastAsia="Times New Roman" w:cs="Times New Roman"/>
          <w:sz w:val="24"/>
          <w:szCs w:val="24"/>
          <w:lang w:eastAsia="ar-SA"/>
        </w:rPr>
        <w:tab/>
      </w:r>
      <w:r>
        <w:rPr>
          <w:rFonts w:ascii="Times New Roman" w:hAnsi="Times New Roman" w:eastAsia="Times New Roman" w:cs="Times New Roman"/>
          <w:sz w:val="24"/>
          <w:szCs w:val="24"/>
          <w:lang w:eastAsia="ar-SA"/>
        </w:rPr>
        <w:t>Erika Marčoková                                         Predkladá:</w:t>
      </w:r>
    </w:p>
    <w:p>
      <w:pPr>
        <w:suppressAutoHyphens/>
        <w:spacing w:after="0" w:line="360" w:lineRule="auto"/>
        <w:jc w:val="both"/>
        <w:rPr>
          <w:rFonts w:ascii="Times New Roman" w:hAnsi="Times New Roman" w:eastAsia="Times New Roman" w:cs="Times New Roman"/>
          <w:sz w:val="24"/>
          <w:szCs w:val="24"/>
          <w:lang w:eastAsia="ar-SA"/>
        </w:rPr>
      </w:pPr>
    </w:p>
    <w:p>
      <w:pPr>
        <w:suppressAutoHyphens/>
        <w:spacing w:after="0" w:line="360" w:lineRule="auto"/>
        <w:jc w:val="both"/>
        <w:rPr>
          <w:rFonts w:ascii="Times New Roman" w:hAnsi="Times New Roman" w:eastAsia="Times New Roman" w:cs="Times New Roman"/>
          <w:sz w:val="24"/>
          <w:szCs w:val="24"/>
          <w:lang w:eastAsia="ar-SA"/>
        </w:rPr>
      </w:pPr>
      <w:r>
        <w:rPr>
          <w:rFonts w:ascii="Times New Roman" w:hAnsi="Times New Roman" w:eastAsia="Times New Roman" w:cs="Times New Roman"/>
          <w:sz w:val="24"/>
          <w:szCs w:val="24"/>
          <w:lang w:eastAsia="ar-SA"/>
        </w:rPr>
        <w:t>V o  Vrbovke..... dňa 20.6.2022</w:t>
      </w:r>
    </w:p>
    <w:p/>
    <w:sectPr>
      <w:pgSz w:w="11906" w:h="16838"/>
      <w:pgMar w:top="1417" w:right="1417" w:bottom="1417" w:left="1417"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43"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AFF" w:usb1="C0007843"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0"/>
    <w:family w:val="modern"/>
    <w:pitch w:val="default"/>
    <w:sig w:usb0="E0002A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EE"/>
    <w:family w:val="swiss"/>
    <w:pitch w:val="default"/>
    <w:sig w:usb0="E00002FF" w:usb1="4000ACFF" w:usb2="00000001" w:usb3="00000000" w:csb0="2000019F" w:csb1="00000000"/>
  </w:font>
  <w:font w:name="Calibri">
    <w:panose1 w:val="020F0502020204030204"/>
    <w:charset w:val="00"/>
    <w:family w:val="auto"/>
    <w:pitch w:val="default"/>
    <w:sig w:usb0="E00002FF" w:usb1="4000ACFF" w:usb2="00000001" w:usb3="00000000" w:csb0="2000019F" w:csb1="00000000"/>
  </w:font>
  <w:font w:name="Tahoma">
    <w:panose1 w:val="020B0604030504040204"/>
    <w:charset w:val="EE"/>
    <w:family w:val="swiss"/>
    <w:pitch w:val="default"/>
    <w:sig w:usb0="E1002EFF" w:usb1="C000605B" w:usb2="00000029" w:usb3="00000000" w:csb0="200101FF" w:csb1="20280000"/>
  </w:font>
  <w:font w:name="Arial">
    <w:panose1 w:val="020B0604020202020204"/>
    <w:charset w:val="EE"/>
    <w:family w:val="swiss"/>
    <w:pitch w:val="default"/>
    <w:sig w:usb0="E0002AFF" w:usb1="C0007843" w:usb2="00000009" w:usb3="00000000" w:csb0="400001FF" w:csb1="FFFF0000"/>
  </w:font>
  <w:font w:name="Lucida Sans Unicode">
    <w:panose1 w:val="020B0602030504020204"/>
    <w:charset w:val="EE"/>
    <w:family w:val="swiss"/>
    <w:pitch w:val="default"/>
    <w:sig w:usb0="80001AFF" w:usb1="0000396B" w:usb2="00000000" w:usb3="00000000" w:csb0="200000BF" w:csb1="D7F70000"/>
  </w:font>
  <w:font w:name="Courier New">
    <w:panose1 w:val="02070309020205020404"/>
    <w:charset w:val="EE"/>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bullet"/>
      <w:lvlText w:val="-"/>
      <w:lvlJc w:val="left"/>
      <w:pPr>
        <w:tabs>
          <w:tab w:val="left" w:pos="795"/>
        </w:tabs>
        <w:ind w:left="795" w:hanging="360"/>
      </w:pPr>
      <w:rPr>
        <w:rFonts w:ascii="Times New Roman" w:hAnsi="Times New Roman" w:cs="Times New Roman"/>
      </w:rPr>
    </w:lvl>
  </w:abstractNum>
  <w:abstractNum w:abstractNumId="1">
    <w:nsid w:val="00000002"/>
    <w:multiLevelType w:val="multilevel"/>
    <w:tmpl w:val="00000002"/>
    <w:lvl w:ilvl="0" w:tentative="0">
      <w:start w:val="1"/>
      <w:numFmt w:val="decimal"/>
      <w:lvlText w:val="%1"/>
      <w:lvlJc w:val="left"/>
      <w:pPr>
        <w:tabs>
          <w:tab w:val="left" w:pos="435"/>
        </w:tabs>
        <w:ind w:left="435" w:hanging="435"/>
      </w:pPr>
    </w:lvl>
    <w:lvl w:ilvl="1" w:tentative="0">
      <w:start w:val="1"/>
      <w:numFmt w:val="decimal"/>
      <w:lvlText w:val="%1.%2"/>
      <w:lvlJc w:val="left"/>
      <w:pPr>
        <w:tabs>
          <w:tab w:val="left" w:pos="435"/>
        </w:tabs>
        <w:ind w:left="435" w:hanging="435"/>
      </w:pPr>
      <w:rPr>
        <w:b/>
      </w:rPr>
    </w:lvl>
    <w:lvl w:ilvl="2" w:tentative="0">
      <w:start w:val="1"/>
      <w:numFmt w:val="decimal"/>
      <w:lvlText w:val="%1.%2.%3"/>
      <w:lvlJc w:val="left"/>
      <w:pPr>
        <w:tabs>
          <w:tab w:val="left" w:pos="720"/>
        </w:tabs>
        <w:ind w:left="720" w:hanging="720"/>
      </w:pPr>
    </w:lvl>
    <w:lvl w:ilvl="3" w:tentative="0">
      <w:start w:val="1"/>
      <w:numFmt w:val="decimal"/>
      <w:lvlText w:val="%1.%2.%3.%4"/>
      <w:lvlJc w:val="left"/>
      <w:pPr>
        <w:tabs>
          <w:tab w:val="left" w:pos="1080"/>
        </w:tabs>
        <w:ind w:left="1080" w:hanging="1080"/>
      </w:pPr>
    </w:lvl>
    <w:lvl w:ilvl="4" w:tentative="0">
      <w:start w:val="1"/>
      <w:numFmt w:val="decimal"/>
      <w:lvlText w:val="%1.%2.%3.%4.%5"/>
      <w:lvlJc w:val="left"/>
      <w:pPr>
        <w:tabs>
          <w:tab w:val="left" w:pos="1080"/>
        </w:tabs>
        <w:ind w:left="1080" w:hanging="1080"/>
      </w:pPr>
    </w:lvl>
    <w:lvl w:ilvl="5" w:tentative="0">
      <w:start w:val="1"/>
      <w:numFmt w:val="decimal"/>
      <w:lvlText w:val="%1.%2.%3.%4.%5.%6"/>
      <w:lvlJc w:val="left"/>
      <w:pPr>
        <w:tabs>
          <w:tab w:val="left" w:pos="1440"/>
        </w:tabs>
        <w:ind w:left="1440" w:hanging="1440"/>
      </w:pPr>
    </w:lvl>
    <w:lvl w:ilvl="6" w:tentative="0">
      <w:start w:val="1"/>
      <w:numFmt w:val="decimal"/>
      <w:lvlText w:val="%1.%2.%3.%4.%5.%6.%7"/>
      <w:lvlJc w:val="left"/>
      <w:pPr>
        <w:tabs>
          <w:tab w:val="left" w:pos="1440"/>
        </w:tabs>
        <w:ind w:left="1440" w:hanging="1440"/>
      </w:pPr>
    </w:lvl>
    <w:lvl w:ilvl="7" w:tentative="0">
      <w:start w:val="1"/>
      <w:numFmt w:val="decimal"/>
      <w:lvlText w:val="%1.%2.%3.%4.%5.%6.%7.%8"/>
      <w:lvlJc w:val="left"/>
      <w:pPr>
        <w:tabs>
          <w:tab w:val="left" w:pos="1800"/>
        </w:tabs>
        <w:ind w:left="1800" w:hanging="1800"/>
      </w:pPr>
    </w:lvl>
    <w:lvl w:ilvl="8" w:tentative="0">
      <w:start w:val="1"/>
      <w:numFmt w:val="decimal"/>
      <w:lvlText w:val="%1.%2.%3.%4.%5.%6.%7.%8.%9"/>
      <w:lvlJc w:val="left"/>
      <w:pPr>
        <w:tabs>
          <w:tab w:val="left" w:pos="2160"/>
        </w:tabs>
        <w:ind w:left="2160" w:hanging="2160"/>
      </w:pPr>
    </w:lvl>
  </w:abstractNum>
  <w:abstractNum w:abstractNumId="2">
    <w:nsid w:val="00000003"/>
    <w:multiLevelType w:val="singleLevel"/>
    <w:tmpl w:val="00000003"/>
    <w:lvl w:ilvl="0" w:tentative="0">
      <w:start w:val="1"/>
      <w:numFmt w:val="bullet"/>
      <w:lvlText w:val="-"/>
      <w:lvlJc w:val="left"/>
      <w:pPr>
        <w:tabs>
          <w:tab w:val="left" w:pos="720"/>
        </w:tabs>
        <w:ind w:left="720" w:hanging="360"/>
      </w:pPr>
      <w:rPr>
        <w:rFonts w:ascii="Times New Roman" w:hAnsi="Times New Roman" w:cs="Times New Roman"/>
      </w:rPr>
    </w:lvl>
  </w:abstractNum>
  <w:abstractNum w:abstractNumId="3">
    <w:nsid w:val="00000004"/>
    <w:multiLevelType w:val="singleLevel"/>
    <w:tmpl w:val="00000004"/>
    <w:lvl w:ilvl="0" w:tentative="0">
      <w:start w:val="1"/>
      <w:numFmt w:val="bullet"/>
      <w:lvlText w:val="-"/>
      <w:lvlJc w:val="left"/>
      <w:pPr>
        <w:tabs>
          <w:tab w:val="left" w:pos="720"/>
        </w:tabs>
        <w:ind w:left="720" w:hanging="360"/>
      </w:pPr>
      <w:rPr>
        <w:rFonts w:ascii="Times New Roman" w:hAnsi="Times New Roman" w:cs="Times New Roman"/>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08"/>
  <w:hyphenationZone w:val="425"/>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279D"/>
    <w:rsid w:val="00046F78"/>
    <w:rsid w:val="000B2624"/>
    <w:rsid w:val="00100A83"/>
    <w:rsid w:val="00253415"/>
    <w:rsid w:val="002E07F8"/>
    <w:rsid w:val="004359B4"/>
    <w:rsid w:val="004A3E8D"/>
    <w:rsid w:val="004D508E"/>
    <w:rsid w:val="00723682"/>
    <w:rsid w:val="00736B30"/>
    <w:rsid w:val="007B0941"/>
    <w:rsid w:val="007E73FD"/>
    <w:rsid w:val="00864580"/>
    <w:rsid w:val="0094279D"/>
    <w:rsid w:val="0097626C"/>
    <w:rsid w:val="009C10E0"/>
    <w:rsid w:val="009D67D1"/>
    <w:rsid w:val="00A22FC8"/>
    <w:rsid w:val="00AF18B2"/>
    <w:rsid w:val="00B152E0"/>
    <w:rsid w:val="00B210AB"/>
    <w:rsid w:val="00B24D4D"/>
    <w:rsid w:val="00BD50A8"/>
    <w:rsid w:val="00DB7BCF"/>
    <w:rsid w:val="00E701B6"/>
    <w:rsid w:val="00F86EE7"/>
    <w:rsid w:val="65497BC5"/>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0" w:name="annotation text"/>
    <w:lsdException w:uiPriority="0" w:name="header"/>
    <w:lsdException w:uiPriority="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0"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sk-SK" w:eastAsia="en-US"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paragraph" w:styleId="4">
    <w:name w:val="Balloon Text"/>
    <w:basedOn w:val="1"/>
    <w:link w:val="17"/>
    <w:semiHidden/>
    <w:unhideWhenUsed/>
    <w:uiPriority w:val="0"/>
    <w:pPr>
      <w:suppressAutoHyphens/>
      <w:spacing w:after="0" w:line="240" w:lineRule="auto"/>
    </w:pPr>
    <w:rPr>
      <w:rFonts w:ascii="Tahoma" w:hAnsi="Tahoma" w:eastAsia="Times New Roman" w:cs="Tahoma"/>
      <w:sz w:val="16"/>
      <w:szCs w:val="16"/>
      <w:lang w:eastAsia="ar-SA"/>
    </w:rPr>
  </w:style>
  <w:style w:type="paragraph" w:styleId="5">
    <w:name w:val="Body Text"/>
    <w:basedOn w:val="1"/>
    <w:link w:val="15"/>
    <w:semiHidden/>
    <w:unhideWhenUsed/>
    <w:uiPriority w:val="0"/>
    <w:pPr>
      <w:suppressAutoHyphens/>
      <w:spacing w:after="120" w:line="240" w:lineRule="auto"/>
    </w:pPr>
    <w:rPr>
      <w:rFonts w:ascii="Times New Roman" w:hAnsi="Times New Roman" w:eastAsia="Times New Roman" w:cs="Times New Roman"/>
      <w:sz w:val="24"/>
      <w:szCs w:val="24"/>
      <w:lang w:eastAsia="ar-SA"/>
    </w:rPr>
  </w:style>
  <w:style w:type="character" w:styleId="6">
    <w:name w:val="annotation reference"/>
    <w:semiHidden/>
    <w:unhideWhenUsed/>
    <w:uiPriority w:val="0"/>
    <w:rPr>
      <w:sz w:val="16"/>
      <w:szCs w:val="16"/>
    </w:rPr>
  </w:style>
  <w:style w:type="paragraph" w:styleId="7">
    <w:name w:val="annotation text"/>
    <w:basedOn w:val="1"/>
    <w:link w:val="12"/>
    <w:semiHidden/>
    <w:unhideWhenUsed/>
    <w:uiPriority w:val="0"/>
    <w:pPr>
      <w:suppressAutoHyphens/>
      <w:spacing w:after="0" w:line="240" w:lineRule="auto"/>
    </w:pPr>
    <w:rPr>
      <w:rFonts w:ascii="Times New Roman" w:hAnsi="Times New Roman" w:eastAsia="Times New Roman" w:cs="Times New Roman"/>
      <w:sz w:val="20"/>
      <w:szCs w:val="20"/>
      <w:lang w:eastAsia="ar-SA"/>
    </w:rPr>
  </w:style>
  <w:style w:type="paragraph" w:styleId="8">
    <w:name w:val="annotation subject"/>
    <w:basedOn w:val="7"/>
    <w:next w:val="7"/>
    <w:link w:val="16"/>
    <w:semiHidden/>
    <w:unhideWhenUsed/>
    <w:uiPriority w:val="0"/>
    <w:rPr>
      <w:b/>
      <w:bCs/>
    </w:rPr>
  </w:style>
  <w:style w:type="paragraph" w:styleId="9">
    <w:name w:val="footer"/>
    <w:basedOn w:val="1"/>
    <w:link w:val="14"/>
    <w:semiHidden/>
    <w:unhideWhenUsed/>
    <w:uiPriority w:val="0"/>
    <w:pPr>
      <w:tabs>
        <w:tab w:val="center" w:pos="4536"/>
        <w:tab w:val="right" w:pos="9072"/>
      </w:tabs>
      <w:suppressAutoHyphens/>
      <w:spacing w:after="0" w:line="240" w:lineRule="auto"/>
    </w:pPr>
    <w:rPr>
      <w:rFonts w:ascii="Times New Roman" w:hAnsi="Times New Roman" w:eastAsia="Times New Roman" w:cs="Times New Roman"/>
      <w:sz w:val="24"/>
      <w:szCs w:val="24"/>
      <w:lang w:eastAsia="ar-SA"/>
    </w:rPr>
  </w:style>
  <w:style w:type="paragraph" w:styleId="10">
    <w:name w:val="header"/>
    <w:basedOn w:val="1"/>
    <w:link w:val="13"/>
    <w:semiHidden/>
    <w:unhideWhenUsed/>
    <w:uiPriority w:val="0"/>
    <w:pPr>
      <w:tabs>
        <w:tab w:val="center" w:pos="4536"/>
        <w:tab w:val="right" w:pos="9072"/>
      </w:tabs>
      <w:suppressAutoHyphens/>
      <w:spacing w:after="0" w:line="240" w:lineRule="auto"/>
    </w:pPr>
    <w:rPr>
      <w:rFonts w:ascii="Times New Roman" w:hAnsi="Times New Roman" w:eastAsia="Times New Roman" w:cs="Times New Roman"/>
      <w:sz w:val="24"/>
      <w:szCs w:val="24"/>
      <w:lang w:eastAsia="ar-SA"/>
    </w:rPr>
  </w:style>
  <w:style w:type="paragraph" w:styleId="11">
    <w:name w:val="List"/>
    <w:basedOn w:val="5"/>
    <w:semiHidden/>
    <w:unhideWhenUsed/>
    <w:uiPriority w:val="0"/>
    <w:rPr>
      <w:rFonts w:cs="Tahoma"/>
    </w:rPr>
  </w:style>
  <w:style w:type="character" w:customStyle="1" w:styleId="12">
    <w:name w:val="Text komentára Char"/>
    <w:basedOn w:val="2"/>
    <w:link w:val="7"/>
    <w:semiHidden/>
    <w:uiPriority w:val="0"/>
    <w:rPr>
      <w:rFonts w:ascii="Times New Roman" w:hAnsi="Times New Roman" w:eastAsia="Times New Roman" w:cs="Times New Roman"/>
      <w:sz w:val="20"/>
      <w:szCs w:val="20"/>
      <w:lang w:eastAsia="ar-SA"/>
    </w:rPr>
  </w:style>
  <w:style w:type="character" w:customStyle="1" w:styleId="13">
    <w:name w:val="Hlavička Char"/>
    <w:basedOn w:val="2"/>
    <w:link w:val="10"/>
    <w:semiHidden/>
    <w:uiPriority w:val="0"/>
    <w:rPr>
      <w:rFonts w:ascii="Times New Roman" w:hAnsi="Times New Roman" w:eastAsia="Times New Roman" w:cs="Times New Roman"/>
      <w:sz w:val="24"/>
      <w:szCs w:val="24"/>
      <w:lang w:eastAsia="ar-SA"/>
    </w:rPr>
  </w:style>
  <w:style w:type="character" w:customStyle="1" w:styleId="14">
    <w:name w:val="Päta Char"/>
    <w:basedOn w:val="2"/>
    <w:link w:val="9"/>
    <w:semiHidden/>
    <w:uiPriority w:val="0"/>
    <w:rPr>
      <w:rFonts w:ascii="Times New Roman" w:hAnsi="Times New Roman" w:eastAsia="Times New Roman" w:cs="Times New Roman"/>
      <w:sz w:val="24"/>
      <w:szCs w:val="24"/>
      <w:lang w:eastAsia="ar-SA"/>
    </w:rPr>
  </w:style>
  <w:style w:type="character" w:customStyle="1" w:styleId="15">
    <w:name w:val="Základný text Char"/>
    <w:basedOn w:val="2"/>
    <w:link w:val="5"/>
    <w:semiHidden/>
    <w:uiPriority w:val="0"/>
    <w:rPr>
      <w:rFonts w:ascii="Times New Roman" w:hAnsi="Times New Roman" w:eastAsia="Times New Roman" w:cs="Times New Roman"/>
      <w:sz w:val="24"/>
      <w:szCs w:val="24"/>
      <w:lang w:eastAsia="ar-SA"/>
    </w:rPr>
  </w:style>
  <w:style w:type="character" w:customStyle="1" w:styleId="16">
    <w:name w:val="Predmet komentára Char"/>
    <w:basedOn w:val="12"/>
    <w:link w:val="8"/>
    <w:semiHidden/>
    <w:uiPriority w:val="0"/>
    <w:rPr>
      <w:rFonts w:ascii="Times New Roman" w:hAnsi="Times New Roman" w:eastAsia="Times New Roman" w:cs="Times New Roman"/>
      <w:b/>
      <w:bCs/>
      <w:sz w:val="20"/>
      <w:szCs w:val="20"/>
      <w:lang w:eastAsia="ar-SA"/>
    </w:rPr>
  </w:style>
  <w:style w:type="character" w:customStyle="1" w:styleId="17">
    <w:name w:val="Text bubliny Char"/>
    <w:basedOn w:val="2"/>
    <w:link w:val="4"/>
    <w:semiHidden/>
    <w:uiPriority w:val="0"/>
    <w:rPr>
      <w:rFonts w:ascii="Tahoma" w:hAnsi="Tahoma" w:eastAsia="Times New Roman" w:cs="Tahoma"/>
      <w:sz w:val="16"/>
      <w:szCs w:val="16"/>
      <w:lang w:eastAsia="ar-SA"/>
    </w:rPr>
  </w:style>
  <w:style w:type="paragraph" w:customStyle="1" w:styleId="18">
    <w:name w:val="Nadpis"/>
    <w:basedOn w:val="1"/>
    <w:next w:val="5"/>
    <w:uiPriority w:val="0"/>
    <w:pPr>
      <w:keepNext/>
      <w:suppressAutoHyphens/>
      <w:spacing w:before="240" w:after="120" w:line="240" w:lineRule="auto"/>
    </w:pPr>
    <w:rPr>
      <w:rFonts w:ascii="Arial" w:hAnsi="Arial" w:eastAsia="Lucida Sans Unicode" w:cs="Tahoma"/>
      <w:sz w:val="28"/>
      <w:szCs w:val="28"/>
      <w:lang w:eastAsia="ar-SA"/>
    </w:rPr>
  </w:style>
  <w:style w:type="paragraph" w:customStyle="1" w:styleId="19">
    <w:name w:val="Popisek"/>
    <w:basedOn w:val="1"/>
    <w:uiPriority w:val="0"/>
    <w:pPr>
      <w:suppressLineNumbers/>
      <w:suppressAutoHyphens/>
      <w:spacing w:before="120" w:after="120" w:line="240" w:lineRule="auto"/>
    </w:pPr>
    <w:rPr>
      <w:rFonts w:ascii="Times New Roman" w:hAnsi="Times New Roman" w:eastAsia="Times New Roman" w:cs="Tahoma"/>
      <w:i/>
      <w:iCs/>
      <w:sz w:val="24"/>
      <w:szCs w:val="24"/>
      <w:lang w:eastAsia="ar-SA"/>
    </w:rPr>
  </w:style>
  <w:style w:type="paragraph" w:customStyle="1" w:styleId="20">
    <w:name w:val="Rejstřík"/>
    <w:basedOn w:val="1"/>
    <w:uiPriority w:val="0"/>
    <w:pPr>
      <w:suppressLineNumbers/>
      <w:suppressAutoHyphens/>
      <w:spacing w:after="0" w:line="240" w:lineRule="auto"/>
    </w:pPr>
    <w:rPr>
      <w:rFonts w:ascii="Times New Roman" w:hAnsi="Times New Roman" w:eastAsia="Times New Roman" w:cs="Tahoma"/>
      <w:sz w:val="24"/>
      <w:szCs w:val="24"/>
      <w:lang w:eastAsia="ar-SA"/>
    </w:rPr>
  </w:style>
  <w:style w:type="paragraph" w:customStyle="1" w:styleId="21">
    <w:name w:val="Obsah rámce"/>
    <w:basedOn w:val="5"/>
    <w:uiPriority w:val="0"/>
  </w:style>
  <w:style w:type="paragraph" w:customStyle="1" w:styleId="22">
    <w:name w:val="Obsah tabulky"/>
    <w:basedOn w:val="1"/>
    <w:uiPriority w:val="0"/>
    <w:pPr>
      <w:suppressLineNumbers/>
      <w:suppressAutoHyphens/>
      <w:spacing w:after="0" w:line="240" w:lineRule="auto"/>
    </w:pPr>
    <w:rPr>
      <w:rFonts w:ascii="Times New Roman" w:hAnsi="Times New Roman" w:eastAsia="Times New Roman" w:cs="Times New Roman"/>
      <w:sz w:val="24"/>
      <w:szCs w:val="24"/>
      <w:lang w:eastAsia="ar-SA"/>
    </w:rPr>
  </w:style>
  <w:style w:type="paragraph" w:customStyle="1" w:styleId="23">
    <w:name w:val="Nadpis tabulky"/>
    <w:basedOn w:val="22"/>
    <w:uiPriority w:val="0"/>
    <w:pPr>
      <w:jc w:val="center"/>
    </w:pPr>
    <w:rPr>
      <w:b/>
      <w:bCs/>
    </w:rPr>
  </w:style>
  <w:style w:type="character" w:customStyle="1" w:styleId="24">
    <w:name w:val="WW8Num1z0"/>
    <w:uiPriority w:val="0"/>
    <w:rPr>
      <w:rFonts w:hint="default" w:ascii="Times New Roman" w:hAnsi="Times New Roman" w:eastAsia="Times New Roman" w:cs="Times New Roman"/>
    </w:rPr>
  </w:style>
  <w:style w:type="character" w:customStyle="1" w:styleId="25">
    <w:name w:val="WW8Num1z1"/>
    <w:uiPriority w:val="0"/>
    <w:rPr>
      <w:rFonts w:hint="default" w:ascii="Courier New" w:hAnsi="Courier New" w:cs="Courier New"/>
    </w:rPr>
  </w:style>
  <w:style w:type="character" w:customStyle="1" w:styleId="26">
    <w:name w:val="WW8Num1z2"/>
    <w:uiPriority w:val="0"/>
    <w:rPr>
      <w:rFonts w:hint="default" w:ascii="Wingdings" w:hAnsi="Wingdings"/>
    </w:rPr>
  </w:style>
  <w:style w:type="character" w:customStyle="1" w:styleId="27">
    <w:name w:val="WW8Num1z3"/>
    <w:uiPriority w:val="0"/>
    <w:rPr>
      <w:rFonts w:hint="default" w:ascii="Symbol" w:hAnsi="Symbol"/>
    </w:rPr>
  </w:style>
  <w:style w:type="character" w:customStyle="1" w:styleId="28">
    <w:name w:val="WW8Num2z1"/>
    <w:uiPriority w:val="0"/>
    <w:rPr>
      <w:b/>
    </w:rPr>
  </w:style>
  <w:style w:type="character" w:customStyle="1" w:styleId="29">
    <w:name w:val="WW8Num3z0"/>
    <w:uiPriority w:val="0"/>
    <w:rPr>
      <w:rFonts w:hint="default" w:ascii="Times New Roman" w:hAnsi="Times New Roman" w:eastAsia="Times New Roman" w:cs="Times New Roman"/>
    </w:rPr>
  </w:style>
  <w:style w:type="character" w:customStyle="1" w:styleId="30">
    <w:name w:val="WW8Num3z1"/>
    <w:uiPriority w:val="0"/>
    <w:rPr>
      <w:rFonts w:hint="default" w:ascii="Courier New" w:hAnsi="Courier New" w:cs="Courier New"/>
    </w:rPr>
  </w:style>
  <w:style w:type="character" w:customStyle="1" w:styleId="31">
    <w:name w:val="WW8Num3z2"/>
    <w:uiPriority w:val="0"/>
    <w:rPr>
      <w:rFonts w:hint="default" w:ascii="Wingdings" w:hAnsi="Wingdings"/>
    </w:rPr>
  </w:style>
  <w:style w:type="character" w:customStyle="1" w:styleId="32">
    <w:name w:val="WW8Num3z3"/>
    <w:uiPriority w:val="0"/>
    <w:rPr>
      <w:rFonts w:hint="default" w:ascii="Symbol" w:hAnsi="Symbol"/>
    </w:rPr>
  </w:style>
  <w:style w:type="character" w:customStyle="1" w:styleId="33">
    <w:name w:val="WW8Num5z0"/>
    <w:uiPriority w:val="0"/>
    <w:rPr>
      <w:rFonts w:hint="default" w:ascii="Times New Roman" w:hAnsi="Times New Roman" w:eastAsia="Times New Roman" w:cs="Times New Roman"/>
    </w:rPr>
  </w:style>
  <w:style w:type="character" w:customStyle="1" w:styleId="34">
    <w:name w:val="WW8Num5z1"/>
    <w:uiPriority w:val="0"/>
    <w:rPr>
      <w:rFonts w:hint="default" w:ascii="Courier New" w:hAnsi="Courier New" w:cs="Courier New"/>
    </w:rPr>
  </w:style>
  <w:style w:type="character" w:customStyle="1" w:styleId="35">
    <w:name w:val="WW8Num5z2"/>
    <w:uiPriority w:val="0"/>
    <w:rPr>
      <w:rFonts w:hint="default" w:ascii="Wingdings" w:hAnsi="Wingdings"/>
    </w:rPr>
  </w:style>
  <w:style w:type="character" w:customStyle="1" w:styleId="36">
    <w:name w:val="WW8Num5z3"/>
    <w:uiPriority w:val="0"/>
    <w:rPr>
      <w:rFonts w:hint="default" w:ascii="Symbol" w:hAnsi="Symbol"/>
    </w:rPr>
  </w:style>
  <w:style w:type="character" w:customStyle="1" w:styleId="37">
    <w:name w:val="Standardní písmo odstavce"/>
    <w:uiPriority w:val="0"/>
  </w:style>
  <w:style w:type="paragraph" w:styleId="38">
    <w:name w:val="List Paragraph"/>
    <w:basedOn w:val="1"/>
    <w:qFormat/>
    <w:uiPriority w:val="34"/>
    <w:pPr>
      <w:suppressAutoHyphens/>
      <w:spacing w:after="0" w:line="240" w:lineRule="auto"/>
      <w:ind w:left="720"/>
      <w:contextualSpacing/>
    </w:pPr>
    <w:rPr>
      <w:rFonts w:ascii="Times New Roman" w:hAnsi="Times New Roman" w:eastAsia="Times New Roman" w:cs="Times New Roman"/>
      <w:sz w:val="24"/>
      <w:szCs w:val="24"/>
      <w:lang w:eastAsia="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3677</Words>
  <Characters>20963</Characters>
  <Lines>174</Lines>
  <Paragraphs>49</Paragraphs>
  <TotalTime>463</TotalTime>
  <ScaleCrop>false</ScaleCrop>
  <LinksUpToDate>false</LinksUpToDate>
  <CharactersWithSpaces>24591</CharactersWithSpaces>
  <Application>WPS Office_11.2.0.11254_F1E327BC-269C-435d-A152-05C5408002CA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2022-06-16T07:31:00Z</dcterms:created>
  <dc:creator>MARČOKOVÁ Erika</dc:creator>
  <cp:lastModifiedBy>ema15481</cp:lastModifiedBy>
  <cp:lastPrinted>2022-08-25T13:14:14Z</cp:lastPrinted>
  <dcterms:modified xsi:type="dcterms:W3CDTF">2022-08-25T13:14:40Z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1033-11.2.0.11254</vt:lpwstr>
  </property>
  <property fmtid="{D5CDD505-2E9C-101B-9397-08002B2CF9AE}" pid="3" name="ICV">
    <vt:lpwstr>CC3E00C3D92040A196BC6FDBD9197F5F</vt:lpwstr>
  </property>
</Properties>
</file>