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Komoča</w:t>
      </w: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2021</w:t>
      </w: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Imrich Lukács</w:t>
      </w:r>
    </w:p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</w:t>
      </w:r>
      <w:r w:rsidRPr="00EC37B9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starosta obce</w:t>
      </w:r>
    </w:p>
    <w:p w:rsidR="00EC37B9" w:rsidRPr="00EC37B9" w:rsidRDefault="00EC37B9" w:rsidP="00EC37B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                                                                                                                            str.</w:t>
      </w:r>
    </w:p>
    <w:p w:rsidR="00EC37B9" w:rsidRPr="00EC37B9" w:rsidRDefault="00EC37B9" w:rsidP="00EC37B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4.1.  Geografické údaje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4.2.  Demografické údaje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4.3.  Ekonomické údaje                                                                                                    4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4.4.  Symboly obce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4.5.  Logo obce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4.6.  História obce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4.7.  Pamiatky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4.8.  Významné osobnosti obce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5.1. Výchova a vzdelávanie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5.2. Zdravotníctvo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5.3. Sociálne zabezpečenie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5.4. Kultúra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5.5. Hospodárstvo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6.1.  Plnenie príjmov a čerpanie výdavkov za rok 2021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6.2.  Prebytok rozpočtového hospodárenia za rok 2021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8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6.3.  Rozpočet na roky 2022 - 2024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7.1.  Majetok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7.2.  Zdroje krytia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7.3.  Pohľadávky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7.4.  Záväzky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EC37B9" w:rsidRPr="00EC37B9" w:rsidRDefault="00EC37B9" w:rsidP="00EC37B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2021 - vývoj nákladov a výnosov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9. Ostatné dôležité informácie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 Prijaté granty a transfery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 Poskytnuté dotácie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13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 Predpokladaný budúci vývoj činnosti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9.4.  Udalosti osobitného významu po skončení účtovného obdobia                           13</w:t>
      </w:r>
    </w:p>
    <w:p w:rsidR="00EC37B9" w:rsidRPr="00EC37B9" w:rsidRDefault="00EC37B9" w:rsidP="00EC37B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9.5   Významné riziká a neistoty, ktorým je účtovná jednotka vystavená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EC37B9" w:rsidRPr="00EC37B9" w:rsidRDefault="00EC37B9" w:rsidP="00EC37B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C37B9" w:rsidRPr="00EC37B9" w:rsidRDefault="00EC37B9" w:rsidP="00EC37B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C37B9" w:rsidRPr="00EC37B9" w:rsidRDefault="00EC37B9" w:rsidP="00EC37B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                           OBEC KOMOČA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                           941 21 Komoča č.495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                           00309001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  Starosta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                         035/6481211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                             komoca@obeckomoca.sk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          www.obeckomoca.sk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C37B9" w:rsidRPr="00EC37B9" w:rsidRDefault="00EC37B9" w:rsidP="00EC37B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                  Imrich Lukács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  Mgr. Arpád Tóth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  Ing. Peter Tomšík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PaedDr. Katarína Lukácsová, Ing. Tibor Dobai,  Rudolf Varga,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Agh Zoltán, Mgr. Csaba Halász, Mgr. Tamás Illés.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 1. Komisia finančná a  sociálna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2. Komisia kultúry, vzdelávania, mládeže a športu 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3. Komisia životného prostredia, verejného poriadku a rozvoja obce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4. Komisia cestovného ruchu</w:t>
      </w:r>
    </w:p>
    <w:p w:rsidR="00EC37B9" w:rsidRPr="00EC37B9" w:rsidRDefault="00EC37B9" w:rsidP="00EC37B9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Zamestnanci obecného úradu: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1/ Katarína Gálová - evidencia obyvate</w:t>
      </w:r>
      <w:r w:rsidRPr="00EC37B9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stva, dane a poplatky, pokladňa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2/ Ildikó Soókyová - účtovníčka, rozpočtárka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3/ Anna Lukácsová – matrikárka, sekretárka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4/ Ing. Melinda Földes – mzdová účtovníčka a personalistka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5/ Július Bak – údržbár, koordinátor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6/ Zoltán Lépő - údržbár</w:t>
      </w: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7/ Hajnalová Edita - opatrovateľka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EC37B9" w:rsidRPr="00EC37B9" w:rsidRDefault="00EC37B9" w:rsidP="00EC37B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 je starostlivosť o všestranný rozvoj jej územia a o potreby jej obyvateľov. Obec financuje svoje potreby predovšetkým z vlastných príjmov, dotácií zo štátneho rozpočtu a zo zdrojov od ostatných subjektov.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Uplatňovať individuálny a profesionálny prístup voči občanom a tým zvyšovať záujem a zapojenie občanov do riešenia vecí verejných. Vytvoriť v obci pozemky pre mladých </w:t>
      </w:r>
      <w:r w:rsidRPr="00EC37B9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udí, aby z obce neodchádzali, aby mali podmienky pre výstavbu domov.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Ciele obce: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Cie</w:t>
      </w:r>
      <w:r w:rsidRPr="00EC37B9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om obce je zlepšovanie životných podmienok občanom, dobudovanie infraštruktúry v obci tak, aby plnila úlohu sídelnú, ekonomickú, kultúrnu a podnikate</w:t>
      </w:r>
      <w:r w:rsidRPr="00EC37B9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skú funkciu.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Územie obce je súčasťou Alpsko-Himalájskej sústavy, v rámci nej je súčasťou podsústavy Panónska panva, provincie Západopanónska panva, subprovincie Malá Dunajská kotlina, oblasti Podunajská nížina a celku Podunajská rovina. Z Podunajskej roviny na území obce sa vyskytuje časť Martovská mokraď (zasahuje do východnej polovice k.ú. obce). Nadmorská výška k.ú. obce sa pohybuje medzi 107-110 m n.m. Celková rozloha obce :  1347,6 ha.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Komoča žilo  k 31.12.2021  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950 ob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yvate</w:t>
      </w:r>
      <w:r w:rsidRPr="00EC37B9">
        <w:rPr>
          <w:rFonts w:ascii="TimesNewRoman" w:eastAsia="Times New Roman" w:hAnsi="TimesNewRoman" w:cs="TimesNewRoman"/>
          <w:b/>
          <w:sz w:val="24"/>
          <w:szCs w:val="24"/>
          <w:lang w:eastAsia="sk-SK"/>
        </w:rPr>
        <w:t>ľ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ov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Obci Komoča je najviac občanov maďarskej národnosti, potom slovenskej národnosti a zastúpené sú aj iné národnosti vo veľmi nepatrnom množstve.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Možno konštatovať, že v  reprodukcii obyvateľstva pretrváva nepriaznivý vývoj. V posledných rokoch sa prejavuje starnutie obyvateľstva dôsledkom poklesu živonarodených detí a následnej zmeny vekovej štruktúry obyvateľstva. Počet obyvateľov sa zvyšuje prisťahovaním obyvateľov len nepatrne.  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1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Ekonomická recesia, likvidácia veľkých zamestnávateľov a nízka reštrukturalizácia ekonomickej základne vyvolali aj v regióne silný tlak na trh práce – miera evidovanej nezamestnanosti v širšom okolí obce, v okrese Nové Zámky k 31.12.2021  je 5,37 %.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4.4. Symboly obce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Erb, pečať a vlajka tvoria trojicu základných symbolov obce.  </w:t>
      </w:r>
    </w:p>
    <w:p w:rsidR="00EC37B9" w:rsidRPr="00EC37B9" w:rsidRDefault="00EC37B9" w:rsidP="00EC37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Erb obce Komoča</w:t>
      </w:r>
      <w:r w:rsidRPr="00EC37B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br/>
      </w:r>
      <w:r w:rsidRPr="00EC37B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59264" behindDoc="0" locked="0" layoutInCell="1" allowOverlap="0" wp14:anchorId="12D549AE" wp14:editId="1B784BEA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0" t="0" r="9525" b="0"/>
            <wp:wrapSquare wrapText="bothSides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striebornom štíte zo zeleného vŕška vyrastajúce tri červené  zlatostredé a zelenokališné ruže na zelených stopkách so slzovitými listami. </w:t>
      </w:r>
    </w:p>
    <w:p w:rsidR="00EC37B9" w:rsidRPr="00EC37B9" w:rsidRDefault="00EC37B9" w:rsidP="00EC37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čierno - bielom vyjadrení farieb sa červená vyjadrí zvislým šrafovaním, zelená šikmým šrafovaním, zlatá bodkovaním a strieborná ostáva voľná. </w:t>
      </w:r>
    </w:p>
    <w:p w:rsidR="00EC37B9" w:rsidRPr="00EC37B9" w:rsidRDefault="00EC37B9" w:rsidP="00EC37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Vlajka obce Komoča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C37B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0288" behindDoc="0" locked="0" layoutInCell="1" allowOverlap="0" wp14:anchorId="71051038" wp14:editId="6A4C27BB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0" t="0" r="9525" b="0"/>
            <wp:wrapSquare wrapText="bothSides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vlajk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pozostáva zo siedmich pozdĺžnych pruhov vo farbách zelenej (2/9), bielej(1/9), červenej(1/9), žltej(l/9), červenej(l/9), bielej(l/9) a zelenej(2/9). Vlajka má pomer strán 2:3 a ukončená je tromi cípmi, t.j. dvomi zástrihmi, siahajúcimi do tretiny jej listu. </w:t>
      </w:r>
    </w:p>
    <w:p w:rsidR="00EC37B9" w:rsidRPr="00EC37B9" w:rsidRDefault="00EC37B9" w:rsidP="00EC37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Pečať obce Komoča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Pečať je okrúhla uprostred s obecným symbolom a kruhopisom OBEC KOMOČA. Pečať má priemer 35 mm, čo je v súlade s domácimi  symbolmi.                         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4.5.  Logo obce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Logo obce tvorí erb obce 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4.6.  História obce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1312" behindDoc="0" locked="0" layoutInCell="1" allowOverlap="0" wp14:anchorId="069D26A6" wp14:editId="55E06F7E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0" t="0" r="0" b="0"/>
            <wp:wrapSquare wrapText="bothSides"/>
            <wp:docPr id="1" name="Obrázok 1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histpeca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C37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Stredoveká obec Komoča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spomína v archívnych dokumentoch od roku 1416, najskôr pod pomenovaním KAMACHA. Obec patrila viacerým šľachtickým rodinám, no v 16. storočí dočasne spustla.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C37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 polovici 17. storočia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4.7.  Pamiatky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1787 bol postavený kostol v barokovom slohu na miesto, kde si veriaci po kuruckých vojnách postavili drevený kostol.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4.8.  Významné osobnosti obce</w:t>
      </w:r>
    </w:p>
    <w:p w:rsidR="00EC37B9" w:rsidRPr="00EC37B9" w:rsidRDefault="00EC37B9" w:rsidP="00EC37B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Pavol Lukács (1801 - 1873)  pedagóg, učiteľ a spisovateľ detskej beletrie</w:t>
      </w:r>
    </w:p>
    <w:p w:rsidR="00EC37B9" w:rsidRPr="00EC37B9" w:rsidRDefault="00EC37B9" w:rsidP="00EC37B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Koloman Papp (1856 – 1934) vojenský sudca v hodnosti plukovníka, lyrický básnik</w:t>
      </w:r>
    </w:p>
    <w:p w:rsidR="00EC37B9" w:rsidRPr="00EC37B9" w:rsidRDefault="00EC37B9" w:rsidP="00EC37B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Ján Pethes (1857- 1928)   psychológ a pedagóg, spisovateľ</w:t>
      </w:r>
    </w:p>
    <w:p w:rsidR="00EC37B9" w:rsidRPr="00EC37B9" w:rsidRDefault="00EC37B9" w:rsidP="00EC37B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Dr. Jozef Baranyay (1876 – 1951)  redaktor časopisu „Csallóközi Lapok v Dunajskej Strede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 Výchova a vzdelávanie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 Materská škola – Óvoda  v Komoči s vyučovacím jazykom maďarským. Prevádzkovanie základnej školy 1.- 4. bolo pozastavené v roku 2002 pre nedostatok školopovinných detí. Do základných škôl chodia deti do Nových Zámkov, Kolárova a do obce Zemné.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 Zdravotníctvo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Zdravotnú starostlivosť pre obec poskytuje Mudr. Marian Garban, ktorý dvakrát do týždňa ordinuje v miestnom zdravotnom stredisku, ktorý sa nachádza v budove obecného úradu.  Občania obce majú možnosť si vybrať aj iného  zmluvného lekára. Ďalšiu zdravotnú starostlivosť zabezpečuje  Nemocnica s poliklinikou  v Nových Zámkoch a  Poliklinika v Nových Zámkoch. Na základe analýzy doterajšieho vývoja možno očakávať, že rozvoj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zdravotnej starostlivosti sa bude orientovať na  uspokojovanie potrieb občanov prevažne dôchodkového veku.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5.3.  Sociálne zabezpečenie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zabezpečuje terénnu opatrovateľskú službu v rámci projektu Podpora rozvoja a dostupnosti terénnej opatrovateľskej služby financovaného z prostriedkov sociálneho  fondu a štátneho rozpočtu SR.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5.4.  Kultúra</w:t>
      </w:r>
    </w:p>
    <w:p w:rsidR="00EC37B9" w:rsidRPr="00EC37B9" w:rsidRDefault="00EC37B9" w:rsidP="00EC37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Spoločenský a kultúrny život v obci bol ovplyvnený pandémiou COVID19. V lete proticovidové opatrenie poľavili  a  v auguste sa uskutočnilo  podujatie „Chute regiónov“ v areáli verejného táboriska OÁZA CAMP.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5.5.  Hospodárstvo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Slovenská pošta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, pobočka Komárno – podanie, preprava, dodanie listov, balíkov a peňažných zásielok,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COOP JEDNOTA SD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Nové Zámky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výroba potravín a nápojov, sprostredkovanie obchodu, veľkoobchod a maloobchod,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C37B9" w:rsidRPr="00EC37B9" w:rsidTr="000553A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Poľnohospodárske družstvo Komoča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podnikanie v poľnohospodárskej výrobe vrátane  predaja nespracovaných poľnohospodárskych výrobkov na účely spracovania a ďalšieho predaja,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SITI s.r.o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./Tibor Lukács a Silvia Lukácsová/ - organizovanie a sprostredkovanie kultúrnych podujatí, kúpa tovaru za účelom jeho predaja konečnému spotrebiteľovi - maloobchod v rozsahu voľných živností, kúpa tovaru za účelom jeho predaja ďalším prevádzkovateľom živností - veľkoobchod v rozsahu voľných živností,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TPV Servis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/Ing. Vladimír Perei/– kovoobrábanie, zámočníctvo, kúpa tovaru na účely jeho predaja konečnému spotrebiteľovi, sprostredkovateľská činnosť v oblasti obchodu, služieb a výroby, 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ATLANTA presso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. /Michal Brezany a Zita Brezanyová/ – poskytovanie služieb rýchleho občerstvenia v spojení s predajom na priamu konzumáciu,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ZemNet CITY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/Viktor Szőke/– Kúpa tovaru na účely jeho predaja konečnému spotrebiteľovi (maloobchod) alebo iným prevádzkovateľom živnosti (veľkoobchod), sprostredkovateľská činnosť v oblasti obchodu, služieb, výroby,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Silvia Mechura Kósa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kadernícke služby,</w:t>
      </w:r>
    </w:p>
    <w:p w:rsidR="00EC37B9" w:rsidRPr="00EC37B9" w:rsidRDefault="00EC37B9" w:rsidP="00EC37B9">
      <w:pPr>
        <w:numPr>
          <w:ilvl w:val="0"/>
          <w:numId w:val="1"/>
        </w:num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Július Pogrányi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– kamenárstvo,</w:t>
      </w:r>
    </w:p>
    <w:p w:rsidR="00EC37B9" w:rsidRPr="00EC37B9" w:rsidRDefault="00EC37B9" w:rsidP="00EC37B9">
      <w:pPr>
        <w:numPr>
          <w:ilvl w:val="0"/>
          <w:numId w:val="1"/>
        </w:num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Norbert Pogrányi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kamenárstvo,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Norbert Szegi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oprava cestných motorových vozidiel,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Tibor Varga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– Pekáreň 1931 – výroba a predaj pekárenských a cukrárenských výrobkov,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Ľudovít Lukács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kúpa tovaru na účely jeho predaja konečnému spotrebiteľovi (maloobchod) alebo iným prevádzkovateľom živnosti (veľkoobchod),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Melinda Polóvá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– výroba pekárenských výrobkov,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Silvia Hangya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kúpa tovaru na účely jeho predaja konečnému spotrebiteľovi (veľkoobchod) alebo iným prevádzkovateľom živnosti (maloobchod),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Angelika Holecová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– kozmetické služby, manikúra,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Hajnal Soil s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/Peter Hajnal/- poskytovanie služieb v poľnohospodárstve a záhradníctve, chov vybraných druhov zvierat, výroba potravinárskych výrobkov, 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HALI TRADE s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/Dávid Halász/ - poskytovanie služieb v lesníctve a poľovníctve, vároba nápojov, opracovanie drevnej hmoty a výroba komponentov z dreva a z kovu,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dokončovacie stavebné práce, kúpa tovaru na účely jeho predaja, nákladná cestná doprava vykonávaná vozidlami s celkovou hmotnosťou do 3,5 t,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  <w:r w:rsidRPr="00EC37B9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 xml:space="preserve">     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LTS CONSULTING s.r.o.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/Lucia Selčáni/ -  vedenie  účtovníctva,  administratívne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služby, počítačové služby a služby súvisiace s počítačovým spracovaním údajov, 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MELI STAV s.r.o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./Melichárek Dominik/ – murárstvo, prípravné práce k realizácii stavby, dokončovacie stavebné práce pri realizácii exteriérov a interiérov, 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IP stavebná firma s.r.o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. /Illés Peter/ - uskutočňovanie stavieb  a ich zmien, prípravné práce k realizácii stavby, dokončovacie stavebné práce pri realizácii exteriérov a interiérov.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NASSO s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r.o.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/Igor Sobota/ -</w:t>
      </w:r>
      <w:r w:rsidRPr="00EC37B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výroba a montáž nábytku a bytových doplnkov, poskytovanie poradenských služieb pri dodávkach a montáži</w:t>
      </w:r>
      <w:r w:rsidRPr="00EC37B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EC37B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nábytku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2021.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zostavila rozpočet podľa ustanovenia § 10 ods. 7 zákona č.583/2004 Z.z. o rozpočtových pravidlách územnej samosprávy a o zmene a doplnení niektorých zákonov v znení neskorších predpisov. Rozpočet obce na rok 2021 bol zostavený ako vyrovnaný.</w:t>
      </w:r>
      <w:r w:rsidRPr="00EC37B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rozpočet bol zostavený ako </w:t>
      </w:r>
      <w:r w:rsidRPr="00EC37B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prebytkový</w:t>
      </w:r>
      <w:r w:rsidRPr="00EC37B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kapitálový rozpočet ako </w:t>
      </w:r>
      <w:r w:rsidRPr="00EC37B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schodkový vykrytý  z finančných operácií.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2021. 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Rozpočet obce na rok 2021 bol schválený uznesením obecného zastupiteľstva č. 59/15122020 zo dňa  15. decembra 2020.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sedemkrát:</w:t>
      </w:r>
    </w:p>
    <w:p w:rsidR="00EC37B9" w:rsidRPr="00EC37B9" w:rsidRDefault="00EC37B9" w:rsidP="00EC37B9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sk-SK" w:bidi="en-US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 w:bidi="en-US"/>
        </w:rPr>
        <w:t>- prvá  zmena  vykonaná rozpočtovým opatrením</w:t>
      </w:r>
      <w:r w:rsidRPr="00EC37B9">
        <w:rPr>
          <w:rFonts w:ascii="Times New Roman" w:eastAsia="Times New Roman" w:hAnsi="Times New Roman" w:cs="Times New Roman"/>
          <w:sz w:val="24"/>
          <w:szCs w:val="24"/>
          <w:lang w:val="en-US" w:eastAsia="sk-SK" w:bidi="en-US"/>
        </w:rPr>
        <w:t xml:space="preserve"> č. 1 </w:t>
      </w:r>
      <w:r w:rsidRPr="00EC37B9">
        <w:rPr>
          <w:rFonts w:ascii="Times New Roman" w:eastAsia="Times New Roman" w:hAnsi="Times New Roman" w:cs="Times New Roman"/>
          <w:sz w:val="24"/>
          <w:szCs w:val="24"/>
          <w:lang w:eastAsia="sk-SK" w:bidi="en-US"/>
        </w:rPr>
        <w:t>zamestnancom obce dňa</w:t>
      </w:r>
      <w:r w:rsidRPr="00EC37B9">
        <w:rPr>
          <w:rFonts w:ascii="Times New Roman" w:eastAsia="Times New Roman" w:hAnsi="Times New Roman" w:cs="Times New Roman"/>
          <w:sz w:val="24"/>
          <w:szCs w:val="24"/>
          <w:lang w:val="en-US" w:eastAsia="sk-SK" w:bidi="en-US"/>
        </w:rPr>
        <w:t xml:space="preserve"> 31.03.2021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EC37B9">
        <w:rPr>
          <w:rFonts w:ascii="Times New Roman" w:hAnsi="Times New Roman"/>
          <w:sz w:val="24"/>
          <w:szCs w:val="24"/>
          <w:lang w:eastAsia="sk-SK"/>
        </w:rPr>
        <w:t>schválená starostom dňa 31.03.2021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 druhá zmena vykonaná rozpočtovým opatrením č. 2 zamestnancom obce dňa: 31.05.2021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schválená starostom dňa 31.05.2021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 tretia zmena  schválená dňa 24.06.2021 uznesením č. 15/24062021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 štvrtá zmena vykonaná rozpočtovým opatrením č. 4 zamestnancom obce dňa 30.06.2021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schválená starostom dňa 30.06.2021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 piata zmena vykonaná rozpočtovým opatrením č. 5 zamestnancom obce dňa 30.09.2021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schválená starostom dňa 30.09.2021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 šiesta zmena schválená dňa 29.11.2021 uznesením č. 45/29112021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- siedma zmena vykonaná rozpočtovým opatrením č. 7 zamestnancom obce dňa 31.12.2021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schválená starostom dňa 31.12.2021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Plnenie príjmov a čerpanie výdavkov za rok 2021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C37B9" w:rsidRPr="00EC37B9" w:rsidTr="000553A5">
        <w:tc>
          <w:tcPr>
            <w:tcW w:w="2410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31.12.2021</w:t>
            </w:r>
          </w:p>
        </w:tc>
        <w:tc>
          <w:tcPr>
            <w:tcW w:w="1231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EC37B9" w:rsidRPr="00EC37B9" w:rsidTr="000553A5">
        <w:tc>
          <w:tcPr>
            <w:tcW w:w="2410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431 916,70</w:t>
            </w:r>
          </w:p>
        </w:tc>
        <w:tc>
          <w:tcPr>
            <w:tcW w:w="1984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513 588,25</w:t>
            </w:r>
          </w:p>
        </w:tc>
        <w:tc>
          <w:tcPr>
            <w:tcW w:w="184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474 028,55</w:t>
            </w:r>
          </w:p>
        </w:tc>
        <w:tc>
          <w:tcPr>
            <w:tcW w:w="1231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92,30</w:t>
            </w: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385 538,20</w:t>
            </w: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439 242,10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442 622,40</w:t>
            </w: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100,77</w:t>
            </w: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1984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30 818,60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25 908,60</w:t>
            </w:r>
          </w:p>
        </w:tc>
        <w:tc>
          <w:tcPr>
            <w:tcW w:w="1231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84,07</w:t>
            </w: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41 378,50</w:t>
            </w: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43 527,55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5 497,55</w:t>
            </w: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12,63</w:t>
            </w:r>
          </w:p>
        </w:tc>
      </w:tr>
      <w:tr w:rsidR="00EC37B9" w:rsidRPr="00EC37B9" w:rsidTr="000553A5">
        <w:tc>
          <w:tcPr>
            <w:tcW w:w="2410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431 916,70</w:t>
            </w:r>
          </w:p>
        </w:tc>
        <w:tc>
          <w:tcPr>
            <w:tcW w:w="1984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513 588,25</w:t>
            </w:r>
          </w:p>
        </w:tc>
        <w:tc>
          <w:tcPr>
            <w:tcW w:w="184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427 191,49</w:t>
            </w:r>
          </w:p>
        </w:tc>
        <w:tc>
          <w:tcPr>
            <w:tcW w:w="1231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83,18</w:t>
            </w: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 toho :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363 980,70</w:t>
            </w: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419 833,65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376 504,39</w:t>
            </w: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89,68</w:t>
            </w: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48 000,00</w:t>
            </w: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73 818,60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30 688,00</w:t>
            </w: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41,57</w:t>
            </w:r>
          </w:p>
        </w:tc>
      </w:tr>
      <w:tr w:rsidR="00EC37B9" w:rsidRPr="00EC37B9" w:rsidTr="000553A5">
        <w:tc>
          <w:tcPr>
            <w:tcW w:w="2410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19 936,00</w:t>
            </w:r>
          </w:p>
        </w:tc>
        <w:tc>
          <w:tcPr>
            <w:tcW w:w="198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19 936,00</w:t>
            </w:r>
          </w:p>
        </w:tc>
        <w:tc>
          <w:tcPr>
            <w:tcW w:w="184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19 999,10</w:t>
            </w:r>
          </w:p>
        </w:tc>
        <w:tc>
          <w:tcPr>
            <w:tcW w:w="123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100,32</w:t>
            </w:r>
          </w:p>
        </w:tc>
      </w:tr>
      <w:tr w:rsidR="00EC37B9" w:rsidRPr="00EC37B9" w:rsidTr="000553A5">
        <w:tc>
          <w:tcPr>
            <w:tcW w:w="2410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obce</w:t>
            </w:r>
          </w:p>
        </w:tc>
        <w:tc>
          <w:tcPr>
            <w:tcW w:w="184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46 837,06</w:t>
            </w:r>
          </w:p>
        </w:tc>
        <w:tc>
          <w:tcPr>
            <w:tcW w:w="1231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 roku 2021 plnenie príjmov vo významnej miere ovplyvnili príjmy :</w:t>
      </w:r>
    </w:p>
    <w:p w:rsidR="00EC37B9" w:rsidRPr="00EC37B9" w:rsidRDefault="00EC37B9" w:rsidP="00EC37B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bežnom rozpočte príjmy: </w:t>
      </w:r>
    </w:p>
    <w:p w:rsidR="00EC37B9" w:rsidRPr="00EC37B9" w:rsidRDefault="00EC37B9" w:rsidP="00EC37B9">
      <w:pPr>
        <w:numPr>
          <w:ilvl w:val="0"/>
          <w:numId w:val="2"/>
        </w:numPr>
        <w:spacing w:after="0" w:line="240" w:lineRule="auto"/>
        <w:ind w:left="1418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podielové dane, ktoré predstavovali zvýšenie oproti roku 2020 o 2,70 % vo výške 7 288,86 €</w:t>
      </w:r>
    </w:p>
    <w:p w:rsidR="00EC37B9" w:rsidRPr="00EC37B9" w:rsidRDefault="00EC37B9" w:rsidP="00EC37B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kapitálovom rozpočte príjmy: </w:t>
      </w:r>
    </w:p>
    <w:p w:rsidR="00EC37B9" w:rsidRPr="00EC37B9" w:rsidRDefault="00EC37B9" w:rsidP="00EC37B9">
      <w:pPr>
        <w:numPr>
          <w:ilvl w:val="0"/>
          <w:numId w:val="2"/>
        </w:numPr>
        <w:spacing w:after="0" w:line="240" w:lineRule="auto"/>
        <w:ind w:left="1418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dotácie na zvýšenie pokrytia siete WIFI  vo výške 25 818,60 €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 roku 2021 čerpanie výdavkov vo významnej miere ovplyvnili výdavky :</w:t>
      </w:r>
    </w:p>
    <w:p w:rsidR="00EC37B9" w:rsidRPr="00EC37B9" w:rsidRDefault="00EC37B9" w:rsidP="00EC37B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kapitálovom rozpočte nerealizované investičné akcie: </w:t>
      </w:r>
    </w:p>
    <w:p w:rsidR="00EC37B9" w:rsidRPr="00EC37B9" w:rsidRDefault="00EC37B9" w:rsidP="00EC37B9">
      <w:pPr>
        <w:numPr>
          <w:ilvl w:val="0"/>
          <w:numId w:val="2"/>
        </w:numPr>
        <w:spacing w:after="0" w:line="240" w:lineRule="auto"/>
        <w:ind w:left="1418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na zvýšenie pokrytia siete WIFI  vo výške 25 818,60  EUR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Prebytok rozpočtového hospodárenia za rok 2021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EC37B9" w:rsidRPr="00EC37B9" w:rsidTr="000553A5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EC37B9" w:rsidRPr="00EC37B9" w:rsidRDefault="00EC37B9" w:rsidP="00EC37B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31.12.2021 v EUR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442 622,40</w:t>
            </w:r>
          </w:p>
        </w:tc>
      </w:tr>
      <w:tr w:rsidR="00EC37B9" w:rsidRPr="00EC37B9" w:rsidTr="000553A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376 504,39</w:t>
            </w:r>
          </w:p>
        </w:tc>
      </w:tr>
      <w:tr w:rsidR="00EC37B9" w:rsidRPr="00EC37B9" w:rsidTr="000553A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66 118,01</w:t>
            </w:r>
          </w:p>
        </w:tc>
      </w:tr>
      <w:tr w:rsidR="00EC37B9" w:rsidRPr="00EC37B9" w:rsidTr="000553A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25 908,60</w:t>
            </w:r>
          </w:p>
        </w:tc>
      </w:tr>
      <w:tr w:rsidR="00EC37B9" w:rsidRPr="00EC37B9" w:rsidTr="000553A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30 688,00</w:t>
            </w:r>
          </w:p>
        </w:tc>
      </w:tr>
      <w:tr w:rsidR="00EC37B9" w:rsidRPr="00EC37B9" w:rsidTr="000553A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-4 779,40</w:t>
            </w:r>
          </w:p>
        </w:tc>
      </w:tr>
      <w:tr w:rsidR="00EC37B9" w:rsidRPr="00EC37B9" w:rsidTr="000553A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Prebytok  bežného a kapitálového rozpočtu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61 338,61</w:t>
            </w:r>
          </w:p>
        </w:tc>
      </w:tr>
      <w:tr w:rsidR="00EC37B9" w:rsidRPr="00EC37B9" w:rsidTr="000553A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Vylúčenie z 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bottom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11 800,75 </w:t>
            </w:r>
          </w:p>
        </w:tc>
      </w:tr>
      <w:tr w:rsidR="00EC37B9" w:rsidRPr="00EC37B9" w:rsidTr="000553A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prebytok </w:t>
            </w:r>
            <w:r w:rsidRPr="00EC37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49 537,86  </w:t>
            </w:r>
          </w:p>
        </w:tc>
      </w:tr>
      <w:tr w:rsidR="00EC37B9" w:rsidRPr="00EC37B9" w:rsidTr="000553A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-14 501,55</w:t>
            </w:r>
          </w:p>
        </w:tc>
      </w:tr>
      <w:tr w:rsidR="00EC37B9" w:rsidRPr="00EC37B9" w:rsidTr="000553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EC37B9" w:rsidRPr="00EC37B9" w:rsidRDefault="00EC37B9" w:rsidP="00EC37B9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474 028,55</w:t>
            </w:r>
          </w:p>
        </w:tc>
      </w:tr>
      <w:tr w:rsidR="00EC37B9" w:rsidRPr="00EC37B9" w:rsidTr="000553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VÝDAVKY</w:t>
            </w: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EC37B9" w:rsidRPr="00EC37B9" w:rsidRDefault="00EC37B9" w:rsidP="00EC37B9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427 191,49</w:t>
            </w:r>
          </w:p>
        </w:tc>
      </w:tr>
      <w:tr w:rsidR="00EC37B9" w:rsidRPr="00EC37B9" w:rsidTr="000553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EC37B9" w:rsidRPr="00EC37B9" w:rsidRDefault="00EC37B9" w:rsidP="00EC37B9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46 837,06</w:t>
            </w:r>
          </w:p>
        </w:tc>
      </w:tr>
      <w:tr w:rsidR="00EC37B9" w:rsidRPr="00EC37B9" w:rsidTr="000553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EC37B9" w:rsidRPr="00EC37B9" w:rsidRDefault="00EC37B9" w:rsidP="00EC37B9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11 800,75 </w:t>
            </w:r>
          </w:p>
        </w:tc>
      </w:tr>
      <w:tr w:rsidR="00EC37B9" w:rsidRPr="00EC37B9" w:rsidTr="000553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EC37B9" w:rsidRPr="00EC37B9" w:rsidRDefault="00EC37B9" w:rsidP="00EC37B9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35 036,31 </w:t>
            </w:r>
          </w:p>
        </w:tc>
      </w:tr>
    </w:tbl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37B9">
        <w:rPr>
          <w:rFonts w:ascii="Times New Roman" w:hAnsi="Times New Roman" w:cs="Times New Roman"/>
          <w:b/>
          <w:sz w:val="24"/>
          <w:szCs w:val="24"/>
        </w:rPr>
        <w:t>Prebytok rozpočtu v sume 61 338,61 EUR</w:t>
      </w:r>
      <w:r w:rsidRPr="00EC37B9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EC37B9">
        <w:rPr>
          <w:rFonts w:ascii="Times New Roman" w:hAnsi="Times New Roman" w:cs="Times New Roman"/>
          <w:b/>
          <w:sz w:val="24"/>
          <w:szCs w:val="24"/>
        </w:rPr>
        <w:t>upravený</w:t>
      </w:r>
      <w:r w:rsidRPr="00EC37B9">
        <w:rPr>
          <w:rFonts w:ascii="Times New Roman" w:hAnsi="Times New Roman" w:cs="Times New Roman"/>
          <w:sz w:val="24"/>
          <w:szCs w:val="24"/>
        </w:rPr>
        <w:t xml:space="preserve"> o nevyčerpané prostriedky zo ŠR a podľa osobitných predpisov v sume 49 537,86 EUR  navrhujeme použiť na:</w:t>
      </w:r>
      <w:r w:rsidRPr="00EC37B9">
        <w:rPr>
          <w:rFonts w:ascii="Times New Roman" w:hAnsi="Times New Roman" w:cs="Times New Roman"/>
          <w:sz w:val="24"/>
          <w:szCs w:val="24"/>
        </w:rPr>
        <w:tab/>
      </w:r>
      <w:r w:rsidRPr="00EC37B9">
        <w:rPr>
          <w:rFonts w:ascii="Times New Roman" w:hAnsi="Times New Roman" w:cs="Times New Roman"/>
          <w:sz w:val="24"/>
          <w:szCs w:val="24"/>
        </w:rPr>
        <w:tab/>
      </w:r>
    </w:p>
    <w:p w:rsidR="00EC37B9" w:rsidRPr="00EC37B9" w:rsidRDefault="00EC37B9" w:rsidP="00EC37B9">
      <w:pPr>
        <w:numPr>
          <w:ilvl w:val="0"/>
          <w:numId w:val="2"/>
        </w:numPr>
        <w:tabs>
          <w:tab w:val="left" w:pos="4485"/>
          <w:tab w:val="right" w:pos="6663"/>
        </w:tabs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C37B9">
        <w:rPr>
          <w:rFonts w:ascii="Times New Roman" w:hAnsi="Times New Roman" w:cs="Times New Roman"/>
          <w:sz w:val="24"/>
          <w:szCs w:val="24"/>
        </w:rPr>
        <w:t xml:space="preserve">tvorbu rezervného fondu      </w:t>
      </w:r>
      <w:r w:rsidRPr="00EC37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EC37B9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35 036,31 </w:t>
      </w:r>
      <w:r w:rsidRPr="00EC37B9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EC37B9" w:rsidRPr="00EC37B9" w:rsidRDefault="00EC37B9" w:rsidP="00EC37B9">
      <w:pPr>
        <w:numPr>
          <w:ilvl w:val="0"/>
          <w:numId w:val="2"/>
        </w:numPr>
        <w:tabs>
          <w:tab w:val="right" w:pos="6663"/>
        </w:tabs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C37B9">
        <w:rPr>
          <w:rFonts w:ascii="Times New Roman" w:hAnsi="Times New Roman" w:cs="Times New Roman"/>
          <w:sz w:val="24"/>
          <w:szCs w:val="24"/>
        </w:rPr>
        <w:t xml:space="preserve">na vysporiadanie zostatku finančných operácií </w:t>
      </w:r>
      <w:r w:rsidRPr="00EC37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14 501,55 </w:t>
      </w:r>
      <w:r w:rsidRPr="00EC37B9">
        <w:rPr>
          <w:rFonts w:ascii="Times New Roman" w:hAnsi="Times New Roman" w:cs="Times New Roman"/>
          <w:sz w:val="24"/>
          <w:szCs w:val="24"/>
        </w:rPr>
        <w:t>EUR</w:t>
      </w:r>
    </w:p>
    <w:p w:rsidR="00EC37B9" w:rsidRPr="00EC37B9" w:rsidRDefault="00EC37B9" w:rsidP="00EC37B9">
      <w:pPr>
        <w:tabs>
          <w:tab w:val="right" w:pos="666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37B9">
        <w:rPr>
          <w:rFonts w:ascii="Times New Roman" w:hAnsi="Times New Roman" w:cs="Times New Roman"/>
          <w:sz w:val="24"/>
          <w:szCs w:val="24"/>
        </w:rPr>
        <w:tab/>
      </w:r>
      <w:r w:rsidRPr="00EC37B9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EC37B9" w:rsidRPr="00EC37B9" w:rsidRDefault="00EC37B9" w:rsidP="00EC37B9">
      <w:pPr>
        <w:spacing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C37B9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EC37B9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z tohto  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C37B9" w:rsidRPr="00EC37B9" w:rsidRDefault="00EC37B9" w:rsidP="00EC37B9">
      <w:pPr>
        <w:numPr>
          <w:ilvl w:val="0"/>
          <w:numId w:val="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C37B9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poskytnuté v predchádzajúcom  rozpočtovom roku  v sume  479,40 EUR na </w:t>
      </w:r>
      <w:r w:rsidRPr="00EC37B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na podporu výchovy k stravovacím návykom dieťaťa pre materskú školu</w:t>
      </w:r>
      <w:r w:rsidRPr="00EC37B9">
        <w:rPr>
          <w:rFonts w:ascii="Times New Roman" w:hAnsi="Times New Roman" w:cs="Times New Roman"/>
          <w:iCs/>
          <w:sz w:val="24"/>
          <w:szCs w:val="24"/>
        </w:rPr>
        <w:t>,</w:t>
      </w:r>
    </w:p>
    <w:p w:rsidR="00EC37B9" w:rsidRPr="00EC37B9" w:rsidRDefault="00EC37B9" w:rsidP="00EC37B9">
      <w:pPr>
        <w:numPr>
          <w:ilvl w:val="0"/>
          <w:numId w:val="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C37B9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>školského stravovania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 xml:space="preserve">na stravné a réžiu 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podľa ustanovenia </w:t>
      </w:r>
      <w:r w:rsidRPr="00EC37B9">
        <w:rPr>
          <w:rFonts w:ascii="Times New Roman" w:hAnsi="Times New Roman" w:cs="Times New Roman"/>
          <w:color w:val="000000"/>
          <w:sz w:val="24"/>
          <w:szCs w:val="24"/>
        </w:rPr>
        <w:t>§140-141 zákona č.245/2008 Z.z.</w:t>
      </w:r>
      <w:r w:rsidRPr="00EC37B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o výchove a vzdelávaní (školský zákon) a o zmene a doplnení niektorých zákonov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v sume 218,50 EUR, </w:t>
      </w:r>
    </w:p>
    <w:p w:rsidR="00EC37B9" w:rsidRPr="00EC37B9" w:rsidRDefault="00EC37B9" w:rsidP="00EC37B9">
      <w:pPr>
        <w:numPr>
          <w:ilvl w:val="0"/>
          <w:numId w:val="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C37B9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EC37B9">
        <w:rPr>
          <w:rFonts w:ascii="Times New Roman" w:hAnsi="Times New Roman" w:cs="Times New Roman"/>
          <w:b/>
          <w:iCs/>
          <w:sz w:val="24"/>
          <w:szCs w:val="24"/>
        </w:rPr>
        <w:t>z fondu prevádzky, údržby a opráv</w:t>
      </w:r>
      <w:r w:rsidRPr="00EC37B9">
        <w:rPr>
          <w:rFonts w:ascii="Times New Roman" w:hAnsi="Times New Roman" w:cs="Times New Roman"/>
          <w:iCs/>
          <w:sz w:val="24"/>
          <w:szCs w:val="24"/>
        </w:rPr>
        <w:t xml:space="preserve"> podľa ustanovenia § 18 ods.3 zákona č.443/2010 Z.z. o dotáciách na rozvoj bývania a o sociálnom bývaní v z.n.p. v sume 11 102,85 EUR,</w:t>
      </w:r>
    </w:p>
    <w:p w:rsidR="00EC37B9" w:rsidRPr="00EC37B9" w:rsidRDefault="00EC37B9" w:rsidP="00EC37B9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EC37B9" w:rsidRPr="00EC37B9" w:rsidRDefault="00EC37B9" w:rsidP="00EC37B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Na základe uznesenia č. 39/16062022 sa prebytok hospodárenia použije na tvorbu rezervného fondu vo výške  </w:t>
      </w:r>
      <w:r w:rsidRPr="00EC37B9">
        <w:rPr>
          <w:rFonts w:ascii="Times New Roman" w:hAnsi="Times New Roman" w:cs="Times New Roman"/>
          <w:b/>
          <w:sz w:val="24"/>
          <w:szCs w:val="24"/>
        </w:rPr>
        <w:t xml:space="preserve">35 036,31 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EUR. </w:t>
      </w:r>
    </w:p>
    <w:p w:rsidR="00EC37B9" w:rsidRPr="00EC37B9" w:rsidRDefault="00EC37B9" w:rsidP="00EC37B9">
      <w:pPr>
        <w:spacing w:after="0" w:line="240" w:lineRule="auto"/>
        <w:rPr>
          <w:rFonts w:ascii="Arial" w:eastAsia="Times New Roman" w:hAnsi="Arial" w:cs="Arial"/>
          <w:color w:val="C00000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 Rozpočet na roky 2022 - 2023</w:t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1"/>
        <w:gridCol w:w="1652"/>
        <w:gridCol w:w="1882"/>
        <w:gridCol w:w="1838"/>
        <w:gridCol w:w="1726"/>
      </w:tblGrid>
      <w:tr w:rsidR="00EC37B9" w:rsidRPr="00EC37B9" w:rsidTr="000553A5">
        <w:trPr>
          <w:trHeight w:val="489"/>
        </w:trPr>
        <w:tc>
          <w:tcPr>
            <w:tcW w:w="2221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52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31.12.2021</w:t>
            </w:r>
          </w:p>
        </w:tc>
        <w:tc>
          <w:tcPr>
            <w:tcW w:w="1882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2022</w:t>
            </w:r>
          </w:p>
        </w:tc>
        <w:tc>
          <w:tcPr>
            <w:tcW w:w="1838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2023</w:t>
            </w:r>
          </w:p>
        </w:tc>
        <w:tc>
          <w:tcPr>
            <w:tcW w:w="1726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2024</w:t>
            </w:r>
          </w:p>
        </w:tc>
      </w:tr>
      <w:tr w:rsidR="00EC37B9" w:rsidRPr="00EC37B9" w:rsidTr="000553A5">
        <w:trPr>
          <w:trHeight w:val="293"/>
        </w:trPr>
        <w:tc>
          <w:tcPr>
            <w:tcW w:w="2221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52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474 028,55</w:t>
            </w:r>
          </w:p>
        </w:tc>
        <w:tc>
          <w:tcPr>
            <w:tcW w:w="1882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387 005,60</w:t>
            </w:r>
          </w:p>
        </w:tc>
        <w:tc>
          <w:tcPr>
            <w:tcW w:w="1838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385 430,60</w:t>
            </w:r>
          </w:p>
        </w:tc>
        <w:tc>
          <w:tcPr>
            <w:tcW w:w="1726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388 630,60</w:t>
            </w:r>
          </w:p>
        </w:tc>
      </w:tr>
      <w:tr w:rsidR="00EC37B9" w:rsidRPr="00EC37B9" w:rsidTr="000553A5">
        <w:trPr>
          <w:trHeight w:val="293"/>
        </w:trPr>
        <w:tc>
          <w:tcPr>
            <w:tcW w:w="222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5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8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6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rPr>
          <w:trHeight w:val="309"/>
        </w:trPr>
        <w:tc>
          <w:tcPr>
            <w:tcW w:w="222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5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442 622,40</w:t>
            </w:r>
          </w:p>
        </w:tc>
        <w:tc>
          <w:tcPr>
            <w:tcW w:w="188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382 855,60</w:t>
            </w:r>
          </w:p>
        </w:tc>
        <w:tc>
          <w:tcPr>
            <w:tcW w:w="18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383 280,60</w:t>
            </w:r>
          </w:p>
        </w:tc>
        <w:tc>
          <w:tcPr>
            <w:tcW w:w="1726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386 480,60</w:t>
            </w:r>
          </w:p>
        </w:tc>
      </w:tr>
      <w:tr w:rsidR="00EC37B9" w:rsidRPr="00EC37B9" w:rsidTr="000553A5">
        <w:trPr>
          <w:trHeight w:val="293"/>
        </w:trPr>
        <w:tc>
          <w:tcPr>
            <w:tcW w:w="222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25 908,60</w:t>
            </w:r>
          </w:p>
        </w:tc>
        <w:tc>
          <w:tcPr>
            <w:tcW w:w="188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4 000,00</w:t>
            </w:r>
          </w:p>
        </w:tc>
        <w:tc>
          <w:tcPr>
            <w:tcW w:w="18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2 000,00</w:t>
            </w:r>
          </w:p>
        </w:tc>
        <w:tc>
          <w:tcPr>
            <w:tcW w:w="1726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2 000,00</w:t>
            </w:r>
          </w:p>
        </w:tc>
      </w:tr>
      <w:tr w:rsidR="00EC37B9" w:rsidRPr="00EC37B9" w:rsidTr="000553A5">
        <w:trPr>
          <w:trHeight w:val="277"/>
        </w:trPr>
        <w:tc>
          <w:tcPr>
            <w:tcW w:w="2221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5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5 497,55</w:t>
            </w:r>
          </w:p>
        </w:tc>
        <w:tc>
          <w:tcPr>
            <w:tcW w:w="1882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  <w:tc>
          <w:tcPr>
            <w:tcW w:w="18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  <w:tc>
          <w:tcPr>
            <w:tcW w:w="1726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</w:tr>
    </w:tbl>
    <w:p w:rsidR="00EC37B9" w:rsidRPr="00EC37B9" w:rsidRDefault="00EC37B9" w:rsidP="00EC37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8"/>
        <w:gridCol w:w="1703"/>
        <w:gridCol w:w="1844"/>
        <w:gridCol w:w="1845"/>
        <w:gridCol w:w="1703"/>
      </w:tblGrid>
      <w:tr w:rsidR="00EC37B9" w:rsidRPr="00EC37B9" w:rsidTr="000553A5">
        <w:trPr>
          <w:trHeight w:val="446"/>
        </w:trPr>
        <w:tc>
          <w:tcPr>
            <w:tcW w:w="2238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31.12.2021</w:t>
            </w:r>
          </w:p>
        </w:tc>
        <w:tc>
          <w:tcPr>
            <w:tcW w:w="1844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2022</w:t>
            </w:r>
          </w:p>
        </w:tc>
        <w:tc>
          <w:tcPr>
            <w:tcW w:w="1845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2023</w:t>
            </w:r>
          </w:p>
        </w:tc>
        <w:tc>
          <w:tcPr>
            <w:tcW w:w="1703" w:type="dxa"/>
            <w:shd w:val="clear" w:color="auto" w:fill="DDD9C3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2024</w:t>
            </w:r>
          </w:p>
        </w:tc>
      </w:tr>
      <w:tr w:rsidR="00EC37B9" w:rsidRPr="00EC37B9" w:rsidTr="000553A5">
        <w:trPr>
          <w:trHeight w:val="267"/>
        </w:trPr>
        <w:tc>
          <w:tcPr>
            <w:tcW w:w="2238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70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427 191,49</w:t>
            </w:r>
          </w:p>
        </w:tc>
        <w:tc>
          <w:tcPr>
            <w:tcW w:w="1844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387 005,60</w:t>
            </w:r>
          </w:p>
        </w:tc>
        <w:tc>
          <w:tcPr>
            <w:tcW w:w="1845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385 430,60</w:t>
            </w:r>
          </w:p>
        </w:tc>
        <w:tc>
          <w:tcPr>
            <w:tcW w:w="1703" w:type="dxa"/>
            <w:shd w:val="clear" w:color="auto" w:fill="D9D9D9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388 630,60</w:t>
            </w:r>
          </w:p>
        </w:tc>
      </w:tr>
      <w:tr w:rsidR="00EC37B9" w:rsidRPr="00EC37B9" w:rsidTr="000553A5">
        <w:trPr>
          <w:trHeight w:val="267"/>
        </w:trPr>
        <w:tc>
          <w:tcPr>
            <w:tcW w:w="22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5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rPr>
          <w:trHeight w:val="282"/>
        </w:trPr>
        <w:tc>
          <w:tcPr>
            <w:tcW w:w="22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376 504,39</w:t>
            </w:r>
          </w:p>
        </w:tc>
        <w:tc>
          <w:tcPr>
            <w:tcW w:w="184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363 438,40</w:t>
            </w:r>
          </w:p>
        </w:tc>
        <w:tc>
          <w:tcPr>
            <w:tcW w:w="1845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356 698,60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358 142,60</w:t>
            </w:r>
          </w:p>
        </w:tc>
      </w:tr>
      <w:tr w:rsidR="00EC37B9" w:rsidRPr="00EC37B9" w:rsidTr="000553A5">
        <w:trPr>
          <w:trHeight w:val="267"/>
        </w:trPr>
        <w:tc>
          <w:tcPr>
            <w:tcW w:w="22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30 688,00</w:t>
            </w:r>
          </w:p>
        </w:tc>
        <w:tc>
          <w:tcPr>
            <w:tcW w:w="184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8 000,00</w:t>
            </w:r>
          </w:p>
        </w:tc>
        <w:tc>
          <w:tcPr>
            <w:tcW w:w="1845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16 800,00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27 950,00</w:t>
            </w:r>
          </w:p>
        </w:tc>
      </w:tr>
      <w:tr w:rsidR="00EC37B9" w:rsidRPr="00EC37B9" w:rsidTr="000553A5">
        <w:trPr>
          <w:trHeight w:val="252"/>
        </w:trPr>
        <w:tc>
          <w:tcPr>
            <w:tcW w:w="2238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19 999,10</w:t>
            </w:r>
          </w:p>
        </w:tc>
        <w:tc>
          <w:tcPr>
            <w:tcW w:w="1844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15 567,20</w:t>
            </w:r>
          </w:p>
        </w:tc>
        <w:tc>
          <w:tcPr>
            <w:tcW w:w="1845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11 932,00</w:t>
            </w:r>
          </w:p>
        </w:tc>
        <w:tc>
          <w:tcPr>
            <w:tcW w:w="1703" w:type="dxa"/>
          </w:tcPr>
          <w:p w:rsidR="00EC37B9" w:rsidRPr="00EC37B9" w:rsidRDefault="00EC37B9" w:rsidP="00EC37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2 538,00</w:t>
            </w:r>
          </w:p>
        </w:tc>
      </w:tr>
    </w:tbl>
    <w:p w:rsidR="00EC37B9" w:rsidRPr="00EC37B9" w:rsidRDefault="00EC37B9" w:rsidP="00EC37B9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 Informácia o vývoji obce z pohľadu účtovníctva</w:t>
      </w:r>
    </w:p>
    <w:p w:rsidR="00EC37B9" w:rsidRPr="00EC37B9" w:rsidRDefault="00EC37B9" w:rsidP="00EC37B9">
      <w:pPr>
        <w:numPr>
          <w:ilvl w:val="1"/>
          <w:numId w:val="7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EC37B9" w:rsidRPr="00EC37B9" w:rsidTr="000553A5">
        <w:tc>
          <w:tcPr>
            <w:tcW w:w="3756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31.12.2020  v EUR</w:t>
            </w:r>
          </w:p>
        </w:tc>
        <w:tc>
          <w:tcPr>
            <w:tcW w:w="2800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31.12.2021 v EUR</w:t>
            </w:r>
          </w:p>
        </w:tc>
      </w:tr>
      <w:tr w:rsidR="00EC37B9" w:rsidRPr="00EC37B9" w:rsidTr="000553A5">
        <w:tc>
          <w:tcPr>
            <w:tcW w:w="3756" w:type="dxa"/>
            <w:shd w:val="clear" w:color="auto" w:fill="C4BC96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1 626 662,64</w:t>
            </w:r>
          </w:p>
        </w:tc>
        <w:tc>
          <w:tcPr>
            <w:tcW w:w="2800" w:type="dxa"/>
            <w:shd w:val="clear" w:color="auto" w:fill="C4BC96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1 637 567,53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1 434 992,34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1 404 563,56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4 210,00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1 230 206,16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1 195 567,38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189 501,17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231 061,38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737,77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377,90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1 172,00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1 172,00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Krátkodobé pohľadávky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10 741,65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10 153,68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176 849,75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219 357,80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2 169,13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1 942,59</w:t>
            </w:r>
          </w:p>
        </w:tc>
      </w:tr>
    </w:tbl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7.2.  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EC37B9" w:rsidRPr="00EC37B9" w:rsidTr="000553A5">
        <w:tc>
          <w:tcPr>
            <w:tcW w:w="3756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31.12.2020 v EUR</w:t>
            </w:r>
          </w:p>
        </w:tc>
        <w:tc>
          <w:tcPr>
            <w:tcW w:w="2800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31.12.2021 v EUR</w:t>
            </w:r>
          </w:p>
        </w:tc>
      </w:tr>
      <w:tr w:rsidR="00EC37B9" w:rsidRPr="00EC37B9" w:rsidTr="000553A5">
        <w:tc>
          <w:tcPr>
            <w:tcW w:w="3756" w:type="dxa"/>
            <w:shd w:val="clear" w:color="auto" w:fill="C4BC96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1 626 662,64</w:t>
            </w:r>
          </w:p>
        </w:tc>
        <w:tc>
          <w:tcPr>
            <w:tcW w:w="2800" w:type="dxa"/>
            <w:shd w:val="clear" w:color="auto" w:fill="C4BC96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1 637 567,53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866 592,83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914 733,20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866 592,83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914 733,20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148 497,24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123 352,18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4 684,60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479,40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65 799,88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63 265,99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23 763,56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22 793,59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53 249,20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35 813,20</w:t>
            </w:r>
          </w:p>
        </w:tc>
      </w:tr>
      <w:tr w:rsidR="00EC37B9" w:rsidRPr="00EC37B9" w:rsidTr="000553A5">
        <w:tc>
          <w:tcPr>
            <w:tcW w:w="3756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611 572,57</w:t>
            </w:r>
          </w:p>
        </w:tc>
        <w:tc>
          <w:tcPr>
            <w:tcW w:w="280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599 482,15</w:t>
            </w:r>
          </w:p>
        </w:tc>
      </w:tr>
    </w:tbl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7.3. Pohľadávky 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2"/>
        <w:gridCol w:w="1840"/>
        <w:gridCol w:w="1896"/>
      </w:tblGrid>
      <w:tr w:rsidR="00EC37B9" w:rsidRPr="00EC37B9" w:rsidTr="000553A5">
        <w:tc>
          <w:tcPr>
            <w:tcW w:w="5082" w:type="dxa"/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840" w:type="dxa"/>
            <w:shd w:val="clear" w:color="auto" w:fill="D0CECE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2020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896" w:type="dxa"/>
            <w:shd w:val="clear" w:color="auto" w:fill="D0CECE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2021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Poskytnuté prevádzkové preddavky 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pohľadávky 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tabs>
                <w:tab w:val="center" w:pos="840"/>
                <w:tab w:val="right" w:pos="16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4 012,31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tabs>
                <w:tab w:val="center" w:pos="840"/>
                <w:tab w:val="right" w:pos="16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143,18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nedaňových príjmov  z toho: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4 372,30 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8 254,71 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voči zamestnanom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10,93  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10,28  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daňových príjmov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1 946,11  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1 745,51  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pohľadávky /ŠJ/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 a ostatné zúčtovanie so subj.mimo VS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5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10 741,65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10 153,68</w:t>
            </w:r>
          </w:p>
        </w:tc>
      </w:tr>
    </w:tbl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7.4. Záväzky 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6"/>
        <w:gridCol w:w="2016"/>
        <w:gridCol w:w="2016"/>
      </w:tblGrid>
      <w:tr w:rsidR="00EC37B9" w:rsidRPr="00EC37B9" w:rsidTr="000553A5">
        <w:tc>
          <w:tcPr>
            <w:tcW w:w="4786" w:type="dxa"/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016" w:type="dxa"/>
            <w:shd w:val="clear" w:color="auto" w:fill="D0CECE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2020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2016" w:type="dxa"/>
            <w:shd w:val="clear" w:color="auto" w:fill="D0CECE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2021 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Dodávatelia</w:t>
            </w:r>
          </w:p>
        </w:tc>
        <w:tc>
          <w:tcPr>
            <w:tcW w:w="2016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2 715,78 </w:t>
            </w:r>
          </w:p>
        </w:tc>
        <w:tc>
          <w:tcPr>
            <w:tcW w:w="2016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2 905,89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Prijaté preddavky - ŠJ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218,50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185,95 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Iné záväzky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1 631,72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1 631,85 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Zamestnanci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10 117,36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10 645,96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Zúčtov. s orgánmi sociál. a zdravot.poistenia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6 559,37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6 766,99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priame dane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1 550,86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1 626,92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 a ost.zúčtov.so subjek.mimo VS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479,40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4 684,60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35 813,20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53 249,20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ŠFRB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62 447,64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65 002,74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krátkodobé rezervy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1 000,00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1 000,00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zo sociálneho fondu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818,35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797,14 </w:t>
            </w:r>
          </w:p>
        </w:tc>
      </w:tr>
      <w:tr w:rsidR="00EC37B9" w:rsidRPr="00EC37B9" w:rsidTr="000553A5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123 352,18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:rsidR="00EC37B9" w:rsidRPr="00EC37B9" w:rsidRDefault="00EC37B9" w:rsidP="00EC37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148 497,24</w:t>
            </w:r>
          </w:p>
        </w:tc>
      </w:tr>
    </w:tbl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EC37B9" w:rsidRPr="00EC37B9" w:rsidRDefault="00EC37B9" w:rsidP="00EC37B9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 pokles záväzkov spôsobený znížením zadlženosti obce.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8.Hospodársky výsledok  za 2021 - vývoj nákladov a výnosov     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EC37B9" w:rsidRPr="00EC37B9" w:rsidTr="000553A5">
        <w:tc>
          <w:tcPr>
            <w:tcW w:w="3828" w:type="dxa"/>
            <w:shd w:val="clear" w:color="auto" w:fill="DDD9C3"/>
          </w:tcPr>
          <w:p w:rsidR="00EC37B9" w:rsidRPr="00EC37B9" w:rsidRDefault="00EC37B9" w:rsidP="00EC37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lang w:eastAsia="sk-SK"/>
              </w:rPr>
              <w:t>k 31.12.2021</w:t>
            </w:r>
          </w:p>
        </w:tc>
      </w:tr>
      <w:tr w:rsidR="00EC37B9" w:rsidRPr="00EC37B9" w:rsidTr="000553A5">
        <w:tc>
          <w:tcPr>
            <w:tcW w:w="3828" w:type="dxa"/>
            <w:shd w:val="clear" w:color="auto" w:fill="D9D9D9"/>
          </w:tcPr>
          <w:p w:rsidR="00EC37B9" w:rsidRPr="00EC37B9" w:rsidRDefault="00EC37B9" w:rsidP="00EC37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391 274,86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437 097,43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54 107,24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63 171,81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54 509,35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63 275,73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205 048,14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234 143,09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330,76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434,16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4 739,34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3 416,52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62 292,00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62 110,80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4 713,21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4 287,32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5 533,02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6 258,00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1,80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828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442 739,36</w:t>
            </w:r>
          </w:p>
        </w:tc>
        <w:tc>
          <w:tcPr>
            <w:tcW w:w="2693" w:type="dxa"/>
            <w:shd w:val="clear" w:color="auto" w:fill="D9D9D9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479 997,58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9 870,72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10 305,78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63 – Daňové a colné výnosy a výnosy z poplatkov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332 439,51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340 864,53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24 100,70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30 098,08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9,58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0,18</w:t>
            </w:r>
          </w:p>
        </w:tc>
      </w:tr>
      <w:tr w:rsidR="00EC37B9" w:rsidRPr="00EC37B9" w:rsidTr="000553A5">
        <w:tc>
          <w:tcPr>
            <w:tcW w:w="3828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69 – Výnosy z transferov a rozpočtových príjmov v obciach,  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74 618,85</w:t>
            </w:r>
          </w:p>
        </w:tc>
        <w:tc>
          <w:tcPr>
            <w:tcW w:w="2693" w:type="dxa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97 729,01</w:t>
            </w:r>
          </w:p>
        </w:tc>
      </w:tr>
      <w:tr w:rsidR="00EC37B9" w:rsidRPr="00EC37B9" w:rsidTr="000553A5">
        <w:tc>
          <w:tcPr>
            <w:tcW w:w="3828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 kladný</w:t>
            </w:r>
          </w:p>
        </w:tc>
        <w:tc>
          <w:tcPr>
            <w:tcW w:w="2693" w:type="dxa"/>
            <w:shd w:val="clear" w:color="auto" w:fill="D9D9D9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51 464,50</w:t>
            </w:r>
          </w:p>
        </w:tc>
        <w:tc>
          <w:tcPr>
            <w:tcW w:w="2693" w:type="dxa"/>
            <w:shd w:val="clear" w:color="auto" w:fill="D9D9D9"/>
          </w:tcPr>
          <w:p w:rsidR="00EC37B9" w:rsidRPr="00EC37B9" w:rsidRDefault="00EC37B9" w:rsidP="00EC37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42 900,15</w:t>
            </w:r>
          </w:p>
        </w:tc>
      </w:tr>
    </w:tbl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kladný v sume 42 900,15 EUR bol zúčtovaný na účet 428 - Nevysporiadaný výsledok hospodárenia minulých rokov.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 Ostatné  dôležité informácie </w:t>
      </w: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9.1. Prijaté granty a transfery  </w:t>
      </w: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 obec prijala nasledovné granty a transfery:</w:t>
      </w:r>
    </w:p>
    <w:tbl>
      <w:tblPr>
        <w:tblW w:w="92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4565"/>
        <w:gridCol w:w="1552"/>
      </w:tblGrid>
      <w:tr w:rsidR="00EC37B9" w:rsidRPr="00EC37B9" w:rsidTr="000553A5">
        <w:tc>
          <w:tcPr>
            <w:tcW w:w="3119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565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 transferov</w:t>
            </w:r>
          </w:p>
        </w:tc>
        <w:tc>
          <w:tcPr>
            <w:tcW w:w="1552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 EUR 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k stravovacím návykom detí v MŠ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1 209,60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výchovu a vzdelávanie  detí v predškol-skom veku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1 862,00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Štatistický úrad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Sčítanie obyvateľov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3 433,76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Mimoriadna finančná podpora pre zamest-nancov poskytovateľov sociálnych služieb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337,38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MŽP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triedenie odpadu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1 133,24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MPSVaR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Opatrovateľská služba - odmena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473,20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matrika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2 474,20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register obyvateľov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316,80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register adries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54,80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starostlivosť o ŽP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lang w:eastAsia="sk-SK"/>
              </w:rPr>
              <w:t>94,08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stavebný poriadok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1 243,97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doprava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41,47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Implementačná agentúra MPSVaR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opatrovateľská služba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6 712,85</w:t>
            </w:r>
          </w:p>
        </w:tc>
      </w:tr>
      <w:tr w:rsidR="00EC37B9" w:rsidRPr="00EC37B9" w:rsidTr="000553A5">
        <w:tc>
          <w:tcPr>
            <w:tcW w:w="3119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Dobrovoľná požiarna ochrana SR</w:t>
            </w:r>
          </w:p>
        </w:tc>
        <w:tc>
          <w:tcPr>
            <w:tcW w:w="4565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požiarnej ochrany</w:t>
            </w:r>
          </w:p>
        </w:tc>
        <w:tc>
          <w:tcPr>
            <w:tcW w:w="1552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3 000,00</w:t>
            </w:r>
          </w:p>
        </w:tc>
      </w:tr>
    </w:tbl>
    <w:p w:rsid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roku 2021 obec prijala nasledovné granty a transfery v súvislosti s pandémiou ochorenia COVID - 19 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1"/>
        <w:gridCol w:w="3899"/>
        <w:gridCol w:w="2340"/>
      </w:tblGrid>
      <w:tr w:rsidR="00EC37B9" w:rsidRPr="00EC37B9" w:rsidTr="000553A5">
        <w:tc>
          <w:tcPr>
            <w:tcW w:w="2581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899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EC37B9" w:rsidRPr="00EC37B9" w:rsidTr="000553A5">
        <w:tc>
          <w:tcPr>
            <w:tcW w:w="2581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3899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náklady testovania COVID - 19</w:t>
            </w:r>
          </w:p>
        </w:tc>
        <w:tc>
          <w:tcPr>
            <w:tcW w:w="2340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34 520,00</w:t>
            </w:r>
          </w:p>
        </w:tc>
      </w:tr>
    </w:tbl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9.2. Poskytnuté dotácie  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2021 obec poskytla zo svojho rozpočtu dotácie v zmysle VZN č. 1/2017 o poskytovaní dotácií z rozpočtu obce: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9"/>
        <w:gridCol w:w="3544"/>
        <w:gridCol w:w="1987"/>
      </w:tblGrid>
      <w:tr w:rsidR="00EC37B9" w:rsidRPr="00EC37B9" w:rsidTr="000553A5">
        <w:tc>
          <w:tcPr>
            <w:tcW w:w="3289" w:type="dxa"/>
            <w:shd w:val="clear" w:color="auto" w:fill="ACB9CA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Prijímateľ dotácie</w:t>
            </w:r>
          </w:p>
        </w:tc>
        <w:tc>
          <w:tcPr>
            <w:tcW w:w="3544" w:type="dxa"/>
            <w:shd w:val="clear" w:color="auto" w:fill="ACB9CA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dotácie</w:t>
            </w:r>
          </w:p>
        </w:tc>
        <w:tc>
          <w:tcPr>
            <w:tcW w:w="1987" w:type="dxa"/>
            <w:shd w:val="clear" w:color="auto" w:fill="ACB9CA"/>
          </w:tcPr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</w:t>
            </w:r>
          </w:p>
          <w:p w:rsidR="00EC37B9" w:rsidRPr="00EC37B9" w:rsidRDefault="00EC37B9" w:rsidP="00EC3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prostriedkov v EUR</w:t>
            </w:r>
          </w:p>
        </w:tc>
      </w:tr>
      <w:tr w:rsidR="00EC37B9" w:rsidRPr="00EC37B9" w:rsidTr="000553A5">
        <w:tc>
          <w:tcPr>
            <w:tcW w:w="328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Družstevník, Komoča</w:t>
            </w:r>
          </w:p>
        </w:tc>
        <w:tc>
          <w:tcPr>
            <w:tcW w:w="3544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Reprezentácie obce v športových súťažiach a technické zabezpe-čenie športového areálu</w:t>
            </w:r>
          </w:p>
        </w:tc>
        <w:tc>
          <w:tcPr>
            <w:tcW w:w="1987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3 000,00</w:t>
            </w:r>
          </w:p>
        </w:tc>
      </w:tr>
      <w:tr w:rsidR="00EC37B9" w:rsidRPr="00EC37B9" w:rsidTr="000553A5">
        <w:tc>
          <w:tcPr>
            <w:tcW w:w="328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Poľovnícke združenie Komoča   </w:t>
            </w:r>
          </w:p>
        </w:tc>
        <w:tc>
          <w:tcPr>
            <w:tcW w:w="3544" w:type="dx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Organizovanie verejnoprospeš-ných akcií súvisiace s ochranou životného prostredia a ochrana zdravia obyvateľstva</w:t>
            </w:r>
          </w:p>
        </w:tc>
        <w:tc>
          <w:tcPr>
            <w:tcW w:w="1987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2100,00</w:t>
            </w:r>
          </w:p>
        </w:tc>
      </w:tr>
      <w:tr w:rsidR="00EC37B9" w:rsidRPr="00EC37B9" w:rsidTr="000553A5">
        <w:tc>
          <w:tcPr>
            <w:tcW w:w="3289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Csemadok, Komoča</w:t>
            </w:r>
          </w:p>
        </w:tc>
        <w:tc>
          <w:tcPr>
            <w:tcW w:w="3544" w:type="dxa"/>
          </w:tcPr>
          <w:p w:rsidR="00EC37B9" w:rsidRPr="00EC37B9" w:rsidRDefault="00EC37B9" w:rsidP="00EC37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Zachovanie kultúrneho dedičstva obce</w:t>
            </w:r>
          </w:p>
        </w:tc>
        <w:tc>
          <w:tcPr>
            <w:tcW w:w="1987" w:type="dx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EC37B9" w:rsidRPr="00EC37B9" w:rsidTr="000553A5">
        <w:tc>
          <w:tcPr>
            <w:tcW w:w="3289" w:type="dxa"/>
            <w:shd w:val="clear" w:color="auto" w:fill="ACB9CA"/>
          </w:tcPr>
          <w:p w:rsidR="00EC37B9" w:rsidRPr="00EC37B9" w:rsidRDefault="00EC37B9" w:rsidP="00EC37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544" w:type="dxa"/>
            <w:shd w:val="clear" w:color="auto" w:fill="ACB9CA"/>
          </w:tcPr>
          <w:p w:rsidR="00EC37B9" w:rsidRPr="00EC37B9" w:rsidRDefault="00EC37B9" w:rsidP="00EC37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  <w:shd w:val="clear" w:color="auto" w:fill="ACB9CA"/>
          </w:tcPr>
          <w:p w:rsidR="00EC37B9" w:rsidRPr="00EC37B9" w:rsidRDefault="00EC37B9" w:rsidP="00EC37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37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5 600,00  </w:t>
            </w:r>
          </w:p>
        </w:tc>
      </w:tr>
    </w:tbl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9.3.  Predpokladaný budúci vývoj činnosti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chodníkov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budovy obecného úradu </w:t>
      </w:r>
    </w:p>
    <w:p w:rsidR="00EC37B9" w:rsidRPr="00EC37B9" w:rsidRDefault="00EC37B9" w:rsidP="00EC37B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nevyužitého objektu na spolkovú a komunitnú  činnosť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9.4. Udalosti osobitného významu po skončení účtovného obdobia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obdobia, za ktoré sa vyhotovuje výročná správa.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9.5. Významné riziká a neistoty, ktorým je účtovná jednotka vystavená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Pandémia ochorenia COVID-19 dlhodobo významne negatívne ovplyvňuje hospodárenie obce. Pretože sa situácia stále vyvíja nie je možné poskytnúť kvantitatívne odhady potenciálneho vplyvu súčasnej situácie na účtovnú jednotku. </w:t>
      </w: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Vypracovala:  Ildikó Soókyová                                      Schválil:  Imrich Lukács</w:t>
      </w: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37B9" w:rsidRPr="00EC37B9" w:rsidRDefault="00EC37B9" w:rsidP="00EC37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Komoči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bookmarkStart w:id="0" w:name="_GoBack"/>
      <w:bookmarkEnd w:id="0"/>
      <w:r w:rsidRPr="00EC37B9">
        <w:rPr>
          <w:rFonts w:ascii="Times New Roman" w:eastAsia="Times New Roman" w:hAnsi="Times New Roman" w:cs="Times New Roman"/>
          <w:sz w:val="24"/>
          <w:szCs w:val="24"/>
          <w:lang w:eastAsia="sk-SK"/>
        </w:rPr>
        <w:t>. júna 2022</w:t>
      </w:r>
    </w:p>
    <w:p w:rsidR="00EC37B9" w:rsidRPr="00EC37B9" w:rsidRDefault="00EC37B9" w:rsidP="00EC37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728AF" w:rsidRDefault="00B728AF"/>
    <w:sectPr w:rsidR="00B728A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6354147"/>
      <w:docPartObj>
        <w:docPartGallery w:val="Page Numbers (Bottom of Page)"/>
        <w:docPartUnique/>
      </w:docPartObj>
    </w:sdtPr>
    <w:sdtEndPr/>
    <w:sdtContent>
      <w:p w:rsidR="003B656E" w:rsidRDefault="00EC37B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3B656E" w:rsidRDefault="00EC37B9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600640"/>
    <w:multiLevelType w:val="multilevel"/>
    <w:tmpl w:val="F0E2B4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3E405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6"/>
  </w:num>
  <w:num w:numId="5">
    <w:abstractNumId w:val="15"/>
  </w:num>
  <w:num w:numId="6">
    <w:abstractNumId w:val="7"/>
  </w:num>
  <w:num w:numId="7">
    <w:abstractNumId w:val="5"/>
  </w:num>
  <w:num w:numId="8">
    <w:abstractNumId w:val="11"/>
  </w:num>
  <w:num w:numId="9">
    <w:abstractNumId w:val="4"/>
  </w:num>
  <w:num w:numId="10">
    <w:abstractNumId w:val="13"/>
  </w:num>
  <w:num w:numId="11">
    <w:abstractNumId w:val="12"/>
  </w:num>
  <w:num w:numId="12">
    <w:abstractNumId w:val="10"/>
  </w:num>
  <w:num w:numId="13">
    <w:abstractNumId w:val="1"/>
  </w:num>
  <w:num w:numId="14">
    <w:abstractNumId w:val="14"/>
  </w:num>
  <w:num w:numId="15">
    <w:abstractNumId w:val="0"/>
  </w:num>
  <w:num w:numId="16">
    <w:abstractNumId w:val="8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7B9"/>
    <w:rsid w:val="00B728AF"/>
    <w:rsid w:val="00EC3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35DF02-650D-4434-8D50-83868075F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EC37B9"/>
  </w:style>
  <w:style w:type="paragraph" w:styleId="Pta">
    <w:name w:val="footer"/>
    <w:basedOn w:val="Normlny"/>
    <w:link w:val="PtaChar"/>
    <w:uiPriority w:val="99"/>
    <w:rsid w:val="00EC37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EC37B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C37B9"/>
  </w:style>
  <w:style w:type="table" w:styleId="Mriekatabuky">
    <w:name w:val="Table Grid"/>
    <w:basedOn w:val="Normlnatabuka"/>
    <w:rsid w:val="00EC37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C37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C37B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EC37B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EC37B9"/>
    <w:rPr>
      <w:b/>
      <w:bCs/>
    </w:rPr>
  </w:style>
  <w:style w:type="character" w:styleId="Zvraznenie">
    <w:name w:val="Emphasis"/>
    <w:uiPriority w:val="20"/>
    <w:qFormat/>
    <w:rsid w:val="00EC37B9"/>
    <w:rPr>
      <w:i/>
      <w:iCs/>
    </w:rPr>
  </w:style>
  <w:style w:type="paragraph" w:styleId="Textbubliny">
    <w:name w:val="Balloon Text"/>
    <w:basedOn w:val="Normlny"/>
    <w:link w:val="TextbublinyChar"/>
    <w:rsid w:val="00EC37B9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EC37B9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EC37B9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customStyle="1" w:styleId="ra">
    <w:name w:val="ra"/>
    <w:rsid w:val="00EC37B9"/>
  </w:style>
  <w:style w:type="paragraph" w:styleId="Zkladntext">
    <w:name w:val="Body Text"/>
    <w:basedOn w:val="Normlny"/>
    <w:link w:val="ZkladntextChar"/>
    <w:rsid w:val="00EC37B9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C37B9"/>
    <w:rPr>
      <w:rFonts w:ascii="Times New Roman" w:eastAsia="Times New Roman" w:hAnsi="Times New Roman" w:cs="Times New Roman"/>
      <w:b/>
      <w:sz w:val="72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3744</Words>
  <Characters>21343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</cp:revision>
  <dcterms:created xsi:type="dcterms:W3CDTF">2022-06-27T09:45:00Z</dcterms:created>
  <dcterms:modified xsi:type="dcterms:W3CDTF">2022-06-27T09:47:00Z</dcterms:modified>
</cp:coreProperties>
</file>