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é Informácie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 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JAHN Company s.r.o.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Lachova 1608/26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851 03 Bratislava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numPr>
          <w:ilvl w:val="0"/>
          <w:numId w:val="9"/>
        </w:numPr>
        <w:spacing w:before="0" w:after="0" w:line="240"/>
        <w:ind w:right="0" w:left="113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kúpa tovaru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čelom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</w:t>
      </w:r>
    </w:p>
    <w:p>
      <w:pPr>
        <w:keepNext w:val="true"/>
        <w:numPr>
          <w:ilvl w:val="0"/>
          <w:numId w:val="10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26" w:hanging="6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2022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 z.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01. januára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6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 skupine 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nepatrí do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žiadnej skupiny podnikov.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zamestn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ávala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zamestnancov. 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8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PRIJATÝCH POSTUPOCH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0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nehmotný a dlhodobý hmotný majetok</w:t>
      </w: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 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nie sú úroky z cudzích zdrojov ani realizované kurzové rozdiely, ktoré vznikli do momentu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</w:t>
      </w: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18"/>
          <w:shd w:fill="auto" w:val="clear"/>
        </w:rPr>
        <w:t xml:space="preserve">Posúdenie zní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18"/>
          <w:shd w:fill="auto" w:val="clear"/>
        </w:rPr>
        <w:t xml:space="preserve">ženia hodnoty majetku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sa tvoria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áklade zásady opatrnosti, ak je opodstatnené predpoklada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ť, že došlo k 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ženiu hodnoty majetku oproti jeho oceneniu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 Opravná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žka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v sume opodstatnen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predpokladu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 majetku oproti jeho oceneniu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8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 dlhodobých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ách a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ávkach, ak je zostatková doba splatnosti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dlhšia ako jeden rok, upravuje sa hodnota tejto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formou opravnej položky,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predstavuje rozdiel medzi menovitou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časnou hodnotou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hodnota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sa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 ak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činov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úcich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príjmov a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diskontných faktorov.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čty</w:t>
      </w: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čty tvor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hotovos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ť, ceniny, zostatky na bankov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 a oceňuj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menovitou hodnotou.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Rezervy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Rezerva je záväzok predstavujúci existujúcu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Spoločnosti,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vznikla z minulých udalostí a 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v 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úcnosti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 jej ekonomick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žitky. Rezervy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 a oceňuj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odhadom v sume potrebnej na splnenie existujúcej povinnosti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závierka.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nákladový alebo majetkový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záväzok prislúcha.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žitie rezervy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ťarchu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 so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vecne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áväzkov. Rozpustenie nepotrebnej rezervy alebo jej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opačn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ako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čtovala tvorba rezervy. 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na bonusy, rabaty, skontá a vrátenie kúpnej ceny pri reklamácii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ako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ôvodne dosiahnutých výnosov so súvz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rezerv. 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na nevyfakturované dodávky majetku sa nevykazujú s vplyvom na výsledok hospodárenia a 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odhadovanej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7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pod.),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 dodatočne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 predaja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ýrobkov a tovaru sa vykazujú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splnenia dod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zákonníka,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Incoterms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podmienok dohodnutých v zmluve.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 predaja služieb sa vykazuj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ktorom boli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Výnosové úroky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rovnomerne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obdobiach, ktorých sa vecne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časovo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ýkajú / na základe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šenia met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ódou efektívnej úrokovej miery.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Výnosy z dividend sa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čase vzniku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na prijatie platby.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údaje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 v dôsledku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metód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zásad nie sú hodnoty za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v jednotlivých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častiach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 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é, uvádza sa vysvetlenie o neporovnate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hodnotách v poznámkach.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Oprava chýb minulých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zist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významnú chybu týkajúcu sa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období, opraví túto chybu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 428 - Nerozdelen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zisk minulých rokov a 429 - Neuhradená strata minulých rokov, t. j. bez vplyvu na výsledok hospodárenia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í. Opravy nevýznamných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na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nákladový alebo výnosový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2020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nevykonala žiadne opravy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období.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l)</w:t>
        <w:tab/>
        <w:t xml:space="preserve">Odpisový plán dlhodobého majetku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Predpokladaná doba odpisovania,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ívania a odpisová sadzba dlhodobého majetku sú uvedené v 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71"/>
        <w:gridCol w:w="2372"/>
        <w:gridCol w:w="2372"/>
        <w:gridCol w:w="2372"/>
      </w:tblGrid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Predpokladaná doba 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 v rokoch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Metóda odpisovania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ého odpisu</w:t>
            </w: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Osobné automobily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 roky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25%</w:t>
            </w:r>
          </w:p>
        </w:tc>
      </w:tr>
      <w:tr>
        <w:trPr>
          <w:trHeight w:val="1" w:hRule="atLeast"/>
          <w:jc w:val="left"/>
        </w:trPr>
        <w:tc>
          <w:tcPr>
            <w:tcW w:w="23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74"/>
        </w:numPr>
        <w:tabs>
          <w:tab w:val="left" w:pos="2062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K POLO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ÁM súvahy a VÝKAZU ZISKOV A STRÁT</w:t>
      </w:r>
    </w:p>
    <w:p>
      <w:pPr>
        <w:spacing w:before="0" w:after="0" w:line="240"/>
        <w:ind w:right="0" w:left="31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 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ách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ého rozsahu</w:t>
      </w: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nezaznamenala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ýnosy ani náklady mimoriadneho rozsahu.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záväzky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rokov, ani neeviduje zabezpečen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záväzky.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Vlastné akcie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nevlastní vlastné akcie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Podmienené záväzky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ľadom na to, že mnoh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oblasti slovenského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práva doteraz neboli dostato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overen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praxou, existuje neistota v tom, ako ich budú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orgány aplikova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ť. Mieru tejto neistoty nie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kvantifikova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a zanikne až potom, keď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k dispozícii právne precedensy, prípadne oficiálne interpretácie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orgánov.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Vedenie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si nie je vedom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žiadnych okolnost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dôsledku ktorých by jej vznikol významný náklad.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Ostatné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povinnosti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neeviduje 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ýznamné ostatné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povinnosti, ktoré sa nesledujú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 neuvádzajú v súvahe.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94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skuto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čnostiach, ktor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 závierka, do d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keepNext w:val="true"/>
        <w:numPr>
          <w:ilvl w:val="0"/>
          <w:numId w:val="94"/>
        </w:numPr>
        <w:tabs>
          <w:tab w:val="left" w:pos="360" w:leader="none"/>
        </w:tabs>
        <w:spacing w:before="12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neidentifikovala žiadne skutočnosti medzi dňom,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zostavuje a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zostavenia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ávierky, ktoré by mali významný vplyv na výsledok hospodárenia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ípadne na celkovú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situáciu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za obdobie predmetn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zda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ňovacieho obdobia.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9">
    <w:lvl w:ilvl="0">
      <w:start w:val="1"/>
      <w:numFmt w:val="upperLetter"/>
      <w:lvlText w:val="%1."/>
    </w:lvl>
  </w:abstractNum>
  <w:abstractNum w:abstractNumId="2">
    <w:lvl w:ilvl="0">
      <w:start w:val="1"/>
      <w:numFmt w:val="lowerLetter"/>
      <w:lvlText w:val="%1."/>
    </w:lvl>
  </w:abstractNum>
  <w:abstractNum w:abstractNumId="8">
    <w:lvl w:ilvl="0">
      <w:start w:val="1"/>
      <w:numFmt w:val="lowerLetter"/>
      <w:lvlText w:val="%1."/>
    </w:lvl>
  </w:abstractNum>
  <w:abstractNum w:abstractNumId="14">
    <w:lvl w:ilvl="0">
      <w:start w:val="1"/>
      <w:numFmt w:val="lowerLetter"/>
      <w:lvlText w:val="%1."/>
    </w:lvl>
  </w:abstractNum>
  <w:abstractNum w:abstractNumId="20">
    <w:lvl w:ilvl="0">
      <w:start w:val="1"/>
      <w:numFmt w:val="lowerLetter"/>
      <w:lvlText w:val="%1."/>
    </w:lvl>
  </w:abstractNum>
  <w:abstractNum w:abstractNumId="26">
    <w:lvl w:ilvl="0">
      <w:start w:val="1"/>
      <w:numFmt w:val="lowerLetter"/>
      <w:lvlText w:val="%1."/>
    </w:lvl>
  </w:abstractNum>
  <w:abstractNum w:abstractNumId="32">
    <w:lvl w:ilvl="0">
      <w:start w:val="1"/>
      <w:numFmt w:val="lowerLetter"/>
      <w:lvlText w:val="%1."/>
    </w:lvl>
  </w:abstractNum>
  <w:abstractNum w:abstractNumId="38">
    <w:lvl w:ilvl="0">
      <w:start w:val="1"/>
      <w:numFmt w:val="lowerLetter"/>
      <w:lvlText w:val="%1."/>
    </w:lvl>
  </w:abstractNum>
  <w:abstractNum w:abstractNumId="44">
    <w:lvl w:ilvl="0">
      <w:start w:val="1"/>
      <w:numFmt w:val="lowerLetter"/>
      <w:lvlText w:val="%1."/>
    </w:lvl>
  </w:abstractNum>
  <w:abstractNum w:abstractNumId="50">
    <w:lvl w:ilvl="0">
      <w:start w:val="1"/>
      <w:numFmt w:val="lowerLetter"/>
      <w:lvlText w:val="%1."/>
    </w:lvl>
  </w:abstractNum>
  <w:abstractNum w:abstractNumId="15">
    <w:lvl w:ilvl="0">
      <w:start w:val="1"/>
      <w:numFmt w:val="upperLetter"/>
      <w:lvlText w:val="%1."/>
    </w:lvl>
  </w:abstractNum>
  <w:abstractNum w:abstractNumId="21">
    <w:lvl w:ilvl="0">
      <w:start w:val="1"/>
      <w:numFmt w:val="upperLetter"/>
      <w:lvlText w:val="%1."/>
    </w:lvl>
  </w:abstractNum>
  <w:num w:numId="1">
    <w:abstractNumId w:val="21"/>
  </w:num>
  <w:num w:numId="3">
    <w:abstractNumId w:val="19"/>
  </w:num>
  <w:num w:numId="9">
    <w:abstractNumId w:val="0"/>
  </w:num>
  <w:num w:numId="10">
    <w:abstractNumId w:val="13"/>
  </w:num>
  <w:num w:numId="12">
    <w:abstractNumId w:val="7"/>
  </w:num>
  <w:num w:numId="15">
    <w:abstractNumId w:val="1"/>
  </w:num>
  <w:num w:numId="18">
    <w:abstractNumId w:val="15"/>
  </w:num>
  <w:num w:numId="20">
    <w:abstractNumId w:val="50"/>
  </w:num>
  <w:num w:numId="24">
    <w:abstractNumId w:val="44"/>
  </w:num>
  <w:num w:numId="28">
    <w:abstractNumId w:val="38"/>
  </w:num>
  <w:num w:numId="30">
    <w:abstractNumId w:val="32"/>
  </w:num>
  <w:num w:numId="33">
    <w:abstractNumId w:val="26"/>
  </w:num>
  <w:num w:numId="36">
    <w:abstractNumId w:val="20"/>
  </w:num>
  <w:num w:numId="45">
    <w:abstractNumId w:val="14"/>
  </w:num>
  <w:num w:numId="47">
    <w:abstractNumId w:val="8"/>
  </w:num>
  <w:num w:numId="49">
    <w:abstractNumId w:val="2"/>
  </w:num>
  <w:num w:numId="74">
    <w:abstractNumId w:val="9"/>
  </w:num>
  <w:num w:numId="94">
    <w:abstractNumId w:val="3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