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0EBF" w:rsidRDefault="00C224F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proofErr w:type="spellStart"/>
      <w:r>
        <w:rPr>
          <w:rFonts w:ascii="Times New Roman" w:eastAsia="Times New Roman" w:hAnsi="Times New Roman" w:cs="Times New Roman"/>
          <w:b/>
          <w:sz w:val="24"/>
        </w:rPr>
        <w:t>Poznámky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Úč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>. MUJ 3 – 01</w:t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 xml:space="preserve"> IČO: 50 857 827</w:t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 DIČ: 21 20 504 782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numPr>
          <w:ilvl w:val="0"/>
          <w:numId w:val="1"/>
        </w:numPr>
        <w:spacing w:after="0" w:line="240" w:lineRule="auto"/>
        <w:ind w:left="1080" w:hanging="72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VŠEOBECNÉ ÚDAJE 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numPr>
          <w:ilvl w:val="0"/>
          <w:numId w:val="2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Obchodné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meno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>:</w:t>
      </w:r>
      <w:r>
        <w:rPr>
          <w:rFonts w:ascii="Times New Roman" w:eastAsia="Times New Roman" w:hAnsi="Times New Roman" w:cs="Times New Roman"/>
          <w:sz w:val="24"/>
        </w:rPr>
        <w:t xml:space="preserve"> ASWA Consulting s. </w:t>
      </w:r>
      <w:proofErr w:type="spellStart"/>
      <w:r>
        <w:rPr>
          <w:rFonts w:ascii="Times New Roman" w:eastAsia="Times New Roman" w:hAnsi="Times New Roman" w:cs="Times New Roman"/>
          <w:sz w:val="24"/>
        </w:rPr>
        <w:t>r.o</w:t>
      </w:r>
      <w:proofErr w:type="spellEnd"/>
      <w:r>
        <w:rPr>
          <w:rFonts w:ascii="Times New Roman" w:eastAsia="Times New Roman" w:hAnsi="Times New Roman" w:cs="Times New Roman"/>
          <w:sz w:val="24"/>
        </w:rPr>
        <w:t>. (</w:t>
      </w:r>
      <w:proofErr w:type="spellStart"/>
      <w:r>
        <w:rPr>
          <w:rFonts w:ascii="Times New Roman" w:eastAsia="Times New Roman" w:hAnsi="Times New Roman" w:cs="Times New Roman"/>
          <w:sz w:val="24"/>
        </w:rPr>
        <w:t>ďalej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len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„</w:t>
      </w:r>
      <w:proofErr w:type="spellStart"/>
      <w:proofErr w:type="gramStart"/>
      <w:r>
        <w:rPr>
          <w:rFonts w:ascii="Times New Roman" w:eastAsia="Times New Roman" w:hAnsi="Times New Roman" w:cs="Times New Roman"/>
          <w:sz w:val="24"/>
        </w:rPr>
        <w:t>spoločnosť</w:t>
      </w:r>
      <w:proofErr w:type="spellEnd"/>
      <w:r>
        <w:rPr>
          <w:rFonts w:ascii="Times New Roman" w:eastAsia="Times New Roman" w:hAnsi="Times New Roman" w:cs="Times New Roman"/>
          <w:sz w:val="24"/>
        </w:rPr>
        <w:t>“</w:t>
      </w:r>
      <w:proofErr w:type="gramEnd"/>
      <w:r>
        <w:rPr>
          <w:rFonts w:ascii="Times New Roman" w:eastAsia="Times New Roman" w:hAnsi="Times New Roman" w:cs="Times New Roman"/>
          <w:sz w:val="24"/>
        </w:rPr>
        <w:t xml:space="preserve">) </w:t>
      </w:r>
    </w:p>
    <w:p w:rsidR="00CC0EBF" w:rsidRDefault="00C224F0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ab/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Sídlo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>: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Čajkovského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40, 949 11 Nitra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numPr>
          <w:ilvl w:val="0"/>
          <w:numId w:val="3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sz w:val="24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Údaje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o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konsolidovanom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celku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</w:p>
    <w:p w:rsidR="00CC0EBF" w:rsidRDefault="00C224F0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ab/>
      </w:r>
    </w:p>
    <w:p w:rsidR="00CC0EBF" w:rsidRDefault="00C224F0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ab/>
      </w:r>
      <w:proofErr w:type="spellStart"/>
      <w:r>
        <w:rPr>
          <w:rFonts w:ascii="Times New Roman" w:eastAsia="Times New Roman" w:hAnsi="Times New Roman" w:cs="Times New Roman"/>
          <w:sz w:val="24"/>
        </w:rPr>
        <w:t>Spoločnosť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nie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je </w:t>
      </w:r>
      <w:proofErr w:type="spellStart"/>
      <w:r>
        <w:rPr>
          <w:rFonts w:ascii="Times New Roman" w:eastAsia="Times New Roman" w:hAnsi="Times New Roman" w:cs="Times New Roman"/>
          <w:sz w:val="24"/>
        </w:rPr>
        <w:t>súčasťou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konsolidovaného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celku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4"/>
        </w:rPr>
        <w:t>spoločnosť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nie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je </w:t>
      </w:r>
      <w:proofErr w:type="spellStart"/>
      <w:r>
        <w:rPr>
          <w:rFonts w:ascii="Times New Roman" w:eastAsia="Times New Roman" w:hAnsi="Times New Roman" w:cs="Times New Roman"/>
          <w:sz w:val="24"/>
        </w:rPr>
        <w:t>materskou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</w:r>
      <w:proofErr w:type="spellStart"/>
      <w:r>
        <w:rPr>
          <w:rFonts w:ascii="Times New Roman" w:eastAsia="Times New Roman" w:hAnsi="Times New Roman" w:cs="Times New Roman"/>
          <w:sz w:val="24"/>
        </w:rPr>
        <w:t>účtovnou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jednotkou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numPr>
          <w:ilvl w:val="0"/>
          <w:numId w:val="4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sz w:val="24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Počet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zamestnancov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</w:p>
    <w:p w:rsidR="00CC0EBF" w:rsidRDefault="00CC0EBF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Priemerný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 w:rsidR="00E005AA">
        <w:rPr>
          <w:rFonts w:ascii="Times New Roman" w:eastAsia="Times New Roman" w:hAnsi="Times New Roman" w:cs="Times New Roman"/>
          <w:sz w:val="24"/>
        </w:rPr>
        <w:t>počet</w:t>
      </w:r>
      <w:proofErr w:type="spellEnd"/>
      <w:r w:rsidR="00E005AA"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 w:rsidR="00E005AA">
        <w:rPr>
          <w:rFonts w:ascii="Times New Roman" w:eastAsia="Times New Roman" w:hAnsi="Times New Roman" w:cs="Times New Roman"/>
          <w:sz w:val="24"/>
        </w:rPr>
        <w:t>zamestnancov</w:t>
      </w:r>
      <w:proofErr w:type="spellEnd"/>
      <w:r w:rsidR="00E005AA"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 w:rsidR="00E005AA">
        <w:rPr>
          <w:rFonts w:ascii="Times New Roman" w:eastAsia="Times New Roman" w:hAnsi="Times New Roman" w:cs="Times New Roman"/>
          <w:sz w:val="24"/>
        </w:rPr>
        <w:t>ku</w:t>
      </w:r>
      <w:proofErr w:type="spellEnd"/>
      <w:r w:rsidR="00E005AA">
        <w:rPr>
          <w:rFonts w:ascii="Times New Roman" w:eastAsia="Times New Roman" w:hAnsi="Times New Roman" w:cs="Times New Roman"/>
          <w:sz w:val="24"/>
        </w:rPr>
        <w:t xml:space="preserve"> 31.12.2022</w:t>
      </w:r>
      <w:r>
        <w:rPr>
          <w:rFonts w:ascii="Times New Roman" w:eastAsia="Times New Roman" w:hAnsi="Times New Roman" w:cs="Times New Roman"/>
          <w:sz w:val="24"/>
        </w:rPr>
        <w:t xml:space="preserve"> je 1.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numPr>
          <w:ilvl w:val="0"/>
          <w:numId w:val="5"/>
        </w:numPr>
        <w:spacing w:after="0" w:line="240" w:lineRule="auto"/>
        <w:ind w:left="1080" w:hanging="72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 PRIJATÝCH POSTUPOCH 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numPr>
          <w:ilvl w:val="0"/>
          <w:numId w:val="6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sz w:val="24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Východiská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pre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zostavenie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účtovnej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závierky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</w:p>
    <w:p w:rsidR="00CC0EBF" w:rsidRDefault="00CC0EBF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Účtovná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závierka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bola </w:t>
      </w:r>
      <w:proofErr w:type="spellStart"/>
      <w:r>
        <w:rPr>
          <w:rFonts w:ascii="Times New Roman" w:eastAsia="Times New Roman" w:hAnsi="Times New Roman" w:cs="Times New Roman"/>
          <w:sz w:val="24"/>
        </w:rPr>
        <w:t>zostavená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za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predpokladu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</w:rPr>
        <w:t>že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spoločnosť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bude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nepretržite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pokračovať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vo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svojej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činnosti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numPr>
          <w:ilvl w:val="0"/>
          <w:numId w:val="7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sz w:val="24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Spôsob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oceňovanie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jednotlivých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zložiek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majetku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záväzkov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a to 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647"/>
        <w:gridCol w:w="425"/>
      </w:tblGrid>
      <w:tr w:rsidR="00CC0EBF">
        <w:trPr>
          <w:trHeight w:val="1"/>
          <w:jc w:val="center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Obstarávacou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cenou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hmotný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majetok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s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výnimkou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hmotného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majetku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vytvoreného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vlastnou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činnosťou</w:t>
            </w:r>
            <w:proofErr w:type="spellEnd"/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X</w:t>
            </w: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zásoby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s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výnimkou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zásob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vytvorených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vlastnou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činnosťou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podiely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ZI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obchodných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spoločností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cenné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papiere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pohľadávky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odplatnom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nadobudnutí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alebo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pohľadávky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nadobudnuté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vkladom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do ZI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nehmotný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majetok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s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výnimkou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nehmotného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majetku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vytvoreného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vlastnou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činnosťou</w:t>
            </w:r>
            <w:proofErr w:type="spellEnd"/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záväzky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ich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prevzatí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647"/>
        <w:gridCol w:w="425"/>
      </w:tblGrid>
      <w:tr w:rsidR="00CC0EBF">
        <w:trPr>
          <w:trHeight w:val="1"/>
          <w:jc w:val="center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Vlastnými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nákladmi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hmotný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majetok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vytvorený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vlastnou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činnosťou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zásoby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vytvorené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vlastnou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činnosťou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nehmotný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majetok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vytvorený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vlastnou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činnosťou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príchovky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prírastky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zvierat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647"/>
        <w:gridCol w:w="425"/>
      </w:tblGrid>
      <w:tr w:rsidR="00CC0EBF">
        <w:trPr>
          <w:trHeight w:val="1"/>
          <w:jc w:val="center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Menovitou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hodnotou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lastRenderedPageBreak/>
              <w:t>peňažné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prostriedky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ceniny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X</w:t>
            </w: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pohľadávky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ich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vzniku</w:t>
            </w:r>
            <w:proofErr w:type="spellEnd"/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X</w:t>
            </w: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záväzky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ich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vzniku</w:t>
            </w:r>
            <w:proofErr w:type="spellEnd"/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X</w:t>
            </w:r>
          </w:p>
        </w:tc>
      </w:tr>
    </w:tbl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647"/>
        <w:gridCol w:w="425"/>
      </w:tblGrid>
      <w:tr w:rsidR="00CC0EBF">
        <w:trPr>
          <w:trHeight w:val="1"/>
          <w:jc w:val="center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Reálnou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hodnotou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nehmotný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hmotný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majetok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novozistený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inventarizácii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v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účtovníctve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doteraz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nezachytený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647"/>
        <w:gridCol w:w="425"/>
      </w:tblGrid>
      <w:tr w:rsidR="00CC0EBF">
        <w:trPr>
          <w:trHeight w:val="1"/>
          <w:jc w:val="center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Úbytok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zásob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rovnakého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druhu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sa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účtuje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v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ocenení</w:t>
            </w:r>
            <w:proofErr w:type="spellEnd"/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Cenou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zistenou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váženým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aritmetickým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priemerom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Metódou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FIFO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Obstarávacia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cena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zásob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rozdeľuje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cenu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ktoré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zásoby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obstarali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náklady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súvisiace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s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obstaraním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(VON).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vyskladnení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VON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rozpúšťajú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nasledovne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: VON/(PS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zásob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+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príjem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zásob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) x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výdaj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zásob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642"/>
        <w:gridCol w:w="430"/>
      </w:tblGrid>
      <w:tr w:rsidR="00CC0EBF">
        <w:trPr>
          <w:trHeight w:val="1"/>
          <w:jc w:val="center"/>
        </w:trPr>
        <w:tc>
          <w:tcPr>
            <w:tcW w:w="8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Výdavky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budúcich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období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príjmy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budúcich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období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vykazujú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výške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ktorá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je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potrebná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dodržanie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zásady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vecnej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časovej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súvislosti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s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účtovným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obdobím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. </w:t>
            </w:r>
          </w:p>
        </w:tc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C0EBF">
        <w:trPr>
          <w:trHeight w:val="1"/>
          <w:jc w:val="center"/>
        </w:trPr>
        <w:tc>
          <w:tcPr>
            <w:tcW w:w="8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Rezervy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sú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záväzky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s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neurčitým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časovým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vymedzením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alebo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výškou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;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tvoria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krytie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známych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rizík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alebo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strát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z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podnikania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Oceňujú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v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očakávanej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výške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záväzku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. </w:t>
            </w:r>
          </w:p>
        </w:tc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C0EBF">
        <w:trPr>
          <w:trHeight w:val="1"/>
          <w:jc w:val="center"/>
        </w:trPr>
        <w:tc>
          <w:tcPr>
            <w:tcW w:w="8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Prenajatý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majetok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majetok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obstaraný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základe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zmluvy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o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kúpe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prenajatej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veci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- v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ocenení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rovnajúcom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istine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náklady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súvisiace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s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obstaraním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C0EBF">
        <w:trPr>
          <w:trHeight w:val="1"/>
          <w:jc w:val="center"/>
        </w:trPr>
        <w:tc>
          <w:tcPr>
            <w:tcW w:w="8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Daň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z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príjmov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splatná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–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daň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určuje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z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účtovného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zisku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pred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zdanením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úpravách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daňové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účely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podľa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zákona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o</w:t>
            </w:r>
            <w:r w:rsidR="00712D2A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="00712D2A">
              <w:rPr>
                <w:rFonts w:ascii="Times New Roman" w:eastAsia="Times New Roman" w:hAnsi="Times New Roman" w:cs="Times New Roman"/>
                <w:sz w:val="24"/>
              </w:rPr>
              <w:t>daniach</w:t>
            </w:r>
            <w:proofErr w:type="spellEnd"/>
            <w:r w:rsidR="00712D2A">
              <w:rPr>
                <w:rFonts w:ascii="Times New Roman" w:eastAsia="Times New Roman" w:hAnsi="Times New Roman" w:cs="Times New Roman"/>
                <w:sz w:val="24"/>
              </w:rPr>
              <w:t xml:space="preserve"> z </w:t>
            </w:r>
            <w:proofErr w:type="spellStart"/>
            <w:r w:rsidR="00712D2A">
              <w:rPr>
                <w:rFonts w:ascii="Times New Roman" w:eastAsia="Times New Roman" w:hAnsi="Times New Roman" w:cs="Times New Roman"/>
                <w:sz w:val="24"/>
              </w:rPr>
              <w:t>príjmov</w:t>
            </w:r>
            <w:proofErr w:type="spellEnd"/>
            <w:r w:rsidR="00712D2A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="00712D2A">
              <w:rPr>
                <w:rFonts w:ascii="Times New Roman" w:eastAsia="Times New Roman" w:hAnsi="Times New Roman" w:cs="Times New Roman"/>
                <w:sz w:val="24"/>
              </w:rPr>
              <w:t>pri</w:t>
            </w:r>
            <w:proofErr w:type="spellEnd"/>
            <w:r w:rsidR="00712D2A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="00712D2A">
              <w:rPr>
                <w:rFonts w:ascii="Times New Roman" w:eastAsia="Times New Roman" w:hAnsi="Times New Roman" w:cs="Times New Roman"/>
                <w:sz w:val="24"/>
              </w:rPr>
              <w:t>sadzbe</w:t>
            </w:r>
            <w:proofErr w:type="spellEnd"/>
            <w:r w:rsidR="00712D2A">
              <w:rPr>
                <w:rFonts w:ascii="Times New Roman" w:eastAsia="Times New Roman" w:hAnsi="Times New Roman" w:cs="Times New Roman"/>
                <w:sz w:val="24"/>
              </w:rPr>
              <w:t xml:space="preserve"> 21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%   </w:t>
            </w:r>
          </w:p>
        </w:tc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X</w:t>
            </w:r>
          </w:p>
        </w:tc>
      </w:tr>
      <w:tr w:rsidR="00CC0EBF">
        <w:trPr>
          <w:trHeight w:val="1"/>
          <w:jc w:val="center"/>
        </w:trPr>
        <w:tc>
          <w:tcPr>
            <w:tcW w:w="8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Náklady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výnosy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časovo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rozlišujú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Časovo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nerozlišujú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náklady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výnosy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ak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ide o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nevýznamný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stále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opakujúci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prípad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týkajúci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časového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rozlíšenia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nákladov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alebo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výnosov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posledného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prvého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mesiaca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účtovného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obdobia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.  </w:t>
            </w:r>
          </w:p>
        </w:tc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X</w:t>
            </w:r>
          </w:p>
        </w:tc>
      </w:tr>
      <w:tr w:rsidR="00CC0EBF">
        <w:trPr>
          <w:trHeight w:val="1"/>
          <w:jc w:val="center"/>
        </w:trPr>
        <w:tc>
          <w:tcPr>
            <w:tcW w:w="8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Na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časového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rozlíšenia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neúčtuje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ak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ide o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nevýznamný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stále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opakujúci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prípad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ktorý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týka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účtovania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nákladov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výnosov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medzi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dvoma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účtovnými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obdobiami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pričom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nejde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o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prípad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týkajúci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účtovania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dotácií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emisných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kvót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.  </w:t>
            </w:r>
          </w:p>
        </w:tc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numPr>
          <w:ilvl w:val="0"/>
          <w:numId w:val="8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sz w:val="24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Spôsob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zostavenia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odpisového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plánu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pre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jednotlivé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druhy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dlhodobého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hmotného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nehmotného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majetku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ab/>
      </w:r>
      <w:proofErr w:type="spellStart"/>
      <w:r>
        <w:rPr>
          <w:rFonts w:ascii="Times New Roman" w:eastAsia="Times New Roman" w:hAnsi="Times New Roman" w:cs="Times New Roman"/>
          <w:sz w:val="24"/>
        </w:rPr>
        <w:t>Odpisy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dlhodobého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hmotného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majetku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sú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stanovené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vychádzajúc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z </w:t>
      </w:r>
      <w:proofErr w:type="spellStart"/>
      <w:r>
        <w:rPr>
          <w:rFonts w:ascii="Times New Roman" w:eastAsia="Times New Roman" w:hAnsi="Times New Roman" w:cs="Times New Roman"/>
          <w:sz w:val="24"/>
        </w:rPr>
        <w:t>predpokladanej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doby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jeho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používania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4"/>
        </w:rPr>
        <w:t>predpokladaného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priebehu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jeho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opotrebenia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4"/>
        </w:rPr>
        <w:t>Odpisovať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začína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v </w:t>
      </w:r>
      <w:proofErr w:type="spellStart"/>
      <w:r>
        <w:rPr>
          <w:rFonts w:ascii="Times New Roman" w:eastAsia="Times New Roman" w:hAnsi="Times New Roman" w:cs="Times New Roman"/>
          <w:sz w:val="24"/>
        </w:rPr>
        <w:t>mesiaci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, v </w:t>
      </w:r>
      <w:proofErr w:type="spellStart"/>
      <w:r>
        <w:rPr>
          <w:rFonts w:ascii="Times New Roman" w:eastAsia="Times New Roman" w:hAnsi="Times New Roman" w:cs="Times New Roman"/>
          <w:sz w:val="24"/>
        </w:rPr>
        <w:t>ktorom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bol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dlhodobý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hmotný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majetok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uvedený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do </w:t>
      </w:r>
      <w:proofErr w:type="spellStart"/>
      <w:r>
        <w:rPr>
          <w:rFonts w:ascii="Times New Roman" w:eastAsia="Times New Roman" w:hAnsi="Times New Roman" w:cs="Times New Roman"/>
          <w:sz w:val="24"/>
        </w:rPr>
        <w:t>používania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a </w:t>
      </w:r>
      <w:r>
        <w:rPr>
          <w:rFonts w:ascii="Times New Roman" w:eastAsia="Times New Roman" w:hAnsi="Times New Roman" w:cs="Times New Roman"/>
          <w:sz w:val="24"/>
        </w:rPr>
        <w:tab/>
      </w:r>
      <w:proofErr w:type="spellStart"/>
      <w:r>
        <w:rPr>
          <w:rFonts w:ascii="Times New Roman" w:eastAsia="Times New Roman" w:hAnsi="Times New Roman" w:cs="Times New Roman"/>
          <w:sz w:val="24"/>
        </w:rPr>
        <w:t>zaúčtuje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ku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dňu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ku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ktorému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sú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splnené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všetky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technické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predpoklady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potrebné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k </w:t>
      </w:r>
      <w:proofErr w:type="spellStart"/>
      <w:r>
        <w:rPr>
          <w:rFonts w:ascii="Times New Roman" w:eastAsia="Times New Roman" w:hAnsi="Times New Roman" w:cs="Times New Roman"/>
          <w:sz w:val="24"/>
        </w:rPr>
        <w:t>užívaniu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majetku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4"/>
        </w:rPr>
        <w:t>sú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splnené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všetky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povinností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stanovené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príslušnými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predpismi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4"/>
        </w:rPr>
        <w:t>Drobný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dlhodobý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hmotný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majetok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</w:rPr>
        <w:t>ktorého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obstarávacia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cena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(resp. </w:t>
      </w:r>
      <w:proofErr w:type="spellStart"/>
      <w:r>
        <w:rPr>
          <w:rFonts w:ascii="Times New Roman" w:eastAsia="Times New Roman" w:hAnsi="Times New Roman" w:cs="Times New Roman"/>
          <w:sz w:val="24"/>
        </w:rPr>
        <w:t>vlastné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náklady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) je 1 700 EUR a </w:t>
      </w:r>
      <w:proofErr w:type="spellStart"/>
      <w:r>
        <w:rPr>
          <w:rFonts w:ascii="Times New Roman" w:eastAsia="Times New Roman" w:hAnsi="Times New Roman" w:cs="Times New Roman"/>
          <w:sz w:val="24"/>
        </w:rPr>
        <w:t>nižšia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</w:rPr>
        <w:t>sa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odpisuje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jednorazovo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pri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uvedení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do </w:t>
      </w:r>
      <w:proofErr w:type="spellStart"/>
      <w:r>
        <w:rPr>
          <w:rFonts w:ascii="Times New Roman" w:eastAsia="Times New Roman" w:hAnsi="Times New Roman" w:cs="Times New Roman"/>
          <w:sz w:val="24"/>
        </w:rPr>
        <w:t>používania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4"/>
        </w:rPr>
        <w:t>Pozemky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neodpisujú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4"/>
        </w:rPr>
        <w:t>Predpokladaná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doba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používania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</w:rPr>
        <w:t>metóda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odpisovania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a </w:t>
      </w:r>
      <w:proofErr w:type="spellStart"/>
      <w:proofErr w:type="gramStart"/>
      <w:r>
        <w:rPr>
          <w:rFonts w:ascii="Times New Roman" w:eastAsia="Times New Roman" w:hAnsi="Times New Roman" w:cs="Times New Roman"/>
          <w:sz w:val="24"/>
        </w:rPr>
        <w:t>odpisová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 </w:t>
      </w:r>
      <w:proofErr w:type="spellStart"/>
      <w:r>
        <w:rPr>
          <w:rFonts w:ascii="Times New Roman" w:eastAsia="Times New Roman" w:hAnsi="Times New Roman" w:cs="Times New Roman"/>
          <w:sz w:val="24"/>
        </w:rPr>
        <w:t>sadzba</w:t>
      </w:r>
      <w:proofErr w:type="spellEnd"/>
      <w:proofErr w:type="gram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sú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uvedené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v </w:t>
      </w:r>
      <w:proofErr w:type="spellStart"/>
      <w:r>
        <w:rPr>
          <w:rFonts w:ascii="Times New Roman" w:eastAsia="Times New Roman" w:hAnsi="Times New Roman" w:cs="Times New Roman"/>
          <w:sz w:val="24"/>
        </w:rPr>
        <w:t>nasledujúcej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tabuľke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: 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03"/>
        <w:gridCol w:w="2150"/>
        <w:gridCol w:w="1444"/>
        <w:gridCol w:w="1878"/>
      </w:tblGrid>
      <w:tr w:rsidR="00CC0EBF">
        <w:trPr>
          <w:jc w:val="center"/>
        </w:trPr>
        <w:tc>
          <w:tcPr>
            <w:tcW w:w="2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C0EBF" w:rsidRDefault="00C224F0">
            <w:pPr>
              <w:spacing w:after="0" w:line="240" w:lineRule="auto"/>
              <w:jc w:val="center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Dlhodobý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hmotný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majetok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-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odpisy</w:t>
            </w:r>
            <w:proofErr w:type="spellEnd"/>
          </w:p>
        </w:tc>
        <w:tc>
          <w:tcPr>
            <w:tcW w:w="2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C0EBF" w:rsidRDefault="00C224F0">
            <w:pPr>
              <w:spacing w:after="0" w:line="240" w:lineRule="auto"/>
              <w:jc w:val="center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Predpokladaná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doba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používania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v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rokoch</w:t>
            </w:r>
            <w:proofErr w:type="spellEnd"/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C0EBF" w:rsidRDefault="00C224F0">
            <w:pPr>
              <w:spacing w:after="0" w:line="240" w:lineRule="auto"/>
              <w:jc w:val="center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Metóda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odpisovania</w:t>
            </w:r>
            <w:proofErr w:type="spellEnd"/>
          </w:p>
        </w:tc>
        <w:tc>
          <w:tcPr>
            <w:tcW w:w="1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C0EBF" w:rsidRDefault="00C224F0">
            <w:pPr>
              <w:spacing w:after="0" w:line="240" w:lineRule="auto"/>
              <w:jc w:val="center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Ročná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odpisová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sadzba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v %</w:t>
            </w:r>
          </w:p>
        </w:tc>
        <w:bookmarkStart w:id="0" w:name="_GoBack"/>
        <w:bookmarkEnd w:id="0"/>
      </w:tr>
      <w:tr w:rsidR="00CC0EBF">
        <w:trPr>
          <w:trHeight w:val="1"/>
          <w:jc w:val="center"/>
        </w:trPr>
        <w:tc>
          <w:tcPr>
            <w:tcW w:w="2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C0EBF" w:rsidRDefault="00C224F0">
            <w:pPr>
              <w:spacing w:after="0" w:line="240" w:lineRule="auto"/>
              <w:jc w:val="center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Dopravné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prostriedky</w:t>
            </w:r>
            <w:proofErr w:type="spellEnd"/>
          </w:p>
        </w:tc>
        <w:tc>
          <w:tcPr>
            <w:tcW w:w="2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C0EBF" w:rsidRDefault="00C224F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4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C0EBF" w:rsidRDefault="00C224F0">
            <w:pPr>
              <w:spacing w:after="0" w:line="240" w:lineRule="auto"/>
              <w:jc w:val="center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rovnomerná</w:t>
            </w:r>
            <w:proofErr w:type="spellEnd"/>
          </w:p>
        </w:tc>
        <w:tc>
          <w:tcPr>
            <w:tcW w:w="1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C0EBF" w:rsidRDefault="00C224F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25</w:t>
            </w:r>
          </w:p>
        </w:tc>
      </w:tr>
    </w:tbl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numPr>
          <w:ilvl w:val="0"/>
          <w:numId w:val="9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sz w:val="24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Zmeny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účtovných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zásad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účtovných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metód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 w:rsidP="00C224F0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Účtovné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metódy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4"/>
        </w:rPr>
        <w:t>všeobecné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účtovné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zásady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boli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účtovnou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jednotkou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konzistentne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aplikované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počas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celého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účtovného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obdobia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numPr>
          <w:ilvl w:val="0"/>
          <w:numId w:val="10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sz w:val="24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Informácie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o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účtovaní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významných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opráv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chýb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minulých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účtovných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období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E005AA" w:rsidP="00C224F0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V </w:t>
      </w:r>
      <w:proofErr w:type="spellStart"/>
      <w:r>
        <w:rPr>
          <w:rFonts w:ascii="Times New Roman" w:eastAsia="Times New Roman" w:hAnsi="Times New Roman" w:cs="Times New Roman"/>
          <w:sz w:val="24"/>
        </w:rPr>
        <w:t>účtovnom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období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2022</w:t>
      </w:r>
      <w:r w:rsidR="00C224F0"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 w:rsidR="00C224F0">
        <w:rPr>
          <w:rFonts w:ascii="Times New Roman" w:eastAsia="Times New Roman" w:hAnsi="Times New Roman" w:cs="Times New Roman"/>
          <w:sz w:val="24"/>
        </w:rPr>
        <w:t>spoločnosť</w:t>
      </w:r>
      <w:proofErr w:type="spellEnd"/>
      <w:r w:rsidR="00C224F0"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 w:rsidR="00C224F0">
        <w:rPr>
          <w:rFonts w:ascii="Times New Roman" w:eastAsia="Times New Roman" w:hAnsi="Times New Roman" w:cs="Times New Roman"/>
          <w:sz w:val="24"/>
        </w:rPr>
        <w:t>nevykonala</w:t>
      </w:r>
      <w:proofErr w:type="spellEnd"/>
      <w:r w:rsidR="00C224F0"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 w:rsidR="00C224F0">
        <w:rPr>
          <w:rFonts w:ascii="Times New Roman" w:eastAsia="Times New Roman" w:hAnsi="Times New Roman" w:cs="Times New Roman"/>
          <w:sz w:val="24"/>
        </w:rPr>
        <w:t>opravu</w:t>
      </w:r>
      <w:proofErr w:type="spellEnd"/>
      <w:r w:rsidR="00C224F0"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 w:rsidR="00C224F0">
        <w:rPr>
          <w:rFonts w:ascii="Times New Roman" w:eastAsia="Times New Roman" w:hAnsi="Times New Roman" w:cs="Times New Roman"/>
          <w:sz w:val="24"/>
        </w:rPr>
        <w:t>chýb</w:t>
      </w:r>
      <w:proofErr w:type="spellEnd"/>
      <w:r w:rsidR="00C224F0"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 w:rsidR="00C224F0">
        <w:rPr>
          <w:rFonts w:ascii="Times New Roman" w:eastAsia="Times New Roman" w:hAnsi="Times New Roman" w:cs="Times New Roman"/>
          <w:sz w:val="24"/>
        </w:rPr>
        <w:t>minulých</w:t>
      </w:r>
      <w:proofErr w:type="spellEnd"/>
      <w:r w:rsidR="00C224F0"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 w:rsidR="00C224F0">
        <w:rPr>
          <w:rFonts w:ascii="Times New Roman" w:eastAsia="Times New Roman" w:hAnsi="Times New Roman" w:cs="Times New Roman"/>
          <w:sz w:val="24"/>
        </w:rPr>
        <w:t>účtovných</w:t>
      </w:r>
      <w:proofErr w:type="spellEnd"/>
      <w:r w:rsidR="00C224F0"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 w:rsidR="00C224F0">
        <w:rPr>
          <w:rFonts w:ascii="Times New Roman" w:eastAsia="Times New Roman" w:hAnsi="Times New Roman" w:cs="Times New Roman"/>
          <w:sz w:val="24"/>
        </w:rPr>
        <w:t>období</w:t>
      </w:r>
      <w:proofErr w:type="spellEnd"/>
      <w:r w:rsidR="00C224F0">
        <w:rPr>
          <w:rFonts w:ascii="Times New Roman" w:eastAsia="Times New Roman" w:hAnsi="Times New Roman" w:cs="Times New Roman"/>
          <w:sz w:val="24"/>
        </w:rPr>
        <w:t>.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numPr>
          <w:ilvl w:val="0"/>
          <w:numId w:val="11"/>
        </w:numPr>
        <w:spacing w:after="0" w:line="240" w:lineRule="auto"/>
        <w:ind w:left="1080" w:hanging="72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INFORMÁCIE, KTORÉ VYSVETĽUJÚ A DOPĹŇAJÚ SÚVAHU </w:t>
      </w:r>
      <w:proofErr w:type="gramStart"/>
      <w:r>
        <w:rPr>
          <w:rFonts w:ascii="Times New Roman" w:eastAsia="Times New Roman" w:hAnsi="Times New Roman" w:cs="Times New Roman"/>
          <w:b/>
          <w:sz w:val="24"/>
        </w:rPr>
        <w:t>A</w:t>
      </w:r>
      <w:proofErr w:type="gramEnd"/>
      <w:r>
        <w:rPr>
          <w:rFonts w:ascii="Times New Roman" w:eastAsia="Times New Roman" w:hAnsi="Times New Roman" w:cs="Times New Roman"/>
          <w:b/>
          <w:sz w:val="24"/>
        </w:rPr>
        <w:t xml:space="preserve"> VÝKAZ ZISKOV A STRÁT 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numPr>
          <w:ilvl w:val="0"/>
          <w:numId w:val="12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sz w:val="24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Informácie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o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záväzkoch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tbl>
      <w:tblPr>
        <w:tblW w:w="0" w:type="auto"/>
        <w:tblInd w:w="704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670"/>
        <w:gridCol w:w="2682"/>
      </w:tblGrid>
      <w:tr w:rsidR="00CC0EBF">
        <w:trPr>
          <w:trHeight w:val="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  <w:jc w:val="center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Názov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položky</w:t>
            </w:r>
            <w:proofErr w:type="spellEnd"/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  <w:jc w:val="center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Bežné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účtovné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obdobie</w:t>
            </w:r>
            <w:proofErr w:type="spellEnd"/>
          </w:p>
        </w:tc>
      </w:tr>
      <w:tr w:rsidR="00CC0EBF">
        <w:trPr>
          <w:trHeight w:val="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Dlhodobé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záväzky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spolu</w:t>
            </w:r>
            <w:proofErr w:type="spellEnd"/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</w:tr>
      <w:tr w:rsidR="00CC0EBF">
        <w:trPr>
          <w:trHeight w:val="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Záväzky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so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zostatkovou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dobou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splatnosti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nad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päť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rokov</w:t>
            </w:r>
            <w:proofErr w:type="spellEnd"/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</w:tr>
      <w:tr w:rsidR="00CC0EBF">
        <w:trPr>
          <w:trHeight w:val="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Záväzky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so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zostatkovou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dobou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splatnosti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jeden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rok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až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päť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rokov</w:t>
            </w:r>
            <w:proofErr w:type="spellEnd"/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</w:tr>
      <w:tr w:rsidR="00CC0EBF">
        <w:trPr>
          <w:trHeight w:val="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Krátkodobé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záväzky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spolu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           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E005AA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42</w:t>
            </w:r>
          </w:p>
        </w:tc>
      </w:tr>
      <w:tr w:rsidR="00CC0EBF">
        <w:trPr>
          <w:trHeight w:val="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Záväzky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so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zostatkovou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dobou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splatnosti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do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jedného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roka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vrátane</w:t>
            </w:r>
            <w:proofErr w:type="spellEnd"/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E005AA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42</w:t>
            </w:r>
          </w:p>
        </w:tc>
      </w:tr>
      <w:tr w:rsidR="00CC0EBF">
        <w:trPr>
          <w:trHeight w:val="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Záväzky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lehote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splatnosti</w:t>
            </w:r>
            <w:proofErr w:type="spellEnd"/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</w:tr>
    </w:tbl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numPr>
          <w:ilvl w:val="0"/>
          <w:numId w:val="13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sz w:val="24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Informácie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o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povinnostiach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účtovnej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jednotky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224F0" w:rsidRDefault="00C224F0" w:rsidP="00C224F0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Vzhľadom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na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to, </w:t>
      </w:r>
      <w:proofErr w:type="spellStart"/>
      <w:r>
        <w:rPr>
          <w:rFonts w:ascii="Times New Roman" w:eastAsia="Times New Roman" w:hAnsi="Times New Roman" w:cs="Times New Roman"/>
          <w:sz w:val="24"/>
        </w:rPr>
        <w:t>že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mnohé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oblasti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slovenského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daňového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práva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doteraz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neboli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CC0EBF" w:rsidRDefault="00C224F0" w:rsidP="00C224F0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dostatočne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overené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praxou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</w:rPr>
        <w:t>existuje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neistota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v tom, </w:t>
      </w:r>
      <w:proofErr w:type="spellStart"/>
      <w:r>
        <w:rPr>
          <w:rFonts w:ascii="Times New Roman" w:eastAsia="Times New Roman" w:hAnsi="Times New Roman" w:cs="Times New Roman"/>
          <w:sz w:val="24"/>
        </w:rPr>
        <w:t>ako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ich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budú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daňové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orgány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aplikovať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4"/>
        </w:rPr>
        <w:t>Mieru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tejto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neistoty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nie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je </w:t>
      </w:r>
      <w:proofErr w:type="spellStart"/>
      <w:r>
        <w:rPr>
          <w:rFonts w:ascii="Times New Roman" w:eastAsia="Times New Roman" w:hAnsi="Times New Roman" w:cs="Times New Roman"/>
          <w:sz w:val="24"/>
        </w:rPr>
        <w:t>možné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kvantifikovať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4"/>
        </w:rPr>
        <w:t>zanikne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až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potom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</w:rPr>
        <w:t>keď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budú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k </w:t>
      </w:r>
      <w:proofErr w:type="spellStart"/>
      <w:r>
        <w:rPr>
          <w:rFonts w:ascii="Times New Roman" w:eastAsia="Times New Roman" w:hAnsi="Times New Roman" w:cs="Times New Roman"/>
          <w:sz w:val="24"/>
        </w:rPr>
        <w:t>dispozícii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právne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precedensy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</w:rPr>
        <w:t>prípadne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oficiálne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interpretácie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príslušných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orgánov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4"/>
        </w:rPr>
        <w:t>Vedenie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Spoločnosti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nie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je </w:t>
      </w:r>
      <w:proofErr w:type="spellStart"/>
      <w:r>
        <w:rPr>
          <w:rFonts w:ascii="Times New Roman" w:eastAsia="Times New Roman" w:hAnsi="Times New Roman" w:cs="Times New Roman"/>
          <w:sz w:val="24"/>
        </w:rPr>
        <w:t>vedomé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žiadnych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okolností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, v </w:t>
      </w:r>
      <w:proofErr w:type="spellStart"/>
      <w:r>
        <w:rPr>
          <w:rFonts w:ascii="Times New Roman" w:eastAsia="Times New Roman" w:hAnsi="Times New Roman" w:cs="Times New Roman"/>
          <w:sz w:val="24"/>
        </w:rPr>
        <w:t>dôsledku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ktorých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by </w:t>
      </w:r>
      <w:proofErr w:type="spellStart"/>
      <w:r>
        <w:rPr>
          <w:rFonts w:ascii="Times New Roman" w:eastAsia="Times New Roman" w:hAnsi="Times New Roman" w:cs="Times New Roman"/>
          <w:sz w:val="24"/>
        </w:rPr>
        <w:t>jej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vznikol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významný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náklad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</w:t>
      </w:r>
    </w:p>
    <w:p w:rsidR="00CC0EBF" w:rsidRDefault="00CC0EB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CC0EBF" w:rsidRDefault="00CC0EBF">
      <w:pPr>
        <w:spacing w:after="0" w:line="240" w:lineRule="auto"/>
        <w:rPr>
          <w:rFonts w:ascii="Calibri" w:eastAsia="Calibri" w:hAnsi="Calibri" w:cs="Calibri"/>
          <w:sz w:val="24"/>
        </w:rPr>
      </w:pPr>
    </w:p>
    <w:sectPr w:rsidR="00CC0EBF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C250FD"/>
    <w:multiLevelType w:val="multilevel"/>
    <w:tmpl w:val="933AC3C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289F0ADA"/>
    <w:multiLevelType w:val="multilevel"/>
    <w:tmpl w:val="12140E7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3A093512"/>
    <w:multiLevelType w:val="multilevel"/>
    <w:tmpl w:val="76EEE57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3C6B180B"/>
    <w:multiLevelType w:val="multilevel"/>
    <w:tmpl w:val="190A074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3D77514F"/>
    <w:multiLevelType w:val="multilevel"/>
    <w:tmpl w:val="0B6693F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40E250FD"/>
    <w:multiLevelType w:val="multilevel"/>
    <w:tmpl w:val="833C0A9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566232BD"/>
    <w:multiLevelType w:val="multilevel"/>
    <w:tmpl w:val="6142A34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61EF6C08"/>
    <w:multiLevelType w:val="multilevel"/>
    <w:tmpl w:val="616AB9F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65BB11E9"/>
    <w:multiLevelType w:val="multilevel"/>
    <w:tmpl w:val="872E777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6E5A4905"/>
    <w:multiLevelType w:val="multilevel"/>
    <w:tmpl w:val="0BD6789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72643491"/>
    <w:multiLevelType w:val="multilevel"/>
    <w:tmpl w:val="B0E61D3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77430FE6"/>
    <w:multiLevelType w:val="multilevel"/>
    <w:tmpl w:val="5272421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786222EF"/>
    <w:multiLevelType w:val="multilevel"/>
    <w:tmpl w:val="CE6CA58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6"/>
  </w:num>
  <w:num w:numId="2">
    <w:abstractNumId w:val="10"/>
  </w:num>
  <w:num w:numId="3">
    <w:abstractNumId w:val="4"/>
  </w:num>
  <w:num w:numId="4">
    <w:abstractNumId w:val="11"/>
  </w:num>
  <w:num w:numId="5">
    <w:abstractNumId w:val="12"/>
  </w:num>
  <w:num w:numId="6">
    <w:abstractNumId w:val="7"/>
  </w:num>
  <w:num w:numId="7">
    <w:abstractNumId w:val="5"/>
  </w:num>
  <w:num w:numId="8">
    <w:abstractNumId w:val="3"/>
  </w:num>
  <w:num w:numId="9">
    <w:abstractNumId w:val="1"/>
  </w:num>
  <w:num w:numId="10">
    <w:abstractNumId w:val="0"/>
  </w:num>
  <w:num w:numId="11">
    <w:abstractNumId w:val="9"/>
  </w:num>
  <w:num w:numId="12">
    <w:abstractNumId w:val="2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0EBF"/>
    <w:rsid w:val="00127FD3"/>
    <w:rsid w:val="0029347E"/>
    <w:rsid w:val="00712D2A"/>
    <w:rsid w:val="00BA4474"/>
    <w:rsid w:val="00C224F0"/>
    <w:rsid w:val="00CC0EBF"/>
    <w:rsid w:val="00E005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85550E"/>
  <w15:docId w15:val="{7D84F243-540F-458F-87CC-24DDBD28FD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761</Words>
  <Characters>4343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samkomario</dc:creator>
  <cp:lastModifiedBy>samkomario</cp:lastModifiedBy>
  <cp:revision>5</cp:revision>
  <dcterms:created xsi:type="dcterms:W3CDTF">2022-01-23T16:18:00Z</dcterms:created>
  <dcterms:modified xsi:type="dcterms:W3CDTF">2023-02-12T12:47:00Z</dcterms:modified>
</cp:coreProperties>
</file>