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22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FFFFFF" w:val="clear"/>
        </w:rPr>
        <w:t xml:space="preserve">50138383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     DIČ 2120184308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JaHi Group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Mlynská 28 040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23.1.2016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1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ňovala nak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úpený dlhodobý majetok cenou obstarania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sú rozdielne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39"/>
        <w:gridCol w:w="4523"/>
      </w:tblGrid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83 528,71</w:t>
            </w:r>
          </w:p>
        </w:tc>
      </w:tr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85 178,30</w:t>
            </w:r>
          </w:p>
        </w:tc>
      </w:tr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102,03</w:t>
            </w:r>
          </w:p>
        </w:tc>
      </w:tr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2 307,13</w:t>
            </w:r>
          </w:p>
        </w:tc>
      </w:tr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Dane a poplatky</w:t>
            </w: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324</w:t>
            </w:r>
          </w:p>
        </w:tc>
      </w:tr>
      <w:tr>
        <w:trPr>
          <w:trHeight w:val="1" w:hRule="atLeast"/>
          <w:jc w:val="left"/>
        </w:trPr>
        <w:tc>
          <w:tcPr>
            <w:tcW w:w="45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2"/>
        <w:gridCol w:w="4530"/>
      </w:tblGrid>
      <w:tr>
        <w:trPr>
          <w:trHeight w:val="1" w:hRule="atLeast"/>
          <w:jc w:val="left"/>
        </w:trPr>
        <w:tc>
          <w:tcPr>
            <w:tcW w:w="4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174 087,50</w:t>
            </w:r>
          </w:p>
        </w:tc>
      </w:tr>
      <w:tr>
        <w:trPr>
          <w:trHeight w:val="70" w:hRule="auto"/>
          <w:jc w:val="left"/>
        </w:trPr>
        <w:tc>
          <w:tcPr>
            <w:tcW w:w="4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z hosp.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</w:t>
            </w:r>
          </w:p>
        </w:tc>
        <w:tc>
          <w:tcPr>
            <w:tcW w:w="45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45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3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570,29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Martina Il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čík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 si vrátil časť  požičky z predošlých rokov.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