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5160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5160B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MC Montana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B1697">
        <w:rPr>
          <w:b/>
          <w:sz w:val="24"/>
          <w:szCs w:val="24"/>
        </w:rPr>
        <w:t>56</w:t>
      </w:r>
      <w:r w:rsidR="00CB1697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B1697">
        <w:rPr>
          <w:b/>
          <w:sz w:val="24"/>
          <w:szCs w:val="24"/>
        </w:rPr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52608565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2121089168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F5160B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 xml:space="preserve">52608565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F12C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dlhodobý majetok je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B1697" w:rsidRDefault="00DA1C37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11413">
        <w:rPr>
          <w:sz w:val="24"/>
          <w:szCs w:val="24"/>
          <w:u w:val="single"/>
        </w:rPr>
        <w:t xml:space="preserve">, </w:t>
      </w:r>
      <w:r w:rsidR="00311413">
        <w:rPr>
          <w:sz w:val="24"/>
          <w:szCs w:val="24"/>
        </w:rPr>
        <w:t>sklad sa účtuje spôsobom B</w:t>
      </w:r>
    </w:p>
    <w:p w:rsidR="00311413" w:rsidRPr="00A956A3" w:rsidRDefault="00311413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F5160B">
        <w:rPr>
          <w:sz w:val="24"/>
          <w:szCs w:val="24"/>
          <w:u w:val="single"/>
        </w:rPr>
        <w:t xml:space="preserve"> rovnomerný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B1697">
        <w:rPr>
          <w:sz w:val="20"/>
          <w:szCs w:val="20"/>
        </w:rPr>
        <w:t>2121089168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5160B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97F90-CDC0-4293-8E14-F3D167D9E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2023-02-18T15:42:00Z</dcterms:created>
  <dcterms:modified xsi:type="dcterms:W3CDTF">2023-02-18T15:42:00Z</dcterms:modified>
</cp:coreProperties>
</file>