
<file path=[Content_Types].xml><?xml version="1.0" encoding="utf-8"?>
<Types xmlns="http://schemas.openxmlformats.org/package/2006/content-types">
  <Default Extension="emf" ContentType="image/x-emf"/>
  <Default Extension="xls" ContentType="application/vnd.ms-exce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32FA0" w:rsidRDefault="00132FA0" w:rsidP="00132FA0">
      <w:pPr>
        <w:pStyle w:val="Nadpis1"/>
      </w:pPr>
      <w:r>
        <w:t>ZÁkladnÉ Údaje o  účtovnej jednotke</w:t>
      </w:r>
    </w:p>
    <w:p w:rsidR="00132FA0" w:rsidRDefault="00132FA0" w:rsidP="00132FA0">
      <w:pPr>
        <w:pStyle w:val="Zkladntext"/>
      </w:pPr>
    </w:p>
    <w:p w:rsidR="00132FA0" w:rsidRDefault="00132FA0" w:rsidP="00132FA0">
      <w:pPr>
        <w:pStyle w:val="Nadpis2"/>
      </w:pPr>
      <w:r>
        <w:t>Obchodné meno a sídlo spoločnosti:</w:t>
      </w:r>
    </w:p>
    <w:p w:rsidR="00132FA0" w:rsidRDefault="00132FA0" w:rsidP="00132FA0">
      <w:pPr>
        <w:pStyle w:val="Zkladntext"/>
      </w:pPr>
    </w:p>
    <w:p w:rsidR="00132FA0" w:rsidRDefault="005F63B3" w:rsidP="00132FA0">
      <w:pPr>
        <w:pStyle w:val="Zkladntext"/>
      </w:pPr>
      <w:r>
        <w:t xml:space="preserve">PAMIKO </w:t>
      </w:r>
      <w:proofErr w:type="spellStart"/>
      <w:r>
        <w:t>s.r.o</w:t>
      </w:r>
      <w:proofErr w:type="spellEnd"/>
      <w:r>
        <w:t>.-</w:t>
      </w:r>
      <w:r w:rsidR="009A45C7">
        <w:t xml:space="preserve">  </w:t>
      </w:r>
      <w:r w:rsidRPr="009A45C7">
        <w:rPr>
          <w:b/>
        </w:rPr>
        <w:t>zriaďovateľ S</w:t>
      </w:r>
      <w:r w:rsidR="009A45C7">
        <w:rPr>
          <w:b/>
        </w:rPr>
        <w:t xml:space="preserve">úkromnej </w:t>
      </w:r>
      <w:bookmarkStart w:id="0" w:name="_GoBack"/>
      <w:bookmarkEnd w:id="0"/>
      <w:r w:rsidRPr="009A45C7">
        <w:rPr>
          <w:b/>
        </w:rPr>
        <w:t>SOŠ</w:t>
      </w:r>
    </w:p>
    <w:p w:rsidR="00132FA0" w:rsidRDefault="005F63B3" w:rsidP="00132FA0">
      <w:pPr>
        <w:pStyle w:val="Zkladntext"/>
      </w:pPr>
      <w:proofErr w:type="spellStart"/>
      <w:r>
        <w:t>Kukučínová</w:t>
      </w:r>
      <w:proofErr w:type="spellEnd"/>
      <w:r>
        <w:t xml:space="preserve"> 23</w:t>
      </w:r>
      <w:r w:rsidR="00E1496A">
        <w:t xml:space="preserve"> </w:t>
      </w:r>
    </w:p>
    <w:p w:rsidR="00132FA0" w:rsidRDefault="00132FA0" w:rsidP="00132FA0">
      <w:pPr>
        <w:pStyle w:val="Zkladntext"/>
      </w:pPr>
      <w:r>
        <w:t>040 01 Košice</w:t>
      </w:r>
    </w:p>
    <w:p w:rsidR="00132FA0" w:rsidRDefault="00132FA0" w:rsidP="00132FA0">
      <w:pPr>
        <w:pStyle w:val="Zkladntext"/>
      </w:pPr>
    </w:p>
    <w:p w:rsidR="00132FA0" w:rsidRDefault="00132FA0" w:rsidP="00132FA0">
      <w:pPr>
        <w:pStyle w:val="Zkladntext"/>
      </w:pPr>
      <w:r>
        <w:t xml:space="preserve">Spoločnosť </w:t>
      </w:r>
      <w:r w:rsidR="005F63B3">
        <w:t>PAMIKO</w:t>
      </w:r>
      <w:r>
        <w:t xml:space="preserve"> s </w:t>
      </w:r>
      <w:proofErr w:type="spellStart"/>
      <w:r>
        <w:t>r.o</w:t>
      </w:r>
      <w:proofErr w:type="spellEnd"/>
      <w:r>
        <w:t>.</w:t>
      </w:r>
      <w:r w:rsidR="005F63B3">
        <w:t>-zriaďovateľ SSOŠ</w:t>
      </w:r>
      <w:r>
        <w:t xml:space="preserve"> , bola založená </w:t>
      </w:r>
      <w:r w:rsidR="008167EF">
        <w:t>spoločenskou</w:t>
      </w:r>
      <w:r>
        <w:t xml:space="preserve"> zmluvou </w:t>
      </w:r>
      <w:r w:rsidR="008167EF">
        <w:t>zo</w:t>
      </w:r>
      <w:r>
        <w:t xml:space="preserve">  dňa  </w:t>
      </w:r>
      <w:r w:rsidR="008167EF">
        <w:t>30</w:t>
      </w:r>
      <w:r>
        <w:t>.</w:t>
      </w:r>
      <w:r w:rsidR="008167EF">
        <w:t>augusta</w:t>
      </w:r>
      <w:r>
        <w:t xml:space="preserve"> 199</w:t>
      </w:r>
      <w:r w:rsidR="008167EF">
        <w:t>4</w:t>
      </w:r>
      <w:r>
        <w:t xml:space="preserve"> </w:t>
      </w:r>
      <w:r w:rsidR="008167EF">
        <w:t xml:space="preserve">v zmysle zákona ť.513/91 </w:t>
      </w:r>
      <w:proofErr w:type="spellStart"/>
      <w:r w:rsidR="008167EF">
        <w:t>Zb.</w:t>
      </w:r>
      <w:r>
        <w:t>a</w:t>
      </w:r>
      <w:proofErr w:type="spellEnd"/>
      <w:r>
        <w:t xml:space="preserve"> do obchodného registra bola zapísaná </w:t>
      </w:r>
      <w:r w:rsidR="008167EF">
        <w:t>10</w:t>
      </w:r>
      <w:r>
        <w:t xml:space="preserve">. </w:t>
      </w:r>
      <w:r w:rsidR="008167EF">
        <w:t>novembra</w:t>
      </w:r>
      <w:r>
        <w:t xml:space="preserve"> 199</w:t>
      </w:r>
      <w:r w:rsidR="008167EF">
        <w:t>4</w:t>
      </w:r>
      <w:r>
        <w:t xml:space="preserve"> (Obchodný register Okresného súdu Košice  I v Košiciach, oddiel </w:t>
      </w:r>
      <w:proofErr w:type="spellStart"/>
      <w:r>
        <w:t>s.r.o</w:t>
      </w:r>
      <w:proofErr w:type="spellEnd"/>
      <w:r>
        <w:t xml:space="preserve">., vložka </w:t>
      </w:r>
      <w:r w:rsidR="008167EF">
        <w:t>5413</w:t>
      </w:r>
      <w:r>
        <w:t xml:space="preserve">/V). </w:t>
      </w:r>
    </w:p>
    <w:p w:rsidR="00132FA0" w:rsidRDefault="00132FA0" w:rsidP="00132FA0"/>
    <w:p w:rsidR="00132FA0" w:rsidRDefault="00132FA0" w:rsidP="00132FA0">
      <w:pPr>
        <w:pStyle w:val="Nadpis2"/>
      </w:pPr>
      <w:r>
        <w:t>Hlavnými činnosťami Spoločnosti sú:</w:t>
      </w:r>
    </w:p>
    <w:p w:rsidR="00132FA0" w:rsidRDefault="00132FA0" w:rsidP="00132FA0"/>
    <w:p w:rsidR="00132FA0" w:rsidRDefault="005F63B3" w:rsidP="00132FA0">
      <w:pPr>
        <w:pStyle w:val="Zkladntext"/>
        <w:numPr>
          <w:ilvl w:val="0"/>
          <w:numId w:val="13"/>
        </w:numPr>
      </w:pPr>
      <w:r>
        <w:t>Zria</w:t>
      </w:r>
      <w:r w:rsidR="00CE5C71">
        <w:t>ďovateľ</w:t>
      </w:r>
      <w:r>
        <w:t xml:space="preserve"> Strednej odbornej školy </w:t>
      </w:r>
    </w:p>
    <w:p w:rsidR="00132FA0" w:rsidRDefault="00132FA0" w:rsidP="00132FA0">
      <w:pPr>
        <w:pStyle w:val="Zkladntext"/>
      </w:pPr>
    </w:p>
    <w:p w:rsidR="00132FA0" w:rsidRDefault="00132FA0" w:rsidP="00132FA0">
      <w:pPr>
        <w:pStyle w:val="Zkladntext"/>
      </w:pPr>
    </w:p>
    <w:p w:rsidR="00132FA0" w:rsidRDefault="00132FA0" w:rsidP="00132FA0">
      <w:pPr>
        <w:pStyle w:val="Nadpis2"/>
      </w:pPr>
      <w:r>
        <w:t xml:space="preserve">Priemerný počet zamestnancov </w:t>
      </w:r>
    </w:p>
    <w:p w:rsidR="00132FA0" w:rsidRDefault="00132FA0" w:rsidP="00132FA0"/>
    <w:p w:rsidR="00132FA0" w:rsidRDefault="00132FA0" w:rsidP="00132FA0">
      <w:pPr>
        <w:pStyle w:val="Zkladntext"/>
      </w:pPr>
      <w:r>
        <w:t>Priemerný počet zamestnancov Spoločnosti v roku 20</w:t>
      </w:r>
      <w:r w:rsidR="00CE5C71">
        <w:t>2</w:t>
      </w:r>
      <w:r w:rsidR="00440D97">
        <w:t>2</w:t>
      </w:r>
      <w:r>
        <w:t xml:space="preserve"> bol 0, (v roku 20</w:t>
      </w:r>
      <w:r w:rsidR="00171C96">
        <w:t>2</w:t>
      </w:r>
      <w:r w:rsidR="00CA7B5A">
        <w:t xml:space="preserve">1 </w:t>
      </w:r>
      <w:r>
        <w:t>bol 0).</w:t>
      </w:r>
    </w:p>
    <w:p w:rsidR="00132FA0" w:rsidRDefault="00132FA0" w:rsidP="00132FA0">
      <w:pPr>
        <w:pStyle w:val="Zkladntext"/>
      </w:pPr>
    </w:p>
    <w:p w:rsidR="00132FA0" w:rsidRDefault="00132FA0" w:rsidP="00132FA0">
      <w:pPr>
        <w:pStyle w:val="Nadpis2"/>
      </w:pPr>
      <w:r>
        <w:t>Právny dôvod na zostavenie účtovnej závierky</w:t>
      </w:r>
    </w:p>
    <w:p w:rsidR="00132FA0" w:rsidRDefault="00132FA0" w:rsidP="00132FA0"/>
    <w:p w:rsidR="00132FA0" w:rsidRDefault="00132FA0" w:rsidP="00132FA0">
      <w:pPr>
        <w:pStyle w:val="Zkladntext"/>
        <w:ind w:hanging="426"/>
      </w:pPr>
      <w:r>
        <w:tab/>
        <w:t>Účtovná závierka Spoločnosti k 31. decembru 20</w:t>
      </w:r>
      <w:r w:rsidR="00CE5C71">
        <w:t>2</w:t>
      </w:r>
      <w:r w:rsidR="00440D97">
        <w:t>2</w:t>
      </w:r>
      <w:r>
        <w:t xml:space="preserve"> je zostavená ako riadna účtovná závierka podľa § 17 ods. 6 zákona NR SR č. 431/2002 Z. z. o účtovníctve, za účtovné obdobie od 1. januára 20</w:t>
      </w:r>
      <w:r w:rsidR="00CE5C71">
        <w:t>2</w:t>
      </w:r>
      <w:r w:rsidR="00440D97">
        <w:t>2</w:t>
      </w:r>
      <w:r>
        <w:t xml:space="preserve"> do 31. decembra 20</w:t>
      </w:r>
      <w:r w:rsidR="00CE5C71">
        <w:t>2</w:t>
      </w:r>
      <w:r w:rsidR="00440D97">
        <w:t>2</w:t>
      </w:r>
      <w:r>
        <w:t>.</w:t>
      </w:r>
    </w:p>
    <w:p w:rsidR="00132FA0" w:rsidRDefault="00132FA0" w:rsidP="00132FA0">
      <w:pPr>
        <w:pStyle w:val="Zkladntext"/>
        <w:ind w:hanging="426"/>
      </w:pPr>
    </w:p>
    <w:p w:rsidR="00132FA0" w:rsidRDefault="00132FA0" w:rsidP="00132FA0">
      <w:pPr>
        <w:pStyle w:val="Nadpis2"/>
      </w:pPr>
      <w:r>
        <w:t>Dátum schválenia účtovnej závierky za predchádzajúce účtovné obdobie</w:t>
      </w:r>
    </w:p>
    <w:p w:rsidR="00132FA0" w:rsidRDefault="00132FA0" w:rsidP="00132FA0"/>
    <w:p w:rsidR="00132FA0" w:rsidRDefault="00132FA0" w:rsidP="00132FA0">
      <w:pPr>
        <w:pStyle w:val="Zkladntext"/>
        <w:ind w:hanging="426"/>
      </w:pPr>
      <w:r>
        <w:tab/>
        <w:t>Účtovná závierka Spoločnosti k 31. decembru 20</w:t>
      </w:r>
      <w:r w:rsidR="00171C96">
        <w:t>2</w:t>
      </w:r>
      <w:r w:rsidR="00440D97">
        <w:t>1</w:t>
      </w:r>
      <w:r>
        <w:t xml:space="preserve">,  </w:t>
      </w:r>
      <w:proofErr w:type="spellStart"/>
      <w:r>
        <w:t>t.j</w:t>
      </w:r>
      <w:proofErr w:type="spellEnd"/>
      <w:r>
        <w:t xml:space="preserve">. za predchádzajúce účtovné obdobie, bola schválená rozhodnutím spoločníkov  Spoločnosti nahradzujúceho  konanie valného zhromaždenia dňa. </w:t>
      </w:r>
      <w:r w:rsidR="00432FD4">
        <w:t>31</w:t>
      </w:r>
      <w:r>
        <w:t>.3.20</w:t>
      </w:r>
      <w:r w:rsidR="00CE5C71">
        <w:t>2</w:t>
      </w:r>
      <w:r w:rsidR="00440D97">
        <w:t>2</w:t>
      </w:r>
      <w:r>
        <w:t xml:space="preserve">. </w:t>
      </w:r>
    </w:p>
    <w:p w:rsidR="00132FA0" w:rsidRDefault="00132FA0" w:rsidP="00132FA0">
      <w:pPr>
        <w:pStyle w:val="Zkladntext"/>
      </w:pPr>
    </w:p>
    <w:p w:rsidR="00132FA0" w:rsidRDefault="00132FA0" w:rsidP="00132FA0">
      <w:pPr>
        <w:pStyle w:val="Nadpis1"/>
      </w:pPr>
      <w:r>
        <w:t>Informácie o orgánoch účtovnej jednotky</w:t>
      </w:r>
    </w:p>
    <w:p w:rsidR="00132FA0" w:rsidRDefault="00132FA0" w:rsidP="00132FA0"/>
    <w:p w:rsidR="00132FA0" w:rsidRPr="005F63B3" w:rsidRDefault="00132FA0" w:rsidP="00132FA0">
      <w:pPr>
        <w:pStyle w:val="Zkladntext"/>
      </w:pPr>
      <w:r>
        <w:tab/>
      </w:r>
      <w:r>
        <w:tab/>
      </w:r>
      <w:proofErr w:type="spellStart"/>
      <w:r w:rsidR="005F63B3">
        <w:t>Mgr.Vojtech</w:t>
      </w:r>
      <w:proofErr w:type="spellEnd"/>
      <w:r w:rsidR="005F63B3">
        <w:t xml:space="preserve"> </w:t>
      </w:r>
      <w:proofErr w:type="spellStart"/>
      <w:r w:rsidR="005F63B3">
        <w:t>Papinčák</w:t>
      </w:r>
      <w:proofErr w:type="spellEnd"/>
      <w:r w:rsidR="005F63B3">
        <w:t xml:space="preserve">           </w:t>
      </w:r>
      <w:r w:rsidR="005F63B3" w:rsidRPr="005F63B3">
        <w:t>štatutárny orgán</w:t>
      </w:r>
    </w:p>
    <w:p w:rsidR="005F63B3" w:rsidRPr="005F63B3" w:rsidRDefault="005F63B3" w:rsidP="00132FA0">
      <w:pPr>
        <w:pStyle w:val="Zkladntext"/>
      </w:pPr>
      <w:r w:rsidRPr="005F63B3">
        <w:t xml:space="preserve">                      Mgr. Juraj </w:t>
      </w:r>
      <w:proofErr w:type="spellStart"/>
      <w:r w:rsidRPr="005F63B3">
        <w:t>Mihalík</w:t>
      </w:r>
      <w:proofErr w:type="spellEnd"/>
      <w:r w:rsidRPr="005F63B3">
        <w:t xml:space="preserve">                  štatutárny orgán</w:t>
      </w:r>
    </w:p>
    <w:p w:rsidR="00132FA0" w:rsidRDefault="00132FA0" w:rsidP="00132FA0">
      <w:pPr>
        <w:pStyle w:val="Zkladntext"/>
      </w:pPr>
      <w:r>
        <w:tab/>
      </w:r>
      <w:r>
        <w:tab/>
      </w:r>
      <w:r>
        <w:tab/>
      </w:r>
    </w:p>
    <w:p w:rsidR="00132FA0" w:rsidRDefault="00132FA0" w:rsidP="00132FA0">
      <w:pPr>
        <w:pStyle w:val="Zkladntext"/>
      </w:pPr>
      <w:r>
        <w:tab/>
      </w:r>
      <w:r>
        <w:tab/>
      </w:r>
      <w:r>
        <w:tab/>
      </w:r>
    </w:p>
    <w:p w:rsidR="00132FA0" w:rsidRDefault="00132FA0" w:rsidP="00132FA0">
      <w:pPr>
        <w:pStyle w:val="Nadpis1"/>
      </w:pPr>
      <w:r>
        <w:t>informácie o spoločníkoch účtovnej jednotky</w:t>
      </w:r>
    </w:p>
    <w:p w:rsidR="00132FA0" w:rsidRDefault="00132FA0" w:rsidP="00132FA0"/>
    <w:p w:rsidR="00132FA0" w:rsidRDefault="00132FA0" w:rsidP="00132FA0">
      <w:pPr>
        <w:pStyle w:val="Zkladntext"/>
      </w:pPr>
      <w:r>
        <w:t>Štruktúra spoločníkov Spoločnosti  k 31.decembru 20</w:t>
      </w:r>
      <w:r w:rsidR="00CE5C71">
        <w:t>2</w:t>
      </w:r>
      <w:r w:rsidR="00440D97">
        <w:t>2</w:t>
      </w:r>
      <w:r>
        <w:t xml:space="preserve"> bola takáto:</w:t>
      </w:r>
    </w:p>
    <w:bookmarkStart w:id="1" w:name="_MON_1488696554"/>
    <w:bookmarkEnd w:id="1"/>
    <w:p w:rsidR="00132FA0" w:rsidRDefault="004F1196" w:rsidP="00132FA0">
      <w:pPr>
        <w:pStyle w:val="Zkladntext"/>
      </w:pPr>
      <w:r>
        <w:object w:dxaOrig="9177" w:dyaOrig="192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36.5pt;height:98.25pt" o:ole="" fillcolor="window">
            <v:imagedata r:id="rId7" o:title=""/>
          </v:shape>
          <o:OLEObject Type="Embed" ProgID="Excel.Sheet.8" ShapeID="_x0000_i1025" DrawAspect="Content" ObjectID="_1738483133" r:id="rId8"/>
        </w:object>
      </w:r>
    </w:p>
    <w:p w:rsidR="00132FA0" w:rsidRDefault="00132FA0" w:rsidP="005F63B3">
      <w:pPr>
        <w:pStyle w:val="Zkladntext"/>
        <w:ind w:left="0" w:firstLine="426"/>
      </w:pPr>
      <w:r>
        <w:t xml:space="preserve">Výška základného imania  </w:t>
      </w:r>
      <w:r w:rsidR="005F63B3">
        <w:t xml:space="preserve"> </w:t>
      </w:r>
      <w:r w:rsidR="00FF1C0C">
        <w:t>6</w:t>
      </w:r>
      <w:r w:rsidR="004F1196">
        <w:t xml:space="preserve"> 6</w:t>
      </w:r>
      <w:r w:rsidR="00FF1C0C">
        <w:t xml:space="preserve">39 </w:t>
      </w:r>
      <w:r w:rsidR="005F63B3">
        <w:t>eur</w:t>
      </w:r>
    </w:p>
    <w:p w:rsidR="00C5363E" w:rsidRDefault="00C5363E" w:rsidP="00E1496A">
      <w:pPr>
        <w:pStyle w:val="Zkladntext"/>
        <w:ind w:left="0"/>
      </w:pPr>
    </w:p>
    <w:p w:rsidR="003C487E" w:rsidRDefault="003C487E">
      <w:pPr>
        <w:pStyle w:val="Nadpis1"/>
      </w:pPr>
      <w:r>
        <w:t>Informácie o konsolidovanom celku</w:t>
      </w:r>
    </w:p>
    <w:p w:rsidR="003C487E" w:rsidRDefault="003C487E">
      <w:pPr>
        <w:pStyle w:val="Zkladntext"/>
      </w:pPr>
    </w:p>
    <w:p w:rsidR="003C487E" w:rsidRDefault="003C487E" w:rsidP="00E1496A">
      <w:pPr>
        <w:pStyle w:val="Zkladntext"/>
        <w:ind w:hanging="426"/>
      </w:pPr>
      <w:r>
        <w:rPr>
          <w:b/>
        </w:rPr>
        <w:tab/>
      </w:r>
      <w:r>
        <w:t>Spoločnosť netvorí konsolidovaný celok.</w:t>
      </w:r>
    </w:p>
    <w:p w:rsidR="003C487E" w:rsidRDefault="003C487E">
      <w:pPr>
        <w:pStyle w:val="Nadpis1"/>
      </w:pPr>
      <w:bookmarkStart w:id="2" w:name="_Toc530739899"/>
      <w:r>
        <w:t xml:space="preserve">Informácie o účtovných zásadách a účtovných metódach  </w:t>
      </w:r>
      <w:bookmarkEnd w:id="2"/>
    </w:p>
    <w:p w:rsidR="003C487E" w:rsidRDefault="003C487E">
      <w:pPr>
        <w:pStyle w:val="Zkladntext"/>
      </w:pPr>
    </w:p>
    <w:p w:rsidR="003C487E" w:rsidRDefault="003C487E">
      <w:pPr>
        <w:pStyle w:val="Pismenka"/>
        <w:numPr>
          <w:ilvl w:val="0"/>
          <w:numId w:val="10"/>
        </w:numPr>
        <w:tabs>
          <w:tab w:val="clear" w:pos="780"/>
          <w:tab w:val="num" w:pos="0"/>
          <w:tab w:val="left" w:pos="426"/>
        </w:tabs>
        <w:ind w:left="0" w:firstLine="0"/>
      </w:pPr>
      <w:r>
        <w:t>Východiská pre zostavenie účtovnej závierky</w:t>
      </w:r>
    </w:p>
    <w:p w:rsidR="003C487E" w:rsidRDefault="003C487E">
      <w:pPr>
        <w:pStyle w:val="Pismenka"/>
        <w:tabs>
          <w:tab w:val="clear" w:pos="426"/>
        </w:tabs>
        <w:ind w:left="360" w:firstLine="0"/>
      </w:pPr>
    </w:p>
    <w:p w:rsidR="003C487E" w:rsidRDefault="003C487E">
      <w:pPr>
        <w:pStyle w:val="Zkladntext"/>
        <w:ind w:left="450"/>
      </w:pPr>
      <w:r>
        <w:t>Účtovná závierka bola zostavená za predpokladu nepretržitého trvania Spoločnosti (</w:t>
      </w:r>
      <w:proofErr w:type="spellStart"/>
      <w:r>
        <w:t>going</w:t>
      </w:r>
      <w:proofErr w:type="spellEnd"/>
      <w:r>
        <w:t xml:space="preserve"> </w:t>
      </w:r>
      <w:proofErr w:type="spellStart"/>
      <w:r>
        <w:t>concern</w:t>
      </w:r>
      <w:proofErr w:type="spellEnd"/>
      <w:r>
        <w:t>).</w:t>
      </w:r>
    </w:p>
    <w:p w:rsidR="003C487E" w:rsidRDefault="003C487E">
      <w:pPr>
        <w:pStyle w:val="Zkladntext"/>
        <w:ind w:left="450"/>
      </w:pPr>
    </w:p>
    <w:p w:rsidR="003C487E" w:rsidRDefault="003C487E">
      <w:pPr>
        <w:pStyle w:val="Zkladntext"/>
        <w:ind w:left="450"/>
      </w:pPr>
      <w:r>
        <w:lastRenderedPageBreak/>
        <w:t xml:space="preserve">Spoločnosť uplatňuje účtovné princípy a postupy účtovania v súlade so zákonom o účtovníctve a postupmi účtovania pre podnikateľov, ktoré platia v Slovenskej republike. Účtovníctvo sa vedie v peňažných jednotkách slovenskej meny, </w:t>
      </w:r>
      <w:proofErr w:type="spellStart"/>
      <w:r>
        <w:t>t.j</w:t>
      </w:r>
      <w:proofErr w:type="spellEnd"/>
      <w:r>
        <w:t>. v slovenských korunách.</w:t>
      </w:r>
    </w:p>
    <w:p w:rsidR="003C487E" w:rsidRDefault="003C487E">
      <w:pPr>
        <w:pStyle w:val="Zkladntext"/>
        <w:ind w:left="450"/>
      </w:pPr>
    </w:p>
    <w:p w:rsidR="003C487E" w:rsidRDefault="003C487E">
      <w:pPr>
        <w:pStyle w:val="Zkladntext"/>
        <w:ind w:left="450"/>
      </w:pPr>
      <w:r>
        <w:t>Účtovníctvo je vedené na základe dodržania časovej a vecnej súvislosti nákladov a výnosov. Za základ sa berú všetky náklady a výnosy, ktoré sa vzťahujú na účtovné obdobie bez ohľadu na dátum ich plnenia.</w:t>
      </w:r>
    </w:p>
    <w:p w:rsidR="003C487E" w:rsidRDefault="003C487E">
      <w:pPr>
        <w:pStyle w:val="Zkladntext"/>
        <w:ind w:left="450"/>
      </w:pPr>
    </w:p>
    <w:p w:rsidR="003C487E" w:rsidRDefault="003C487E">
      <w:pPr>
        <w:pStyle w:val="Zkladntext"/>
        <w:ind w:left="450"/>
      </w:pPr>
      <w:r>
        <w:t xml:space="preserve">Pri oceňovaní majetku a záväzkov sa uplatňuje zásada opatrnosti, </w:t>
      </w:r>
      <w:proofErr w:type="spellStart"/>
      <w:r>
        <w:t>t.j</w:t>
      </w:r>
      <w:proofErr w:type="spellEnd"/>
      <w:r>
        <w:t>. berú sa za základ všetky riziká, znehodnotenia a straty, ktoré sa týkajú majetku a záväzkov a sú známe ku dňu zostavenia účtovnej závierky.</w:t>
      </w:r>
    </w:p>
    <w:p w:rsidR="003C487E" w:rsidRDefault="003C487E">
      <w:pPr>
        <w:pStyle w:val="Zkladntext"/>
        <w:ind w:left="450"/>
      </w:pPr>
    </w:p>
    <w:p w:rsidR="003C487E" w:rsidRDefault="003C487E">
      <w:pPr>
        <w:pStyle w:val="Zkladntext"/>
        <w:ind w:left="450"/>
      </w:pPr>
      <w:r>
        <w:t>Účtovné metódy a všeobecné účtovné zásady boli účtovnou jednotkou konzistentne aplikované okrem:</w:t>
      </w:r>
    </w:p>
    <w:p w:rsidR="003C487E" w:rsidRDefault="003C487E">
      <w:pPr>
        <w:pStyle w:val="Zkladntext"/>
        <w:ind w:left="450"/>
      </w:pPr>
    </w:p>
    <w:p w:rsidR="003C487E" w:rsidRDefault="003C487E">
      <w:pPr>
        <w:pStyle w:val="Zkladntext"/>
        <w:numPr>
          <w:ilvl w:val="0"/>
          <w:numId w:val="10"/>
        </w:numPr>
      </w:pPr>
      <w:r>
        <w:t xml:space="preserve">prepočtu prijatých a poskytnutých preddavkov v cudzej mene na slovenskú menu ku dňu, ku ktorému sa zostavuje účtovná závierka. Táto povinnosť bola novelou zákona o účtovníctve od 1. januára 2008 zrušená (viď bod </w:t>
      </w:r>
      <w:proofErr w:type="spellStart"/>
      <w:r>
        <w:t>E.p</w:t>
      </w:r>
      <w:proofErr w:type="spellEnd"/>
      <w:r>
        <w:t>),</w:t>
      </w:r>
    </w:p>
    <w:p w:rsidR="003C487E" w:rsidRDefault="003C487E">
      <w:pPr>
        <w:pStyle w:val="Zkladntext"/>
        <w:ind w:left="450"/>
      </w:pPr>
    </w:p>
    <w:p w:rsidR="003C487E" w:rsidRDefault="003C487E">
      <w:pPr>
        <w:pStyle w:val="Zkladntext"/>
        <w:numPr>
          <w:ilvl w:val="0"/>
          <w:numId w:val="10"/>
        </w:numPr>
      </w:pPr>
      <w:r>
        <w:t>v súvislosti s prechodom na menu euro od 1. januára 2009, sa majetok a záväzky vyjadrené v eurách (okrem prijatých a poskytnutých preddavkov) ku dňu, ku ktorému sa zostavuje účtovná závierka a ktorý bezprostredne predchádza dňu zavedenia meny euro (</w:t>
      </w:r>
      <w:proofErr w:type="spellStart"/>
      <w:r>
        <w:t>t.j</w:t>
      </w:r>
      <w:proofErr w:type="spellEnd"/>
      <w:r>
        <w:t xml:space="preserve">. k 31. decembru 2008) prepočítajú na slovenskú menu konverzným kurzom (30,1260), a nie kurzom Národnej banky Slovenska, a účtujú sa s vplyvom na výsledok hospodárenia. (viď bod </w:t>
      </w:r>
      <w:proofErr w:type="spellStart"/>
      <w:r>
        <w:t>E.p</w:t>
      </w:r>
      <w:proofErr w:type="spellEnd"/>
      <w:r>
        <w:t>).</w:t>
      </w:r>
    </w:p>
    <w:p w:rsidR="003C487E" w:rsidRDefault="003C487E">
      <w:pPr>
        <w:pStyle w:val="Zkladntext"/>
        <w:ind w:left="0"/>
      </w:pPr>
    </w:p>
    <w:p w:rsidR="003C487E" w:rsidRDefault="003C487E">
      <w:pPr>
        <w:pStyle w:val="Pismenka"/>
        <w:numPr>
          <w:ilvl w:val="0"/>
          <w:numId w:val="10"/>
        </w:numPr>
        <w:tabs>
          <w:tab w:val="clear" w:pos="780"/>
          <w:tab w:val="num" w:pos="426"/>
        </w:tabs>
        <w:ind w:left="426" w:hanging="426"/>
      </w:pPr>
      <w:r>
        <w:t>Dlhodobý nehmotný a dlhodobý hmotný majetok</w:t>
      </w:r>
    </w:p>
    <w:p w:rsidR="003C487E" w:rsidRDefault="003C487E">
      <w:pPr>
        <w:pStyle w:val="Pismenka"/>
        <w:tabs>
          <w:tab w:val="clear" w:pos="426"/>
        </w:tabs>
        <w:ind w:left="360" w:firstLine="0"/>
      </w:pPr>
    </w:p>
    <w:p w:rsidR="003C487E" w:rsidRDefault="003C487E">
      <w:pPr>
        <w:pStyle w:val="Zkladntext"/>
      </w:pPr>
      <w:r>
        <w:t>Dlhodobý majetok nakupovaný sa oceňuje obstarávacou cenou, ktorá zahŕňa cenu obstarania a náklady súvisiace s obstaraním (clo, prepravu, montáž, poistné a pod.). Súčasťou obstarávacej ceny od 1. januára 2003 nie sú úroky z cudzích zdrojov ani realizované kurzové rozdiely, ktoré vznikli do momentu uvedenia dlhodobého majetku do používania.</w:t>
      </w:r>
    </w:p>
    <w:p w:rsidR="003C487E" w:rsidRDefault="003C487E">
      <w:pPr>
        <w:pStyle w:val="Zkladntext"/>
      </w:pPr>
    </w:p>
    <w:p w:rsidR="003C487E" w:rsidRDefault="003C487E">
      <w:pPr>
        <w:pStyle w:val="Zkladntext"/>
      </w:pPr>
      <w:r>
        <w:t xml:space="preserve">Dlhodobý majetok vytvorený vlastnou činnosťou sa oceňuje vlastnými nákladmi. Vlastnými nákladmi sú všetky priame náklady vynaložené na výrobu alebo inú činnosť a nepriame náklady, ktoré sa vzťahujú na výrobu alebo inú činnosť. </w:t>
      </w:r>
    </w:p>
    <w:p w:rsidR="003C487E" w:rsidRDefault="003C487E">
      <w:pPr>
        <w:pStyle w:val="Zkladntext"/>
      </w:pPr>
    </w:p>
    <w:p w:rsidR="003C487E" w:rsidRDefault="003C487E">
      <w:pPr>
        <w:pStyle w:val="Zkladntext"/>
      </w:pPr>
      <w:r>
        <w:t>Náklady na výskum sa neaktivujú, účtujú sa do nákladov účtovného obdobia, v ktorom vznikli. Náklady na vývoj sa účtujú do obdobia, v ktorom vznikli, ale tie náklady na vývoj, ktoré sa vzťahujú na jasne definovaný výrobok alebo proces, pri ktorých je možné preukázať technickú realizovateľnosť a možnosť predaja a spoločnosť má dostatočné zdroje na dokončenie projektu, jeho predaj alebo na vnútorné využitie jeho výsledkov, sa aktivujú, a to vo výške, ktorá je pravdepodobná, že sa získa späť z budúcich ekonomických úžitkov.</w:t>
      </w:r>
    </w:p>
    <w:p w:rsidR="003C487E" w:rsidRDefault="003C487E">
      <w:pPr>
        <w:pStyle w:val="Zkladntext"/>
      </w:pPr>
    </w:p>
    <w:p w:rsidR="003C487E" w:rsidRDefault="003C487E">
      <w:pPr>
        <w:pStyle w:val="Zkladntext"/>
      </w:pPr>
      <w:r>
        <w:t>Aktivované náklady na vývoj sa odpisujú počas maximálne 5 rokov, a to v tých účtovných obdobiach, v ktorých sa očakáva predaj produktu alebo využívanie procesu. Ak sa zníži ich hodnota, odpisujú sa na sumu, ktorá je pravdepodobná, že sa získa späť z budúcich ekonomických úžitkov.</w:t>
      </w:r>
    </w:p>
    <w:p w:rsidR="003C487E" w:rsidRDefault="003C487E">
      <w:pPr>
        <w:pStyle w:val="Zkladntext"/>
      </w:pPr>
      <w:r>
        <w:t xml:space="preserve"> </w:t>
      </w:r>
    </w:p>
    <w:p w:rsidR="003C487E" w:rsidRDefault="003C487E">
      <w:pPr>
        <w:pStyle w:val="Zkladntext"/>
      </w:pPr>
      <w:r>
        <w:t xml:space="preserve">Odpisy dlhodobého nehmotného majetku sú stanovené vychádzajúc z predpokladanej doby jeho používania a predpokladaného priebehu jeho opotrebenia. Odpisovať sa začína prvým dňom mesiaca nasledujúceho po uvedení dlhodobého majetku do používania. Drobný dlhodobý nehmotný majetok, ktorého obstarávacia cena (resp. vlastné náklady) je </w:t>
      </w:r>
      <w:r w:rsidR="00B67CC7">
        <w:t>2.400</w:t>
      </w:r>
      <w:r>
        <w:t xml:space="preserve"> </w:t>
      </w:r>
      <w:r w:rsidR="00B67CC7">
        <w:t>EUR</w:t>
      </w:r>
      <w:r>
        <w:t xml:space="preserve"> a nižšia, sa odpisuje jednorazovo pri uvedení do používania. Predpokladaná doba používania, metóda odpisovania a odpisová sadzba sú uvedené v nasledujúcej tabuľke:</w:t>
      </w:r>
    </w:p>
    <w:p w:rsidR="00F875E6" w:rsidRDefault="00F875E6">
      <w:pPr>
        <w:pStyle w:val="Zkladntext"/>
        <w:ind w:left="0"/>
      </w:pPr>
    </w:p>
    <w:p w:rsidR="003C487E" w:rsidRDefault="003C487E">
      <w:pPr>
        <w:pStyle w:val="Zkladntext"/>
      </w:pPr>
    </w:p>
    <w:tbl>
      <w:tblPr>
        <w:tblW w:w="0" w:type="auto"/>
        <w:tblInd w:w="456" w:type="dxa"/>
        <w:tblLayout w:type="fixed"/>
        <w:tblCellMar>
          <w:left w:w="30" w:type="dxa"/>
          <w:right w:w="30" w:type="dxa"/>
        </w:tblCellMar>
        <w:tblLook w:val="0000" w:firstRow="0" w:lastRow="0" w:firstColumn="0" w:lastColumn="0" w:noHBand="0" w:noVBand="0"/>
      </w:tblPr>
      <w:tblGrid>
        <w:gridCol w:w="2976"/>
        <w:gridCol w:w="426"/>
        <w:gridCol w:w="1559"/>
        <w:gridCol w:w="142"/>
        <w:gridCol w:w="1842"/>
        <w:gridCol w:w="142"/>
        <w:gridCol w:w="1730"/>
      </w:tblGrid>
      <w:tr w:rsidR="003C487E">
        <w:trPr>
          <w:trHeight w:val="250"/>
        </w:trPr>
        <w:tc>
          <w:tcPr>
            <w:tcW w:w="3402" w:type="dxa"/>
            <w:gridSpan w:val="2"/>
          </w:tcPr>
          <w:p w:rsidR="003C487E" w:rsidRDefault="003C487E">
            <w:pPr>
              <w:pStyle w:val="Tabulka"/>
            </w:pPr>
            <w:r>
              <w:br w:type="page"/>
            </w:r>
            <w:r>
              <w:br w:type="page"/>
            </w:r>
          </w:p>
        </w:tc>
        <w:tc>
          <w:tcPr>
            <w:tcW w:w="1559" w:type="dxa"/>
          </w:tcPr>
          <w:p w:rsidR="003C487E" w:rsidRDefault="003C487E">
            <w:pPr>
              <w:pStyle w:val="Tabulka"/>
              <w:jc w:val="center"/>
            </w:pPr>
            <w:r>
              <w:t>Predpokladaná</w:t>
            </w:r>
          </w:p>
        </w:tc>
        <w:tc>
          <w:tcPr>
            <w:tcW w:w="142" w:type="dxa"/>
          </w:tcPr>
          <w:p w:rsidR="003C487E" w:rsidRDefault="003C487E">
            <w:pPr>
              <w:pStyle w:val="Tabulka"/>
              <w:jc w:val="center"/>
            </w:pPr>
          </w:p>
        </w:tc>
        <w:tc>
          <w:tcPr>
            <w:tcW w:w="1842" w:type="dxa"/>
          </w:tcPr>
          <w:p w:rsidR="003C487E" w:rsidRDefault="003C487E">
            <w:pPr>
              <w:pStyle w:val="Tabulka"/>
              <w:jc w:val="center"/>
            </w:pPr>
            <w:r>
              <w:t>Metóda</w:t>
            </w:r>
          </w:p>
        </w:tc>
        <w:tc>
          <w:tcPr>
            <w:tcW w:w="142" w:type="dxa"/>
          </w:tcPr>
          <w:p w:rsidR="003C487E" w:rsidRDefault="003C487E">
            <w:pPr>
              <w:pStyle w:val="Tabulka"/>
              <w:jc w:val="center"/>
            </w:pPr>
          </w:p>
        </w:tc>
        <w:tc>
          <w:tcPr>
            <w:tcW w:w="1730" w:type="dxa"/>
          </w:tcPr>
          <w:p w:rsidR="003C487E" w:rsidRDefault="003C487E">
            <w:pPr>
              <w:pStyle w:val="Tabulka"/>
              <w:jc w:val="center"/>
            </w:pPr>
            <w:r>
              <w:t>Ročná odpisová</w:t>
            </w:r>
          </w:p>
        </w:tc>
      </w:tr>
      <w:tr w:rsidR="003C487E">
        <w:trPr>
          <w:trHeight w:val="250"/>
        </w:trPr>
        <w:tc>
          <w:tcPr>
            <w:tcW w:w="2976" w:type="dxa"/>
            <w:tcBorders>
              <w:bottom w:val="single" w:sz="4" w:space="0" w:color="auto"/>
            </w:tcBorders>
          </w:tcPr>
          <w:p w:rsidR="003C487E" w:rsidRDefault="003C487E">
            <w:pPr>
              <w:pStyle w:val="Tabulka"/>
            </w:pPr>
          </w:p>
        </w:tc>
        <w:tc>
          <w:tcPr>
            <w:tcW w:w="426" w:type="dxa"/>
            <w:tcBorders>
              <w:bottom w:val="single" w:sz="4" w:space="0" w:color="auto"/>
            </w:tcBorders>
          </w:tcPr>
          <w:p w:rsidR="003C487E" w:rsidRDefault="003C487E">
            <w:pPr>
              <w:pStyle w:val="Tabulka"/>
            </w:pPr>
          </w:p>
        </w:tc>
        <w:tc>
          <w:tcPr>
            <w:tcW w:w="1559" w:type="dxa"/>
            <w:tcBorders>
              <w:bottom w:val="single" w:sz="4" w:space="0" w:color="auto"/>
            </w:tcBorders>
          </w:tcPr>
          <w:p w:rsidR="003C487E" w:rsidRDefault="003C487E">
            <w:pPr>
              <w:pStyle w:val="Tabulka"/>
              <w:jc w:val="center"/>
            </w:pPr>
            <w:r>
              <w:t>doba používania</w:t>
            </w:r>
            <w:r>
              <w:br/>
              <w:t>v rokoch</w:t>
            </w:r>
          </w:p>
        </w:tc>
        <w:tc>
          <w:tcPr>
            <w:tcW w:w="142" w:type="dxa"/>
            <w:tcBorders>
              <w:bottom w:val="single" w:sz="4" w:space="0" w:color="auto"/>
            </w:tcBorders>
          </w:tcPr>
          <w:p w:rsidR="003C487E" w:rsidRDefault="003C487E">
            <w:pPr>
              <w:pStyle w:val="Tabulka"/>
              <w:jc w:val="center"/>
            </w:pPr>
          </w:p>
        </w:tc>
        <w:tc>
          <w:tcPr>
            <w:tcW w:w="1842" w:type="dxa"/>
            <w:tcBorders>
              <w:bottom w:val="single" w:sz="4" w:space="0" w:color="auto"/>
            </w:tcBorders>
          </w:tcPr>
          <w:p w:rsidR="003C487E" w:rsidRDefault="003C487E">
            <w:pPr>
              <w:pStyle w:val="Tabulka"/>
              <w:jc w:val="center"/>
            </w:pPr>
            <w:r>
              <w:t>odpisovania</w:t>
            </w:r>
          </w:p>
        </w:tc>
        <w:tc>
          <w:tcPr>
            <w:tcW w:w="142" w:type="dxa"/>
            <w:tcBorders>
              <w:bottom w:val="single" w:sz="4" w:space="0" w:color="auto"/>
            </w:tcBorders>
          </w:tcPr>
          <w:p w:rsidR="003C487E" w:rsidRDefault="003C487E">
            <w:pPr>
              <w:pStyle w:val="Tabulka"/>
              <w:jc w:val="center"/>
            </w:pPr>
          </w:p>
        </w:tc>
        <w:tc>
          <w:tcPr>
            <w:tcW w:w="1730" w:type="dxa"/>
            <w:tcBorders>
              <w:bottom w:val="single" w:sz="4" w:space="0" w:color="auto"/>
            </w:tcBorders>
          </w:tcPr>
          <w:p w:rsidR="003C487E" w:rsidRDefault="003C487E">
            <w:pPr>
              <w:pStyle w:val="Tabulka"/>
              <w:jc w:val="center"/>
            </w:pPr>
            <w:r>
              <w:t>sadzba v %</w:t>
            </w:r>
          </w:p>
        </w:tc>
      </w:tr>
      <w:tr w:rsidR="003C487E">
        <w:trPr>
          <w:trHeight w:val="205"/>
        </w:trPr>
        <w:tc>
          <w:tcPr>
            <w:tcW w:w="3402" w:type="dxa"/>
            <w:gridSpan w:val="2"/>
            <w:tcBorders>
              <w:top w:val="single" w:sz="4" w:space="0" w:color="auto"/>
            </w:tcBorders>
          </w:tcPr>
          <w:p w:rsidR="003C487E" w:rsidRDefault="003C487E">
            <w:pPr>
              <w:pStyle w:val="Tabulka"/>
            </w:pPr>
            <w:r>
              <w:t>Zriaďovacie náklady</w:t>
            </w:r>
          </w:p>
        </w:tc>
        <w:tc>
          <w:tcPr>
            <w:tcW w:w="1559" w:type="dxa"/>
            <w:tcBorders>
              <w:top w:val="single" w:sz="4" w:space="0" w:color="auto"/>
            </w:tcBorders>
          </w:tcPr>
          <w:p w:rsidR="003C487E" w:rsidRDefault="003C487E">
            <w:pPr>
              <w:pStyle w:val="Tabulka"/>
              <w:jc w:val="center"/>
            </w:pPr>
            <w:r>
              <w:t>5</w:t>
            </w:r>
          </w:p>
        </w:tc>
        <w:tc>
          <w:tcPr>
            <w:tcW w:w="142" w:type="dxa"/>
            <w:tcBorders>
              <w:top w:val="single" w:sz="4" w:space="0" w:color="auto"/>
            </w:tcBorders>
          </w:tcPr>
          <w:p w:rsidR="003C487E" w:rsidRDefault="003C487E">
            <w:pPr>
              <w:pStyle w:val="Tabulka"/>
              <w:jc w:val="center"/>
            </w:pPr>
          </w:p>
        </w:tc>
        <w:tc>
          <w:tcPr>
            <w:tcW w:w="1842" w:type="dxa"/>
            <w:tcBorders>
              <w:top w:val="single" w:sz="4" w:space="0" w:color="auto"/>
            </w:tcBorders>
          </w:tcPr>
          <w:p w:rsidR="003C487E" w:rsidRDefault="003C487E">
            <w:pPr>
              <w:pStyle w:val="Tabulka"/>
              <w:jc w:val="center"/>
            </w:pPr>
            <w:r>
              <w:t>lineárna</w:t>
            </w:r>
          </w:p>
        </w:tc>
        <w:tc>
          <w:tcPr>
            <w:tcW w:w="142" w:type="dxa"/>
            <w:tcBorders>
              <w:top w:val="single" w:sz="4" w:space="0" w:color="auto"/>
            </w:tcBorders>
          </w:tcPr>
          <w:p w:rsidR="003C487E" w:rsidRDefault="003C487E">
            <w:pPr>
              <w:pStyle w:val="Tabulka"/>
              <w:jc w:val="center"/>
            </w:pPr>
          </w:p>
        </w:tc>
        <w:tc>
          <w:tcPr>
            <w:tcW w:w="1730" w:type="dxa"/>
            <w:tcBorders>
              <w:top w:val="single" w:sz="4" w:space="0" w:color="auto"/>
            </w:tcBorders>
          </w:tcPr>
          <w:p w:rsidR="003C487E" w:rsidRDefault="003C487E">
            <w:pPr>
              <w:pStyle w:val="Tabulka"/>
              <w:jc w:val="center"/>
            </w:pPr>
            <w:r>
              <w:t>20</w:t>
            </w:r>
          </w:p>
        </w:tc>
      </w:tr>
      <w:tr w:rsidR="003C487E">
        <w:trPr>
          <w:trHeight w:val="250"/>
        </w:trPr>
        <w:tc>
          <w:tcPr>
            <w:tcW w:w="3402" w:type="dxa"/>
            <w:gridSpan w:val="2"/>
          </w:tcPr>
          <w:p w:rsidR="003C487E" w:rsidRDefault="003C487E">
            <w:pPr>
              <w:pStyle w:val="Tabulka"/>
            </w:pPr>
            <w:r>
              <w:t>Aktivované náklady na vývoj</w:t>
            </w:r>
          </w:p>
        </w:tc>
        <w:tc>
          <w:tcPr>
            <w:tcW w:w="1559" w:type="dxa"/>
          </w:tcPr>
          <w:p w:rsidR="003C487E" w:rsidRDefault="003C487E">
            <w:pPr>
              <w:pStyle w:val="Tabulka"/>
              <w:jc w:val="center"/>
            </w:pPr>
            <w:r>
              <w:t>5</w:t>
            </w:r>
          </w:p>
        </w:tc>
        <w:tc>
          <w:tcPr>
            <w:tcW w:w="142" w:type="dxa"/>
          </w:tcPr>
          <w:p w:rsidR="003C487E" w:rsidRDefault="003C487E">
            <w:pPr>
              <w:pStyle w:val="Tabulka"/>
              <w:jc w:val="center"/>
            </w:pPr>
          </w:p>
        </w:tc>
        <w:tc>
          <w:tcPr>
            <w:tcW w:w="1842" w:type="dxa"/>
          </w:tcPr>
          <w:p w:rsidR="003C487E" w:rsidRDefault="003C487E">
            <w:pPr>
              <w:pStyle w:val="Tabulka"/>
              <w:jc w:val="center"/>
            </w:pPr>
            <w:r>
              <w:t>lineárna</w:t>
            </w:r>
          </w:p>
        </w:tc>
        <w:tc>
          <w:tcPr>
            <w:tcW w:w="142" w:type="dxa"/>
          </w:tcPr>
          <w:p w:rsidR="003C487E" w:rsidRDefault="003C487E">
            <w:pPr>
              <w:pStyle w:val="Tabulka"/>
              <w:jc w:val="center"/>
            </w:pPr>
          </w:p>
        </w:tc>
        <w:tc>
          <w:tcPr>
            <w:tcW w:w="1730" w:type="dxa"/>
          </w:tcPr>
          <w:p w:rsidR="003C487E" w:rsidRDefault="003C487E">
            <w:pPr>
              <w:pStyle w:val="Tabulka"/>
              <w:jc w:val="center"/>
            </w:pPr>
            <w:r>
              <w:t>20</w:t>
            </w:r>
          </w:p>
        </w:tc>
      </w:tr>
      <w:tr w:rsidR="003C487E">
        <w:trPr>
          <w:trHeight w:val="250"/>
        </w:trPr>
        <w:tc>
          <w:tcPr>
            <w:tcW w:w="3402" w:type="dxa"/>
            <w:gridSpan w:val="2"/>
          </w:tcPr>
          <w:p w:rsidR="003C487E" w:rsidRDefault="003C487E">
            <w:pPr>
              <w:pStyle w:val="Tabulka"/>
            </w:pPr>
            <w:r>
              <w:t>Softvér</w:t>
            </w:r>
          </w:p>
        </w:tc>
        <w:tc>
          <w:tcPr>
            <w:tcW w:w="1559" w:type="dxa"/>
          </w:tcPr>
          <w:p w:rsidR="003C487E" w:rsidRDefault="003C487E">
            <w:pPr>
              <w:pStyle w:val="Tabulka"/>
              <w:jc w:val="center"/>
            </w:pPr>
            <w:r>
              <w:t>4</w:t>
            </w:r>
          </w:p>
        </w:tc>
        <w:tc>
          <w:tcPr>
            <w:tcW w:w="142" w:type="dxa"/>
          </w:tcPr>
          <w:p w:rsidR="003C487E" w:rsidRDefault="003C487E">
            <w:pPr>
              <w:pStyle w:val="Tabulka"/>
              <w:jc w:val="center"/>
            </w:pPr>
          </w:p>
        </w:tc>
        <w:tc>
          <w:tcPr>
            <w:tcW w:w="1842" w:type="dxa"/>
          </w:tcPr>
          <w:p w:rsidR="003C487E" w:rsidRDefault="003C487E">
            <w:pPr>
              <w:pStyle w:val="Tabulka"/>
              <w:jc w:val="center"/>
            </w:pPr>
            <w:r>
              <w:t>lineárna</w:t>
            </w:r>
          </w:p>
        </w:tc>
        <w:tc>
          <w:tcPr>
            <w:tcW w:w="142" w:type="dxa"/>
          </w:tcPr>
          <w:p w:rsidR="003C487E" w:rsidRDefault="003C487E">
            <w:pPr>
              <w:pStyle w:val="Tabulka"/>
              <w:jc w:val="center"/>
            </w:pPr>
          </w:p>
        </w:tc>
        <w:tc>
          <w:tcPr>
            <w:tcW w:w="1730" w:type="dxa"/>
          </w:tcPr>
          <w:p w:rsidR="003C487E" w:rsidRDefault="003C487E">
            <w:pPr>
              <w:pStyle w:val="Tabulka"/>
              <w:jc w:val="center"/>
            </w:pPr>
            <w:r>
              <w:t>25</w:t>
            </w:r>
          </w:p>
        </w:tc>
      </w:tr>
      <w:tr w:rsidR="003C487E">
        <w:trPr>
          <w:trHeight w:val="94"/>
        </w:trPr>
        <w:tc>
          <w:tcPr>
            <w:tcW w:w="3402" w:type="dxa"/>
            <w:gridSpan w:val="2"/>
          </w:tcPr>
          <w:p w:rsidR="003C487E" w:rsidRDefault="003C487E">
            <w:pPr>
              <w:pStyle w:val="Tabulka"/>
            </w:pPr>
            <w:r>
              <w:t>Oceniteľné práva (licencia)</w:t>
            </w:r>
          </w:p>
        </w:tc>
        <w:tc>
          <w:tcPr>
            <w:tcW w:w="1559" w:type="dxa"/>
          </w:tcPr>
          <w:p w:rsidR="003C487E" w:rsidRDefault="003C487E">
            <w:pPr>
              <w:pStyle w:val="Tabulka"/>
              <w:jc w:val="center"/>
            </w:pPr>
            <w:r>
              <w:t>8</w:t>
            </w:r>
          </w:p>
        </w:tc>
        <w:tc>
          <w:tcPr>
            <w:tcW w:w="142" w:type="dxa"/>
          </w:tcPr>
          <w:p w:rsidR="003C487E" w:rsidRDefault="003C487E">
            <w:pPr>
              <w:pStyle w:val="Tabulka"/>
              <w:jc w:val="center"/>
            </w:pPr>
          </w:p>
        </w:tc>
        <w:tc>
          <w:tcPr>
            <w:tcW w:w="1842" w:type="dxa"/>
          </w:tcPr>
          <w:p w:rsidR="003C487E" w:rsidRDefault="003C487E">
            <w:pPr>
              <w:pStyle w:val="Tabulka"/>
              <w:jc w:val="center"/>
            </w:pPr>
            <w:r>
              <w:t>lineárna</w:t>
            </w:r>
          </w:p>
        </w:tc>
        <w:tc>
          <w:tcPr>
            <w:tcW w:w="142" w:type="dxa"/>
          </w:tcPr>
          <w:p w:rsidR="003C487E" w:rsidRDefault="003C487E">
            <w:pPr>
              <w:pStyle w:val="Tabulka"/>
              <w:jc w:val="center"/>
            </w:pPr>
          </w:p>
        </w:tc>
        <w:tc>
          <w:tcPr>
            <w:tcW w:w="1730" w:type="dxa"/>
          </w:tcPr>
          <w:p w:rsidR="003C487E" w:rsidRDefault="003C487E">
            <w:pPr>
              <w:pStyle w:val="Tabulka"/>
              <w:jc w:val="center"/>
            </w:pPr>
            <w:r>
              <w:t>12,5</w:t>
            </w:r>
          </w:p>
        </w:tc>
      </w:tr>
      <w:tr w:rsidR="003C487E">
        <w:trPr>
          <w:trHeight w:val="250"/>
        </w:trPr>
        <w:tc>
          <w:tcPr>
            <w:tcW w:w="3402" w:type="dxa"/>
            <w:gridSpan w:val="2"/>
          </w:tcPr>
          <w:p w:rsidR="003C487E" w:rsidRDefault="003C487E">
            <w:pPr>
              <w:pStyle w:val="Tabulka"/>
            </w:pPr>
            <w:r>
              <w:t>Drobný dlhodobý nehmotný majetok</w:t>
            </w:r>
          </w:p>
        </w:tc>
        <w:tc>
          <w:tcPr>
            <w:tcW w:w="1559" w:type="dxa"/>
          </w:tcPr>
          <w:p w:rsidR="003C487E" w:rsidRDefault="003C487E">
            <w:pPr>
              <w:pStyle w:val="Tabulka"/>
              <w:jc w:val="center"/>
            </w:pPr>
            <w:r>
              <w:t>rôzna</w:t>
            </w:r>
          </w:p>
        </w:tc>
        <w:tc>
          <w:tcPr>
            <w:tcW w:w="142" w:type="dxa"/>
          </w:tcPr>
          <w:p w:rsidR="003C487E" w:rsidRDefault="003C487E">
            <w:pPr>
              <w:pStyle w:val="Tabulka"/>
              <w:jc w:val="center"/>
            </w:pPr>
          </w:p>
        </w:tc>
        <w:tc>
          <w:tcPr>
            <w:tcW w:w="1842" w:type="dxa"/>
          </w:tcPr>
          <w:p w:rsidR="003C487E" w:rsidRDefault="003C487E">
            <w:pPr>
              <w:pStyle w:val="Tabulka"/>
              <w:jc w:val="center"/>
            </w:pPr>
            <w:r>
              <w:t>jednorazový odpis</w:t>
            </w:r>
          </w:p>
        </w:tc>
        <w:tc>
          <w:tcPr>
            <w:tcW w:w="142" w:type="dxa"/>
          </w:tcPr>
          <w:p w:rsidR="003C487E" w:rsidRDefault="003C487E">
            <w:pPr>
              <w:pStyle w:val="Tabulka"/>
              <w:jc w:val="center"/>
            </w:pPr>
          </w:p>
        </w:tc>
        <w:tc>
          <w:tcPr>
            <w:tcW w:w="1730" w:type="dxa"/>
          </w:tcPr>
          <w:p w:rsidR="003C487E" w:rsidRDefault="003C487E">
            <w:pPr>
              <w:pStyle w:val="Tabulka"/>
              <w:jc w:val="center"/>
            </w:pPr>
            <w:r>
              <w:t>100</w:t>
            </w:r>
          </w:p>
        </w:tc>
      </w:tr>
    </w:tbl>
    <w:p w:rsidR="003C487E" w:rsidRDefault="003C487E">
      <w:pPr>
        <w:pStyle w:val="Zkladntext"/>
      </w:pPr>
    </w:p>
    <w:p w:rsidR="00F875E6" w:rsidRDefault="00F875E6">
      <w:pPr>
        <w:pStyle w:val="Zkladntext"/>
      </w:pPr>
    </w:p>
    <w:p w:rsidR="003C487E" w:rsidRDefault="003C487E">
      <w:pPr>
        <w:pStyle w:val="Zkladntext"/>
      </w:pPr>
      <w:r>
        <w:t xml:space="preserve">Odpisy dlhodobého hmotného majetku sú stanovené vychádzajúc z predpokladanej doby jeho používania a predpokladaného priebehu jeho opotrebenia. Odpisovať sa začína prvým dňom mesiaca nasledujúceho po uvedení dlhodobého majetku do používania. Drobný dlhodobý hmotný majetok, ktorého obstarávacia cena (resp. vlastné náklady) je </w:t>
      </w:r>
      <w:r w:rsidR="00B67CC7">
        <w:t>1.700</w:t>
      </w:r>
      <w:r>
        <w:t xml:space="preserve"> </w:t>
      </w:r>
      <w:r w:rsidR="00B67CC7">
        <w:t>EUR</w:t>
      </w:r>
      <w:r>
        <w:t xml:space="preserve"> a nižšia, sa odpisuje jednorazovo pri uvedení do používania. Pozemky sa neodpisujú. Predpokladaná doba používania, metóda odpisovania a odpisová sadzba sú uvedené v nasledujúcej tabuľke:</w:t>
      </w:r>
    </w:p>
    <w:p w:rsidR="00F875E6" w:rsidRDefault="00F875E6">
      <w:pPr>
        <w:pStyle w:val="Zkladntext"/>
      </w:pPr>
    </w:p>
    <w:p w:rsidR="003C487E" w:rsidRDefault="003C487E">
      <w:pPr>
        <w:pStyle w:val="Zkladntext"/>
      </w:pPr>
    </w:p>
    <w:tbl>
      <w:tblPr>
        <w:tblW w:w="0" w:type="auto"/>
        <w:tblInd w:w="456" w:type="dxa"/>
        <w:tblLayout w:type="fixed"/>
        <w:tblCellMar>
          <w:left w:w="30" w:type="dxa"/>
          <w:right w:w="30" w:type="dxa"/>
        </w:tblCellMar>
        <w:tblLook w:val="0000" w:firstRow="0" w:lastRow="0" w:firstColumn="0" w:lastColumn="0" w:noHBand="0" w:noVBand="0"/>
      </w:tblPr>
      <w:tblGrid>
        <w:gridCol w:w="2976"/>
        <w:gridCol w:w="142"/>
        <w:gridCol w:w="1985"/>
        <w:gridCol w:w="141"/>
        <w:gridCol w:w="1701"/>
        <w:gridCol w:w="142"/>
        <w:gridCol w:w="1701"/>
      </w:tblGrid>
      <w:tr w:rsidR="003C487E">
        <w:trPr>
          <w:trHeight w:val="250"/>
        </w:trPr>
        <w:tc>
          <w:tcPr>
            <w:tcW w:w="3118" w:type="dxa"/>
            <w:gridSpan w:val="2"/>
          </w:tcPr>
          <w:p w:rsidR="003C487E" w:rsidRDefault="003C487E">
            <w:pPr>
              <w:pStyle w:val="Tabulka"/>
            </w:pPr>
          </w:p>
        </w:tc>
        <w:tc>
          <w:tcPr>
            <w:tcW w:w="1985" w:type="dxa"/>
          </w:tcPr>
          <w:p w:rsidR="003C487E" w:rsidRDefault="003C487E">
            <w:pPr>
              <w:pStyle w:val="Tabulka"/>
              <w:jc w:val="center"/>
            </w:pPr>
            <w:r>
              <w:t>Predpokladaná</w:t>
            </w:r>
          </w:p>
        </w:tc>
        <w:tc>
          <w:tcPr>
            <w:tcW w:w="141" w:type="dxa"/>
          </w:tcPr>
          <w:p w:rsidR="003C487E" w:rsidRDefault="003C487E">
            <w:pPr>
              <w:pStyle w:val="Tabulka"/>
              <w:jc w:val="center"/>
            </w:pPr>
          </w:p>
        </w:tc>
        <w:tc>
          <w:tcPr>
            <w:tcW w:w="1701" w:type="dxa"/>
          </w:tcPr>
          <w:p w:rsidR="003C487E" w:rsidRDefault="003C487E">
            <w:pPr>
              <w:pStyle w:val="Tabulka"/>
              <w:jc w:val="center"/>
            </w:pPr>
            <w:r>
              <w:t>Metóda</w:t>
            </w:r>
          </w:p>
        </w:tc>
        <w:tc>
          <w:tcPr>
            <w:tcW w:w="142" w:type="dxa"/>
          </w:tcPr>
          <w:p w:rsidR="003C487E" w:rsidRDefault="003C487E">
            <w:pPr>
              <w:pStyle w:val="Tabulka"/>
              <w:jc w:val="center"/>
            </w:pPr>
          </w:p>
        </w:tc>
        <w:tc>
          <w:tcPr>
            <w:tcW w:w="1701" w:type="dxa"/>
          </w:tcPr>
          <w:p w:rsidR="003C487E" w:rsidRDefault="003C487E">
            <w:pPr>
              <w:pStyle w:val="Tabulka"/>
              <w:jc w:val="center"/>
            </w:pPr>
            <w:r>
              <w:t>Ročná odpisová</w:t>
            </w:r>
          </w:p>
        </w:tc>
      </w:tr>
      <w:tr w:rsidR="003C487E">
        <w:trPr>
          <w:trHeight w:val="250"/>
        </w:trPr>
        <w:tc>
          <w:tcPr>
            <w:tcW w:w="2976" w:type="dxa"/>
            <w:tcBorders>
              <w:bottom w:val="single" w:sz="4" w:space="0" w:color="auto"/>
            </w:tcBorders>
          </w:tcPr>
          <w:p w:rsidR="003C487E" w:rsidRDefault="003C487E">
            <w:pPr>
              <w:pStyle w:val="Tabulka"/>
            </w:pPr>
          </w:p>
        </w:tc>
        <w:tc>
          <w:tcPr>
            <w:tcW w:w="142" w:type="dxa"/>
            <w:tcBorders>
              <w:bottom w:val="single" w:sz="4" w:space="0" w:color="auto"/>
            </w:tcBorders>
          </w:tcPr>
          <w:p w:rsidR="003C487E" w:rsidRDefault="003C487E">
            <w:pPr>
              <w:pStyle w:val="Tabulka"/>
            </w:pPr>
          </w:p>
        </w:tc>
        <w:tc>
          <w:tcPr>
            <w:tcW w:w="1985" w:type="dxa"/>
            <w:tcBorders>
              <w:bottom w:val="single" w:sz="4" w:space="0" w:color="auto"/>
            </w:tcBorders>
          </w:tcPr>
          <w:p w:rsidR="003C487E" w:rsidRDefault="003C487E">
            <w:pPr>
              <w:pStyle w:val="Tabulka"/>
              <w:jc w:val="center"/>
            </w:pPr>
            <w:r>
              <w:t>doba používania v rokoch</w:t>
            </w:r>
          </w:p>
        </w:tc>
        <w:tc>
          <w:tcPr>
            <w:tcW w:w="141" w:type="dxa"/>
            <w:tcBorders>
              <w:bottom w:val="single" w:sz="4" w:space="0" w:color="auto"/>
            </w:tcBorders>
          </w:tcPr>
          <w:p w:rsidR="003C487E" w:rsidRDefault="003C487E">
            <w:pPr>
              <w:pStyle w:val="Tabulka"/>
              <w:jc w:val="center"/>
            </w:pPr>
          </w:p>
        </w:tc>
        <w:tc>
          <w:tcPr>
            <w:tcW w:w="1701" w:type="dxa"/>
            <w:tcBorders>
              <w:bottom w:val="single" w:sz="4" w:space="0" w:color="auto"/>
            </w:tcBorders>
          </w:tcPr>
          <w:p w:rsidR="003C487E" w:rsidRDefault="003C487E">
            <w:pPr>
              <w:pStyle w:val="Tabulka"/>
              <w:jc w:val="center"/>
            </w:pPr>
            <w:r>
              <w:t>odpisovania</w:t>
            </w:r>
          </w:p>
        </w:tc>
        <w:tc>
          <w:tcPr>
            <w:tcW w:w="142" w:type="dxa"/>
            <w:tcBorders>
              <w:bottom w:val="single" w:sz="4" w:space="0" w:color="auto"/>
            </w:tcBorders>
          </w:tcPr>
          <w:p w:rsidR="003C487E" w:rsidRDefault="003C487E">
            <w:pPr>
              <w:pStyle w:val="Tabulka"/>
              <w:jc w:val="center"/>
            </w:pPr>
          </w:p>
        </w:tc>
        <w:tc>
          <w:tcPr>
            <w:tcW w:w="1701" w:type="dxa"/>
            <w:tcBorders>
              <w:bottom w:val="single" w:sz="4" w:space="0" w:color="auto"/>
            </w:tcBorders>
          </w:tcPr>
          <w:p w:rsidR="003C487E" w:rsidRDefault="003C487E">
            <w:pPr>
              <w:pStyle w:val="Tabulka"/>
              <w:jc w:val="center"/>
            </w:pPr>
            <w:r>
              <w:t>sadzba v %</w:t>
            </w:r>
          </w:p>
        </w:tc>
      </w:tr>
      <w:tr w:rsidR="003C487E">
        <w:trPr>
          <w:trHeight w:val="250"/>
        </w:trPr>
        <w:tc>
          <w:tcPr>
            <w:tcW w:w="3118" w:type="dxa"/>
            <w:gridSpan w:val="2"/>
            <w:tcBorders>
              <w:top w:val="single" w:sz="4" w:space="0" w:color="auto"/>
            </w:tcBorders>
          </w:tcPr>
          <w:p w:rsidR="003C487E" w:rsidRDefault="003C487E">
            <w:pPr>
              <w:pStyle w:val="Tabulka"/>
            </w:pPr>
            <w:r>
              <w:lastRenderedPageBreak/>
              <w:t>Stavby</w:t>
            </w:r>
          </w:p>
        </w:tc>
        <w:tc>
          <w:tcPr>
            <w:tcW w:w="1985" w:type="dxa"/>
            <w:tcBorders>
              <w:top w:val="single" w:sz="4" w:space="0" w:color="auto"/>
            </w:tcBorders>
          </w:tcPr>
          <w:p w:rsidR="003C487E" w:rsidRDefault="003C487E">
            <w:pPr>
              <w:pStyle w:val="Tabulka"/>
              <w:jc w:val="center"/>
            </w:pPr>
            <w:r>
              <w:t>40</w:t>
            </w:r>
          </w:p>
        </w:tc>
        <w:tc>
          <w:tcPr>
            <w:tcW w:w="141" w:type="dxa"/>
            <w:tcBorders>
              <w:top w:val="single" w:sz="4" w:space="0" w:color="auto"/>
            </w:tcBorders>
          </w:tcPr>
          <w:p w:rsidR="003C487E" w:rsidRDefault="003C487E">
            <w:pPr>
              <w:pStyle w:val="Tabulka"/>
              <w:jc w:val="center"/>
            </w:pPr>
          </w:p>
        </w:tc>
        <w:tc>
          <w:tcPr>
            <w:tcW w:w="1701" w:type="dxa"/>
            <w:tcBorders>
              <w:top w:val="single" w:sz="4" w:space="0" w:color="auto"/>
            </w:tcBorders>
          </w:tcPr>
          <w:p w:rsidR="003C487E" w:rsidRDefault="003C487E">
            <w:pPr>
              <w:pStyle w:val="Tabulka"/>
              <w:jc w:val="center"/>
            </w:pPr>
            <w:r>
              <w:t>lineárna</w:t>
            </w:r>
          </w:p>
        </w:tc>
        <w:tc>
          <w:tcPr>
            <w:tcW w:w="142" w:type="dxa"/>
            <w:tcBorders>
              <w:top w:val="single" w:sz="4" w:space="0" w:color="auto"/>
            </w:tcBorders>
          </w:tcPr>
          <w:p w:rsidR="003C487E" w:rsidRDefault="003C487E">
            <w:pPr>
              <w:pStyle w:val="Tabulka"/>
              <w:jc w:val="center"/>
            </w:pPr>
          </w:p>
        </w:tc>
        <w:tc>
          <w:tcPr>
            <w:tcW w:w="1701" w:type="dxa"/>
            <w:tcBorders>
              <w:top w:val="single" w:sz="4" w:space="0" w:color="auto"/>
            </w:tcBorders>
          </w:tcPr>
          <w:p w:rsidR="003C487E" w:rsidRDefault="003C487E">
            <w:pPr>
              <w:pStyle w:val="Tabulka"/>
              <w:jc w:val="center"/>
            </w:pPr>
            <w:r>
              <w:t>2,5</w:t>
            </w:r>
          </w:p>
        </w:tc>
      </w:tr>
      <w:tr w:rsidR="003C487E">
        <w:trPr>
          <w:trHeight w:val="250"/>
        </w:trPr>
        <w:tc>
          <w:tcPr>
            <w:tcW w:w="3118" w:type="dxa"/>
            <w:gridSpan w:val="2"/>
          </w:tcPr>
          <w:p w:rsidR="003C487E" w:rsidRDefault="003C487E">
            <w:pPr>
              <w:pStyle w:val="Tabulka"/>
            </w:pPr>
            <w:r>
              <w:t>Stroje, prístroje a zariadenia</w:t>
            </w:r>
          </w:p>
        </w:tc>
        <w:tc>
          <w:tcPr>
            <w:tcW w:w="1985" w:type="dxa"/>
          </w:tcPr>
          <w:p w:rsidR="003C487E" w:rsidRDefault="003C487E">
            <w:pPr>
              <w:pStyle w:val="Tabulka"/>
              <w:jc w:val="center"/>
            </w:pPr>
            <w:r>
              <w:t>8 až 12</w:t>
            </w:r>
          </w:p>
        </w:tc>
        <w:tc>
          <w:tcPr>
            <w:tcW w:w="141" w:type="dxa"/>
          </w:tcPr>
          <w:p w:rsidR="003C487E" w:rsidRDefault="003C487E">
            <w:pPr>
              <w:pStyle w:val="Tabulka"/>
              <w:jc w:val="center"/>
            </w:pPr>
          </w:p>
        </w:tc>
        <w:tc>
          <w:tcPr>
            <w:tcW w:w="1701" w:type="dxa"/>
          </w:tcPr>
          <w:p w:rsidR="003C487E" w:rsidRDefault="003C487E">
            <w:pPr>
              <w:pStyle w:val="Tabulka"/>
              <w:jc w:val="center"/>
            </w:pPr>
            <w:r>
              <w:t>lineárna</w:t>
            </w:r>
          </w:p>
        </w:tc>
        <w:tc>
          <w:tcPr>
            <w:tcW w:w="142" w:type="dxa"/>
          </w:tcPr>
          <w:p w:rsidR="003C487E" w:rsidRDefault="003C487E">
            <w:pPr>
              <w:pStyle w:val="Tabulka"/>
              <w:jc w:val="center"/>
            </w:pPr>
          </w:p>
        </w:tc>
        <w:tc>
          <w:tcPr>
            <w:tcW w:w="1701" w:type="dxa"/>
          </w:tcPr>
          <w:p w:rsidR="003C487E" w:rsidRDefault="003C487E">
            <w:pPr>
              <w:pStyle w:val="Tabulka"/>
              <w:jc w:val="center"/>
            </w:pPr>
            <w:r>
              <w:t>8,3 až 12,5</w:t>
            </w:r>
          </w:p>
        </w:tc>
      </w:tr>
      <w:tr w:rsidR="003C487E">
        <w:trPr>
          <w:trHeight w:val="250"/>
        </w:trPr>
        <w:tc>
          <w:tcPr>
            <w:tcW w:w="3118" w:type="dxa"/>
            <w:gridSpan w:val="2"/>
          </w:tcPr>
          <w:p w:rsidR="003C487E" w:rsidRDefault="003C487E">
            <w:pPr>
              <w:pStyle w:val="Tabulka"/>
            </w:pPr>
            <w:r>
              <w:t>Dopravné prostriedky</w:t>
            </w:r>
          </w:p>
        </w:tc>
        <w:tc>
          <w:tcPr>
            <w:tcW w:w="1985" w:type="dxa"/>
          </w:tcPr>
          <w:p w:rsidR="003C487E" w:rsidRDefault="003C487E">
            <w:pPr>
              <w:pStyle w:val="Tabulka"/>
              <w:jc w:val="center"/>
            </w:pPr>
            <w:r>
              <w:t>4 až 6</w:t>
            </w:r>
          </w:p>
        </w:tc>
        <w:tc>
          <w:tcPr>
            <w:tcW w:w="141" w:type="dxa"/>
          </w:tcPr>
          <w:p w:rsidR="003C487E" w:rsidRDefault="003C487E">
            <w:pPr>
              <w:pStyle w:val="Tabulka"/>
              <w:jc w:val="center"/>
            </w:pPr>
          </w:p>
        </w:tc>
        <w:tc>
          <w:tcPr>
            <w:tcW w:w="1701" w:type="dxa"/>
          </w:tcPr>
          <w:p w:rsidR="003C487E" w:rsidRDefault="003C487E">
            <w:pPr>
              <w:pStyle w:val="Tabulka"/>
              <w:jc w:val="center"/>
            </w:pPr>
            <w:r>
              <w:t>lineárna</w:t>
            </w:r>
          </w:p>
        </w:tc>
        <w:tc>
          <w:tcPr>
            <w:tcW w:w="142" w:type="dxa"/>
          </w:tcPr>
          <w:p w:rsidR="003C487E" w:rsidRDefault="003C487E">
            <w:pPr>
              <w:pStyle w:val="Tabulka"/>
              <w:jc w:val="center"/>
            </w:pPr>
          </w:p>
        </w:tc>
        <w:tc>
          <w:tcPr>
            <w:tcW w:w="1701" w:type="dxa"/>
          </w:tcPr>
          <w:p w:rsidR="003C487E" w:rsidRDefault="003C487E">
            <w:pPr>
              <w:pStyle w:val="Tabulka"/>
              <w:jc w:val="center"/>
            </w:pPr>
            <w:r>
              <w:t>16 až 30</w:t>
            </w:r>
          </w:p>
        </w:tc>
      </w:tr>
      <w:tr w:rsidR="003C487E">
        <w:trPr>
          <w:trHeight w:val="250"/>
        </w:trPr>
        <w:tc>
          <w:tcPr>
            <w:tcW w:w="3118" w:type="dxa"/>
            <w:gridSpan w:val="2"/>
          </w:tcPr>
          <w:p w:rsidR="003C487E" w:rsidRDefault="003C487E">
            <w:pPr>
              <w:pStyle w:val="Tabulka"/>
            </w:pPr>
            <w:r>
              <w:t>Drobný dlhodobý hmotný majetok</w:t>
            </w:r>
          </w:p>
        </w:tc>
        <w:tc>
          <w:tcPr>
            <w:tcW w:w="1985" w:type="dxa"/>
          </w:tcPr>
          <w:p w:rsidR="003C487E" w:rsidRDefault="003C487E">
            <w:pPr>
              <w:pStyle w:val="Tabulka"/>
              <w:jc w:val="center"/>
            </w:pPr>
            <w:r>
              <w:t>rôzna</w:t>
            </w:r>
          </w:p>
        </w:tc>
        <w:tc>
          <w:tcPr>
            <w:tcW w:w="141" w:type="dxa"/>
          </w:tcPr>
          <w:p w:rsidR="003C487E" w:rsidRDefault="003C487E">
            <w:pPr>
              <w:pStyle w:val="Tabulka"/>
              <w:jc w:val="center"/>
            </w:pPr>
          </w:p>
        </w:tc>
        <w:tc>
          <w:tcPr>
            <w:tcW w:w="1701" w:type="dxa"/>
          </w:tcPr>
          <w:p w:rsidR="003C487E" w:rsidRDefault="003C487E">
            <w:pPr>
              <w:pStyle w:val="Tabulka"/>
              <w:jc w:val="center"/>
            </w:pPr>
            <w:r>
              <w:t>jednorazový odpis</w:t>
            </w:r>
          </w:p>
        </w:tc>
        <w:tc>
          <w:tcPr>
            <w:tcW w:w="142" w:type="dxa"/>
          </w:tcPr>
          <w:p w:rsidR="003C487E" w:rsidRDefault="003C487E">
            <w:pPr>
              <w:pStyle w:val="Tabulka"/>
              <w:jc w:val="center"/>
            </w:pPr>
          </w:p>
        </w:tc>
        <w:tc>
          <w:tcPr>
            <w:tcW w:w="1701" w:type="dxa"/>
          </w:tcPr>
          <w:p w:rsidR="003C487E" w:rsidRDefault="003C487E">
            <w:pPr>
              <w:pStyle w:val="Tabulka"/>
              <w:jc w:val="center"/>
            </w:pPr>
            <w:r>
              <w:t>100</w:t>
            </w:r>
          </w:p>
        </w:tc>
      </w:tr>
    </w:tbl>
    <w:p w:rsidR="003C487E" w:rsidRDefault="003C487E">
      <w:pPr>
        <w:pStyle w:val="Pismenka"/>
        <w:tabs>
          <w:tab w:val="clear" w:pos="426"/>
        </w:tabs>
        <w:ind w:left="0" w:firstLine="0"/>
      </w:pPr>
    </w:p>
    <w:p w:rsidR="00F875E6" w:rsidRDefault="00F875E6">
      <w:pPr>
        <w:pStyle w:val="Pismenka"/>
        <w:tabs>
          <w:tab w:val="clear" w:pos="426"/>
        </w:tabs>
        <w:ind w:left="0" w:firstLine="0"/>
      </w:pPr>
    </w:p>
    <w:p w:rsidR="003C487E" w:rsidRDefault="003C487E">
      <w:pPr>
        <w:pStyle w:val="Pismenka"/>
        <w:numPr>
          <w:ilvl w:val="0"/>
          <w:numId w:val="10"/>
        </w:numPr>
        <w:tabs>
          <w:tab w:val="clear" w:pos="780"/>
          <w:tab w:val="num" w:pos="426"/>
        </w:tabs>
        <w:ind w:hanging="780"/>
      </w:pPr>
      <w:r>
        <w:t xml:space="preserve">Cenné papiere a podiely </w:t>
      </w:r>
    </w:p>
    <w:p w:rsidR="003C487E" w:rsidRDefault="003C487E">
      <w:pPr>
        <w:pStyle w:val="Pismenka"/>
        <w:tabs>
          <w:tab w:val="clear" w:pos="426"/>
        </w:tabs>
        <w:ind w:left="360" w:firstLine="0"/>
      </w:pPr>
    </w:p>
    <w:p w:rsidR="003C487E" w:rsidRDefault="003C487E">
      <w:pPr>
        <w:pStyle w:val="Zkladntext"/>
      </w:pPr>
      <w:r>
        <w:t>Cenné papiere a podiely sa oceňujú obstarávacími cenami, vrátane nákladov súvisiacich s obstaraním. Od obstarávacej ceny je odpočítané zníženie hodnoty cenných papierov a podielov na úroveň ich čistej realizovateľnej hodnoty.</w:t>
      </w:r>
    </w:p>
    <w:p w:rsidR="003C487E" w:rsidRDefault="003C487E">
      <w:pPr>
        <w:pStyle w:val="Zkladntext"/>
      </w:pPr>
    </w:p>
    <w:p w:rsidR="003C487E" w:rsidRDefault="003C487E">
      <w:pPr>
        <w:pStyle w:val="Zkladntext"/>
      </w:pPr>
      <w:r>
        <w:t xml:space="preserve">Spoločnosť nevlastní žiadne podiely na základnom imaní iných spoločností. </w:t>
      </w:r>
    </w:p>
    <w:p w:rsidR="003C487E" w:rsidRDefault="003C487E">
      <w:pPr>
        <w:pStyle w:val="Zkladntext"/>
      </w:pPr>
    </w:p>
    <w:p w:rsidR="003C487E" w:rsidRDefault="003C487E">
      <w:pPr>
        <w:pStyle w:val="Pismenka"/>
        <w:numPr>
          <w:ilvl w:val="0"/>
          <w:numId w:val="10"/>
        </w:numPr>
        <w:tabs>
          <w:tab w:val="clear" w:pos="780"/>
          <w:tab w:val="num" w:pos="426"/>
        </w:tabs>
        <w:ind w:hanging="780"/>
      </w:pPr>
      <w:r>
        <w:t xml:space="preserve">Zásoby </w:t>
      </w:r>
    </w:p>
    <w:p w:rsidR="003C487E" w:rsidRDefault="003C487E">
      <w:pPr>
        <w:pStyle w:val="Pismenka"/>
        <w:tabs>
          <w:tab w:val="clear" w:pos="426"/>
        </w:tabs>
        <w:ind w:left="360" w:firstLine="0"/>
      </w:pPr>
    </w:p>
    <w:p w:rsidR="003C487E" w:rsidRDefault="003C487E">
      <w:pPr>
        <w:pStyle w:val="Zkladntext"/>
      </w:pPr>
      <w:r>
        <w:t>Zásoby sa oceňujú nižšou z nasledujúcich hodnôt: obstarávacou cenou (nakupované zásoby) alebo vlastnými nákladmi (zásoby vytvorené vlastnou činnosťou) alebo čistou realizačnou hodnotou.</w:t>
      </w:r>
    </w:p>
    <w:p w:rsidR="003C487E" w:rsidRDefault="003C487E">
      <w:pPr>
        <w:pStyle w:val="Zkladntext"/>
      </w:pPr>
    </w:p>
    <w:p w:rsidR="003C487E" w:rsidRDefault="003C487E">
      <w:pPr>
        <w:pStyle w:val="Zkladntext"/>
      </w:pPr>
      <w:r>
        <w:t>Obstarávacia cena zahŕňa cenu zásob a náklady súvisiace s obstaraním (clo, prepravu, poistné, provízie, skonto a pod.). Úroky z cudzích zdrojov nie sú súčasťou obstarávacej ceny. Nakupované zásoby sa oceňujú váženým aritmetickým priemerom z obstarávacích cien.</w:t>
      </w:r>
    </w:p>
    <w:p w:rsidR="003C487E" w:rsidRDefault="003C487E">
      <w:pPr>
        <w:pStyle w:val="Zkladntext"/>
      </w:pPr>
    </w:p>
    <w:p w:rsidR="003C487E" w:rsidRDefault="003C487E">
      <w:pPr>
        <w:pStyle w:val="Zkladntext"/>
      </w:pPr>
      <w:r>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nie sú úroky z cudzích zdrojov.</w:t>
      </w:r>
    </w:p>
    <w:p w:rsidR="003C487E" w:rsidRDefault="003C487E">
      <w:pPr>
        <w:pStyle w:val="Zkladntext"/>
      </w:pPr>
    </w:p>
    <w:p w:rsidR="003C487E" w:rsidRDefault="003C487E">
      <w:pPr>
        <w:pStyle w:val="Zkladntext"/>
      </w:pPr>
      <w:r>
        <w:t xml:space="preserve">Čistá realizačná hodnota je predpokladaná predajná cena znížená o predpokladané náklady na ich dokončenie a o predpokladané náklady súvisiace s ich predajom.  </w:t>
      </w:r>
    </w:p>
    <w:p w:rsidR="003C487E" w:rsidRDefault="003C487E">
      <w:pPr>
        <w:pStyle w:val="Zkladntext"/>
      </w:pPr>
    </w:p>
    <w:p w:rsidR="003C487E" w:rsidRDefault="003C487E">
      <w:pPr>
        <w:pStyle w:val="Zkladntext"/>
      </w:pPr>
      <w:r>
        <w:t>Zníženie hodnoty zásob sa upravuje vytvorením opravnej položky.</w:t>
      </w:r>
    </w:p>
    <w:p w:rsidR="003C487E" w:rsidRDefault="003C487E">
      <w:pPr>
        <w:pStyle w:val="Pismenka"/>
        <w:tabs>
          <w:tab w:val="clear" w:pos="426"/>
        </w:tabs>
        <w:ind w:left="0" w:firstLine="0"/>
        <w:rPr>
          <w:b w:val="0"/>
        </w:rPr>
      </w:pPr>
    </w:p>
    <w:p w:rsidR="003C487E" w:rsidRDefault="003C487E">
      <w:pPr>
        <w:pStyle w:val="Pismenka"/>
        <w:numPr>
          <w:ilvl w:val="0"/>
          <w:numId w:val="10"/>
        </w:numPr>
        <w:tabs>
          <w:tab w:val="clear" w:pos="780"/>
          <w:tab w:val="num" w:pos="426"/>
        </w:tabs>
        <w:ind w:hanging="780"/>
      </w:pPr>
      <w:r>
        <w:t>Pohľadávky</w:t>
      </w:r>
    </w:p>
    <w:p w:rsidR="003C487E" w:rsidRDefault="003C487E">
      <w:pPr>
        <w:pStyle w:val="Pismenka"/>
        <w:tabs>
          <w:tab w:val="clear" w:pos="426"/>
        </w:tabs>
        <w:ind w:left="360" w:firstLine="0"/>
      </w:pPr>
    </w:p>
    <w:p w:rsidR="003C487E" w:rsidRDefault="003C487E">
      <w:pPr>
        <w:pStyle w:val="Zkladntext"/>
      </w:pPr>
      <w: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3C487E" w:rsidRDefault="003C487E">
      <w:pPr>
        <w:pStyle w:val="Zkladntext"/>
      </w:pPr>
    </w:p>
    <w:p w:rsidR="003C487E" w:rsidRDefault="003C487E">
      <w:pPr>
        <w:pStyle w:val="Pismenka"/>
        <w:numPr>
          <w:ilvl w:val="0"/>
          <w:numId w:val="10"/>
        </w:numPr>
        <w:tabs>
          <w:tab w:val="clear" w:pos="780"/>
          <w:tab w:val="num" w:pos="426"/>
        </w:tabs>
        <w:ind w:hanging="780"/>
      </w:pPr>
      <w:r>
        <w:t>Peňažné prostriedky a ceniny</w:t>
      </w:r>
    </w:p>
    <w:p w:rsidR="003C487E" w:rsidRDefault="003C487E">
      <w:pPr>
        <w:pStyle w:val="Pismenka"/>
        <w:tabs>
          <w:tab w:val="clear" w:pos="426"/>
        </w:tabs>
        <w:ind w:left="360" w:firstLine="0"/>
      </w:pPr>
    </w:p>
    <w:p w:rsidR="003C487E" w:rsidRDefault="003C487E">
      <w:pPr>
        <w:pStyle w:val="Zkladntext"/>
      </w:pPr>
      <w:r>
        <w:t>Peňažné prostriedky a ceniny sa oceňujú ich menovitou hodnotou. Zníženie ich hodnoty sa vyjadruje opravnou položkou.</w:t>
      </w:r>
    </w:p>
    <w:p w:rsidR="003C487E" w:rsidRDefault="003C487E">
      <w:pPr>
        <w:pStyle w:val="Zkladntext"/>
      </w:pPr>
    </w:p>
    <w:p w:rsidR="003C487E" w:rsidRDefault="003C487E">
      <w:pPr>
        <w:pStyle w:val="Pismenka"/>
        <w:numPr>
          <w:ilvl w:val="0"/>
          <w:numId w:val="10"/>
        </w:numPr>
        <w:tabs>
          <w:tab w:val="clear" w:pos="780"/>
          <w:tab w:val="num" w:pos="426"/>
        </w:tabs>
        <w:ind w:hanging="780"/>
      </w:pPr>
      <w:r>
        <w:t>Náklady budúcich období a príjmy budúcich období</w:t>
      </w:r>
    </w:p>
    <w:p w:rsidR="003C487E" w:rsidRDefault="003C487E">
      <w:pPr>
        <w:pStyle w:val="Pismenka"/>
        <w:tabs>
          <w:tab w:val="clear" w:pos="426"/>
        </w:tabs>
        <w:ind w:left="360" w:firstLine="0"/>
      </w:pPr>
    </w:p>
    <w:p w:rsidR="003C487E" w:rsidRDefault="003C487E">
      <w:pPr>
        <w:pStyle w:val="Zkladntext"/>
      </w:pPr>
      <w:r>
        <w:t>Náklady budúcich období a príjmy budúcich období sa vykazujú vo výške, ktorá je potrebná na dodržanie zásady vecnej a časovej súvislosti s účtovným obdobím.</w:t>
      </w:r>
    </w:p>
    <w:p w:rsidR="003C487E" w:rsidRDefault="003C487E">
      <w:pPr>
        <w:pStyle w:val="Zkladntext"/>
      </w:pPr>
    </w:p>
    <w:p w:rsidR="003C487E" w:rsidRDefault="003C487E">
      <w:pPr>
        <w:pStyle w:val="Pismenka"/>
        <w:numPr>
          <w:ilvl w:val="0"/>
          <w:numId w:val="10"/>
        </w:numPr>
        <w:tabs>
          <w:tab w:val="clear" w:pos="780"/>
          <w:tab w:val="num" w:pos="426"/>
        </w:tabs>
        <w:ind w:hanging="780"/>
      </w:pPr>
      <w:r>
        <w:t>Rezervy</w:t>
      </w:r>
    </w:p>
    <w:p w:rsidR="003C487E" w:rsidRDefault="003C487E">
      <w:pPr>
        <w:pStyle w:val="Pismenka"/>
        <w:tabs>
          <w:tab w:val="clear" w:pos="426"/>
        </w:tabs>
        <w:ind w:left="360" w:firstLine="0"/>
      </w:pPr>
    </w:p>
    <w:p w:rsidR="003C487E" w:rsidRDefault="003C487E">
      <w:pPr>
        <w:pStyle w:val="Zkladntext"/>
      </w:pPr>
      <w:r>
        <w:t>Rezervy sú záväzky s neurčitým časovým vymedzením alebo výškou; tvoria sa na krytie známych rizík alebo strát z podnikania. Oceňujú sa v očakávanej výške záväzku.</w:t>
      </w:r>
    </w:p>
    <w:p w:rsidR="003C487E" w:rsidRDefault="003C487E">
      <w:pPr>
        <w:pStyle w:val="Pismenka"/>
        <w:tabs>
          <w:tab w:val="clear" w:pos="426"/>
        </w:tabs>
      </w:pPr>
    </w:p>
    <w:p w:rsidR="00E1496A" w:rsidRDefault="00E1496A">
      <w:pPr>
        <w:pStyle w:val="Pismenka"/>
        <w:tabs>
          <w:tab w:val="clear" w:pos="426"/>
        </w:tabs>
      </w:pPr>
    </w:p>
    <w:p w:rsidR="00E1496A" w:rsidRDefault="00E1496A">
      <w:pPr>
        <w:pStyle w:val="Pismenka"/>
        <w:tabs>
          <w:tab w:val="clear" w:pos="426"/>
        </w:tabs>
      </w:pPr>
    </w:p>
    <w:p w:rsidR="00E1496A" w:rsidRDefault="00E1496A">
      <w:pPr>
        <w:pStyle w:val="Pismenka"/>
        <w:tabs>
          <w:tab w:val="clear" w:pos="426"/>
        </w:tabs>
      </w:pPr>
    </w:p>
    <w:p w:rsidR="003C487E" w:rsidRDefault="003C487E">
      <w:pPr>
        <w:pStyle w:val="Pismenka"/>
        <w:numPr>
          <w:ilvl w:val="0"/>
          <w:numId w:val="10"/>
        </w:numPr>
        <w:tabs>
          <w:tab w:val="clear" w:pos="780"/>
          <w:tab w:val="num" w:pos="426"/>
        </w:tabs>
        <w:ind w:hanging="780"/>
      </w:pPr>
      <w:r>
        <w:t>Záväzky</w:t>
      </w:r>
    </w:p>
    <w:p w:rsidR="003C487E" w:rsidRDefault="003C487E">
      <w:pPr>
        <w:pStyle w:val="Pismenka"/>
        <w:tabs>
          <w:tab w:val="clear" w:pos="426"/>
        </w:tabs>
        <w:ind w:left="360" w:firstLine="0"/>
      </w:pPr>
    </w:p>
    <w:p w:rsidR="003C487E" w:rsidRDefault="003C487E">
      <w:pPr>
        <w:pStyle w:val="Zkladntext"/>
        <w:rPr>
          <w:sz w:val="24"/>
        </w:rPr>
      </w:pPr>
      <w: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Záväzky, úvery a pôžičky so zostatkovou dobou splatnosti nad 12 mesiacov sú vykázané ako dlhodobé a s dobou splatnosti do 12 mesiacov ako krátkodobé. </w:t>
      </w:r>
    </w:p>
    <w:p w:rsidR="003C487E" w:rsidRDefault="003C487E">
      <w:pPr>
        <w:pStyle w:val="Pismenka"/>
      </w:pPr>
    </w:p>
    <w:p w:rsidR="003C487E" w:rsidRDefault="003C487E">
      <w:pPr>
        <w:pStyle w:val="Pismenka"/>
        <w:numPr>
          <w:ilvl w:val="0"/>
          <w:numId w:val="10"/>
        </w:numPr>
        <w:tabs>
          <w:tab w:val="clear" w:pos="780"/>
          <w:tab w:val="num" w:pos="142"/>
          <w:tab w:val="left" w:pos="426"/>
        </w:tabs>
        <w:ind w:left="0" w:firstLine="0"/>
      </w:pPr>
      <w:r>
        <w:t>Odložené dane</w:t>
      </w:r>
    </w:p>
    <w:p w:rsidR="003C487E" w:rsidRDefault="003C487E">
      <w:pPr>
        <w:pStyle w:val="Pismenka"/>
        <w:tabs>
          <w:tab w:val="clear" w:pos="426"/>
        </w:tabs>
        <w:ind w:left="360" w:firstLine="0"/>
      </w:pPr>
    </w:p>
    <w:p w:rsidR="003C487E" w:rsidRDefault="003C487E">
      <w:pPr>
        <w:pStyle w:val="Zkladntext"/>
      </w:pPr>
      <w:r>
        <w:t xml:space="preserve">Odložené dane (odložená daňová pohľadávka a odložený daňový záväzok) sa vzťahujú na: </w:t>
      </w:r>
    </w:p>
    <w:p w:rsidR="003C487E" w:rsidRDefault="003C487E">
      <w:pPr>
        <w:pStyle w:val="Zkladntext"/>
        <w:numPr>
          <w:ilvl w:val="0"/>
          <w:numId w:val="4"/>
        </w:numPr>
      </w:pPr>
      <w:r>
        <w:lastRenderedPageBreak/>
        <w:t>dočasné rozdiely medzi účtovnou hodnotou majetku a účtovnou hodnotou záväzkov vykázanou v súvahe a ich daňovou základňou,</w:t>
      </w:r>
    </w:p>
    <w:p w:rsidR="003C487E" w:rsidRDefault="003C487E">
      <w:pPr>
        <w:pStyle w:val="Zkladntext"/>
        <w:numPr>
          <w:ilvl w:val="0"/>
          <w:numId w:val="4"/>
        </w:numPr>
      </w:pPr>
      <w:r>
        <w:t>možnosť umorovať daňovú stratu v budúcnosti, ktorou sa rozumie možnosť odpočítať daňovú stratu od základu dane v budúcnosti,</w:t>
      </w:r>
    </w:p>
    <w:p w:rsidR="003C487E" w:rsidRDefault="003C487E">
      <w:pPr>
        <w:pStyle w:val="Zkladntext"/>
        <w:numPr>
          <w:ilvl w:val="0"/>
          <w:numId w:val="4"/>
        </w:numPr>
      </w:pPr>
      <w:r>
        <w:t>možnosť previesť nevyužité daňové odpočty a iné daňové nároky do budúcich období.</w:t>
      </w:r>
    </w:p>
    <w:p w:rsidR="003C487E" w:rsidRDefault="003C487E">
      <w:pPr>
        <w:pStyle w:val="Zkladntext"/>
        <w:ind w:left="832"/>
      </w:pPr>
    </w:p>
    <w:p w:rsidR="003C487E" w:rsidRDefault="003C487E">
      <w:pPr>
        <w:pStyle w:val="Pismenka"/>
        <w:numPr>
          <w:ilvl w:val="0"/>
          <w:numId w:val="10"/>
        </w:numPr>
        <w:tabs>
          <w:tab w:val="clear" w:pos="780"/>
          <w:tab w:val="left" w:pos="0"/>
          <w:tab w:val="left" w:pos="426"/>
        </w:tabs>
        <w:ind w:left="0" w:firstLine="0"/>
      </w:pPr>
      <w:r>
        <w:t>Výdavky budúcich období a výnosy budúcich období</w:t>
      </w:r>
    </w:p>
    <w:p w:rsidR="003C487E" w:rsidRDefault="003C487E">
      <w:pPr>
        <w:pStyle w:val="Pismenka"/>
        <w:tabs>
          <w:tab w:val="clear" w:pos="426"/>
        </w:tabs>
        <w:ind w:left="360" w:firstLine="0"/>
      </w:pPr>
    </w:p>
    <w:p w:rsidR="003C487E" w:rsidRDefault="003C487E">
      <w:pPr>
        <w:pStyle w:val="Zkladntext"/>
      </w:pPr>
      <w:r>
        <w:t>Výdavky budúcich období a výnosy budúcich období sa vykazujú vo výške, ktorá je potrebná na dodržanie zásady vecnej a časovej súvislosti s účtovným obdobím.</w:t>
      </w:r>
    </w:p>
    <w:p w:rsidR="003C487E" w:rsidRDefault="003C487E">
      <w:pPr>
        <w:pStyle w:val="Zkladntext"/>
        <w:rPr>
          <w:sz w:val="16"/>
        </w:rPr>
      </w:pPr>
    </w:p>
    <w:p w:rsidR="003C487E" w:rsidRDefault="003C487E">
      <w:pPr>
        <w:pStyle w:val="Pismenka"/>
      </w:pPr>
      <w:r>
        <w:t>(m)</w:t>
      </w:r>
      <w:r>
        <w:tab/>
        <w:t>Prenájom (lízing)</w:t>
      </w:r>
    </w:p>
    <w:p w:rsidR="003C487E" w:rsidRDefault="003C487E">
      <w:pPr>
        <w:pStyle w:val="Zkladntext"/>
      </w:pPr>
    </w:p>
    <w:p w:rsidR="003C487E" w:rsidRDefault="003C487E">
      <w:pPr>
        <w:pStyle w:val="Zkladntext"/>
      </w:pPr>
      <w:r>
        <w:t>Operatívny prenájom. Majetok prenajatý na základe operatívneho prenájmu vykazuje ako svoj majetok jeho vlastník, nie nájomca.</w:t>
      </w:r>
    </w:p>
    <w:p w:rsidR="003C487E" w:rsidRDefault="003C487E">
      <w:pPr>
        <w:pStyle w:val="Zkladntext"/>
      </w:pPr>
      <w:r>
        <w:t>Finančný prenájom (s kúpnou opciou; bez kúpnej opcie je považovaný za operatívny prenájom). Majetok prenajatý na základe zmluvy uzatvorenej do 31. decembra 2003 vykazuje ako svoj majetok jeho vlastník, nie nájomca. Majetok prenajatý na základe zmluvy uzatvorenej 1. januára 2004 a neskôr vykazuje ako svoj majetok jeho nájomca, nie vlastník.</w:t>
      </w:r>
    </w:p>
    <w:p w:rsidR="003C487E" w:rsidRDefault="003C487E">
      <w:pPr>
        <w:pStyle w:val="Zkladntext"/>
        <w:rPr>
          <w:sz w:val="16"/>
        </w:rPr>
      </w:pPr>
    </w:p>
    <w:p w:rsidR="003C487E" w:rsidRDefault="003C487E">
      <w:pPr>
        <w:pStyle w:val="Pismenka"/>
      </w:pPr>
      <w:r>
        <w:t>(n)</w:t>
      </w:r>
      <w:r>
        <w:tab/>
        <w:t>Deriváty</w:t>
      </w:r>
    </w:p>
    <w:p w:rsidR="003C487E" w:rsidRDefault="003C487E">
      <w:pPr>
        <w:pStyle w:val="Zkladntext"/>
      </w:pPr>
    </w:p>
    <w:p w:rsidR="003C487E" w:rsidRDefault="003C487E">
      <w:pPr>
        <w:pStyle w:val="Zkladntext"/>
      </w:pPr>
      <w:r>
        <w:t>Deriváty sa oceňujú reálnou hodnotou.</w:t>
      </w:r>
    </w:p>
    <w:p w:rsidR="003C487E" w:rsidRDefault="003C487E">
      <w:pPr>
        <w:pStyle w:val="Zkladntext"/>
        <w:rPr>
          <w:sz w:val="16"/>
        </w:rPr>
      </w:pPr>
    </w:p>
    <w:p w:rsidR="003C487E" w:rsidRDefault="003C487E">
      <w:pPr>
        <w:pStyle w:val="Zkladntext"/>
      </w:pPr>
      <w:r>
        <w:t>Zmeny reálnych hodnôt zabezpečovacích derivátov sa účtujú bez vplyvu na výsledok hospodárenia, priamo do vlastného imania.</w:t>
      </w:r>
    </w:p>
    <w:p w:rsidR="003C487E" w:rsidRDefault="003C487E">
      <w:pPr>
        <w:pStyle w:val="Zkladntext"/>
        <w:rPr>
          <w:sz w:val="16"/>
        </w:rPr>
      </w:pPr>
    </w:p>
    <w:p w:rsidR="003C487E" w:rsidRDefault="003C487E">
      <w:pPr>
        <w:pStyle w:val="Zkladntext"/>
      </w:pPr>
      <w:r>
        <w:t>Zmeny reálnych hodnôt derivátov určených na obchodovanie na tuzemskej burze, zahraničnej burze alebo inom verejnom trhu sa účtujú s vplyvom na výsledok hospodárenia.</w:t>
      </w:r>
    </w:p>
    <w:p w:rsidR="003C487E" w:rsidRDefault="003C487E">
      <w:pPr>
        <w:pStyle w:val="Zkladntext"/>
        <w:rPr>
          <w:sz w:val="16"/>
        </w:rPr>
      </w:pPr>
    </w:p>
    <w:p w:rsidR="003C487E" w:rsidRDefault="003C487E">
      <w:pPr>
        <w:pStyle w:val="Zkladntext"/>
      </w:pPr>
      <w:r>
        <w:t>Zmeny reálnych hodnôt derivátov určených na obchodovanie na neverejnom trhu sa účtujú bez vplyvu na výsledok hospodárenia, priamo do vlastného imania.</w:t>
      </w:r>
    </w:p>
    <w:p w:rsidR="003C487E" w:rsidRDefault="003C487E">
      <w:pPr>
        <w:pStyle w:val="Zkladntext"/>
        <w:rPr>
          <w:sz w:val="16"/>
        </w:rPr>
      </w:pPr>
    </w:p>
    <w:p w:rsidR="003C487E" w:rsidRDefault="003C487E">
      <w:pPr>
        <w:pStyle w:val="Pismenka"/>
      </w:pPr>
      <w:r>
        <w:t>(o)</w:t>
      </w:r>
      <w:r>
        <w:tab/>
        <w:t>Majetok a záväzky zabezpečené derivátmi</w:t>
      </w:r>
    </w:p>
    <w:p w:rsidR="003C487E" w:rsidRDefault="003C487E">
      <w:pPr>
        <w:pStyle w:val="Zkladntext"/>
      </w:pPr>
    </w:p>
    <w:p w:rsidR="003C487E" w:rsidRDefault="003C487E">
      <w:pPr>
        <w:pStyle w:val="Zkladntext"/>
      </w:pPr>
      <w:r>
        <w:t xml:space="preserve">Majetok a záväzky zabezpečené derivátmi sa oceňujú reálnou hodnotou. Zmeny reálnych hodnôt majetku a záväzkov zabezpečených derivátmi sa účtujú bez vplyvu na výsledok hospodárenia, priamo do vlastného imania. </w:t>
      </w:r>
    </w:p>
    <w:p w:rsidR="003C487E" w:rsidRDefault="003C487E">
      <w:pPr>
        <w:pStyle w:val="Zkladntext"/>
        <w:rPr>
          <w:sz w:val="16"/>
        </w:rPr>
      </w:pPr>
    </w:p>
    <w:p w:rsidR="003C487E" w:rsidRDefault="003C487E">
      <w:pPr>
        <w:pStyle w:val="Pismenka"/>
      </w:pPr>
      <w:r>
        <w:t>(p)</w:t>
      </w:r>
      <w:r>
        <w:tab/>
        <w:t>Cudzia mena</w:t>
      </w:r>
    </w:p>
    <w:p w:rsidR="003C487E" w:rsidRDefault="003C487E">
      <w:pPr>
        <w:pStyle w:val="Zkladntext"/>
      </w:pPr>
    </w:p>
    <w:p w:rsidR="00D43170" w:rsidRDefault="00D43170" w:rsidP="00D43170">
      <w:pPr>
        <w:pStyle w:val="Zkladntext"/>
      </w:pPr>
      <w:r w:rsidRPr="00194BFD">
        <w:t xml:space="preserve">Majetok a záväzky vyjadrené v cudzej mene sa ku dňu uskutočnenia účtovného prípadu </w:t>
      </w:r>
      <w:r>
        <w:t xml:space="preserve">prepočítavajú na menu euro referenčným výmenným </w:t>
      </w:r>
      <w:r w:rsidRPr="00194BFD">
        <w:t>kurzom</w:t>
      </w:r>
      <w:r>
        <w:t xml:space="preserve"> určeným a vyhláseným Európskou centrálnou bankou alebo Národnou bankou Slovenska v deň predchádzajúci dňu uskutočnenia účtovného prípadu. </w:t>
      </w:r>
    </w:p>
    <w:p w:rsidR="00D43170" w:rsidRDefault="00D43170" w:rsidP="00D43170">
      <w:pPr>
        <w:pStyle w:val="Zkladntext"/>
      </w:pPr>
    </w:p>
    <w:p w:rsidR="00D43170" w:rsidRDefault="00D43170" w:rsidP="00D43170">
      <w:pPr>
        <w:pStyle w:val="Zkladntext"/>
      </w:pPr>
      <w:r>
        <w:t>Na ocenenie prírastku cudzej meny nakúpenej za euro sa použije kurz, za ktorý bola táto cudzia mena nakúpená.</w:t>
      </w:r>
    </w:p>
    <w:p w:rsidR="00D43170" w:rsidRDefault="00D43170" w:rsidP="00D43170">
      <w:pPr>
        <w:pStyle w:val="Zkladntext"/>
      </w:pPr>
    </w:p>
    <w:p w:rsidR="00D43170" w:rsidRDefault="00D43170" w:rsidP="00D43170">
      <w:pPr>
        <w:pStyle w:val="Zkladntext"/>
      </w:pPr>
      <w:r>
        <w:t xml:space="preserve">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 </w:t>
      </w:r>
    </w:p>
    <w:p w:rsidR="00D43170" w:rsidRDefault="00D43170" w:rsidP="00D43170">
      <w:pPr>
        <w:pStyle w:val="Zkladntext"/>
      </w:pPr>
    </w:p>
    <w:p w:rsidR="00D43170" w:rsidRDefault="00D43170" w:rsidP="00D43170">
      <w:pPr>
        <w:pStyle w:val="Zkladntext"/>
      </w:pPr>
      <w:r w:rsidRPr="00194BFD">
        <w:t>Majetok a záväzky vyjadrené v cudzej mene (</w:t>
      </w:r>
      <w:r>
        <w:t>okrem</w:t>
      </w:r>
      <w:r w:rsidRPr="00194BFD">
        <w:t xml:space="preserve"> prijatých a poskytnutých preddavkov) sa ku dňu, ku ktorému</w:t>
      </w:r>
      <w:r>
        <w:t xml:space="preserve"> sa</w:t>
      </w:r>
      <w:r w:rsidRPr="00194BFD">
        <w:t xml:space="preserve"> zostavuje účtovná závierka</w:t>
      </w:r>
      <w:r>
        <w:t>,</w:t>
      </w:r>
      <w:r w:rsidRPr="00194BFD">
        <w:t xml:space="preserve"> prepočítavajú na </w:t>
      </w:r>
      <w:r>
        <w:t xml:space="preserve">menu euro referenčným výmenným </w:t>
      </w:r>
      <w:r w:rsidRPr="00194BFD">
        <w:t xml:space="preserve">kurzom </w:t>
      </w:r>
      <w:r>
        <w:t>určeným a vyhláseným Európskou centrálnou bankou alebo Národnou bankou Slovenska v deň, ku ktorému sa zostavuje účtovná závierka,</w:t>
      </w:r>
      <w:r w:rsidRPr="00194BFD">
        <w:t xml:space="preserve"> a účtujú sa s vplyvom na výsledok hospodárenia. </w:t>
      </w:r>
    </w:p>
    <w:p w:rsidR="00D43170" w:rsidRDefault="00D43170" w:rsidP="00D43170">
      <w:pPr>
        <w:pStyle w:val="Zkladntext"/>
      </w:pPr>
    </w:p>
    <w:p w:rsidR="00D43170" w:rsidRDefault="00D43170" w:rsidP="00D43170">
      <w:pPr>
        <w:pStyle w:val="Zkladntext"/>
      </w:pPr>
      <w: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Ku dňu, ku ktorému sa zostavuje účtovná závierka, sa už neprepočítavajú. </w:t>
      </w:r>
    </w:p>
    <w:p w:rsidR="00D43170" w:rsidRDefault="00D43170" w:rsidP="00D43170">
      <w:pPr>
        <w:pStyle w:val="Zkladntext"/>
      </w:pPr>
    </w:p>
    <w:p w:rsidR="00D43170" w:rsidRDefault="00D43170" w:rsidP="00D43170">
      <w:pPr>
        <w:pStyle w:val="Zkladntext"/>
      </w:pPr>
      <w:r>
        <w:t>Prijaté a poskytnuté preddavky v cudzej mene na účet zriadený v eurách a z účtu zriadeného v eurách sa prepočítavajú na menu euro kurzom, za ktorý boli tieto hodnoty nakúpené alebo predané.</w:t>
      </w:r>
    </w:p>
    <w:p w:rsidR="003C487E" w:rsidRDefault="003C487E">
      <w:pPr>
        <w:pStyle w:val="Zkladntext"/>
        <w:rPr>
          <w:sz w:val="16"/>
        </w:rPr>
      </w:pPr>
    </w:p>
    <w:p w:rsidR="003C487E" w:rsidRDefault="003C487E">
      <w:pPr>
        <w:pStyle w:val="Pismenka"/>
      </w:pPr>
      <w:r>
        <w:t>(q)</w:t>
      </w:r>
      <w:r>
        <w:tab/>
        <w:t>Výnosy</w:t>
      </w:r>
    </w:p>
    <w:p w:rsidR="003C487E" w:rsidRDefault="003C487E">
      <w:pPr>
        <w:pStyle w:val="Zkladntext"/>
      </w:pPr>
      <w:r>
        <w:t>Tržby za vlastné výkony a tovar neobsahujú daň z pridanej hodnoty. Sú tiež znížené o zľavy a zrážky (rabaty, bonusy, skontá, dobropisy a pod.) bez ohľadu na to, či zákazník mal vopred na zľavu nárok, alebo či ide o dodatočne uznanú zľavu.</w:t>
      </w:r>
    </w:p>
    <w:p w:rsidR="003C487E" w:rsidRDefault="003C487E">
      <w:pPr>
        <w:pStyle w:val="Zkladntext"/>
        <w:rPr>
          <w:sz w:val="16"/>
        </w:rPr>
      </w:pPr>
    </w:p>
    <w:p w:rsidR="003C487E" w:rsidRDefault="003C487E">
      <w:pPr>
        <w:pStyle w:val="Zkladntext"/>
        <w:rPr>
          <w:sz w:val="16"/>
        </w:rPr>
      </w:pPr>
    </w:p>
    <w:p w:rsidR="003C487E" w:rsidRDefault="003C487E">
      <w:pPr>
        <w:pStyle w:val="Nadpis1"/>
      </w:pPr>
      <w:bookmarkStart w:id="3" w:name="_Toc530739900"/>
      <w:r>
        <w:lastRenderedPageBreak/>
        <w:t>informácie o údajoch na strane aktív súvahy</w:t>
      </w:r>
      <w:bookmarkEnd w:id="3"/>
    </w:p>
    <w:p w:rsidR="00E102E1" w:rsidRDefault="00E102E1">
      <w:pPr>
        <w:pStyle w:val="Hlavika"/>
        <w:numPr>
          <w:ilvl w:val="12"/>
          <w:numId w:val="0"/>
        </w:numPr>
        <w:tabs>
          <w:tab w:val="clear" w:pos="4153"/>
          <w:tab w:val="clear" w:pos="8306"/>
        </w:tabs>
        <w:jc w:val="both"/>
        <w:rPr>
          <w:sz w:val="16"/>
        </w:rPr>
      </w:pPr>
    </w:p>
    <w:p w:rsidR="00E102E1" w:rsidRDefault="00E102E1">
      <w:pPr>
        <w:pStyle w:val="Hlavika"/>
        <w:numPr>
          <w:ilvl w:val="12"/>
          <w:numId w:val="0"/>
        </w:numPr>
        <w:tabs>
          <w:tab w:val="clear" w:pos="4153"/>
          <w:tab w:val="clear" w:pos="8306"/>
        </w:tabs>
        <w:jc w:val="both"/>
        <w:rPr>
          <w:sz w:val="16"/>
        </w:rPr>
      </w:pPr>
    </w:p>
    <w:p w:rsidR="003C487E" w:rsidRDefault="003C487E">
      <w:pPr>
        <w:pStyle w:val="Nadpis2"/>
        <w:numPr>
          <w:ilvl w:val="0"/>
          <w:numId w:val="3"/>
        </w:numPr>
        <w:tabs>
          <w:tab w:val="clear" w:pos="360"/>
          <w:tab w:val="num" w:pos="426"/>
        </w:tabs>
      </w:pPr>
      <w:bookmarkStart w:id="4" w:name="_Toc530739901"/>
      <w:r>
        <w:t>Dlhodobý nehmotný majetok a dlhodobý hmotný majetok</w:t>
      </w:r>
      <w:bookmarkEnd w:id="4"/>
    </w:p>
    <w:p w:rsidR="003C487E" w:rsidRDefault="003C487E">
      <w:pPr>
        <w:pStyle w:val="Zkladntext"/>
        <w:rPr>
          <w:sz w:val="16"/>
        </w:rPr>
      </w:pPr>
    </w:p>
    <w:p w:rsidR="00B97FC6" w:rsidRDefault="00B97FC6">
      <w:pPr>
        <w:pStyle w:val="Zkladntext"/>
      </w:pPr>
      <w:proofErr w:type="spellStart"/>
      <w:r>
        <w:t>Spoločnosťv</w:t>
      </w:r>
      <w:proofErr w:type="spellEnd"/>
      <w:r>
        <w:t xml:space="preserve"> období od 1. januára 20</w:t>
      </w:r>
      <w:r w:rsidR="00CE5C71">
        <w:t>2</w:t>
      </w:r>
      <w:r w:rsidR="00440D97">
        <w:t>2</w:t>
      </w:r>
      <w:r>
        <w:t xml:space="preserve"> do 31. decembra </w:t>
      </w:r>
      <w:r w:rsidR="004444F2">
        <w:t>20</w:t>
      </w:r>
      <w:r w:rsidR="00CE5C71">
        <w:t>2</w:t>
      </w:r>
      <w:r w:rsidR="00440D97">
        <w:t>2</w:t>
      </w:r>
      <w:r w:rsidR="004444F2">
        <w:t xml:space="preserve"> </w:t>
      </w:r>
      <w:r>
        <w:t xml:space="preserve">nenakupovala </w:t>
      </w:r>
      <w:r w:rsidR="003C487E">
        <w:t xml:space="preserve"> dlhodob</w:t>
      </w:r>
      <w:r>
        <w:t xml:space="preserve">ý </w:t>
      </w:r>
      <w:r w:rsidR="003C487E">
        <w:t xml:space="preserve"> nehmotn</w:t>
      </w:r>
      <w:r>
        <w:t>ý</w:t>
      </w:r>
      <w:r w:rsidR="003C487E">
        <w:t xml:space="preserve"> a dlhodob</w:t>
      </w:r>
      <w:r>
        <w:t>ý</w:t>
      </w:r>
      <w:r w:rsidR="003C487E">
        <w:t xml:space="preserve"> hmotn</w:t>
      </w:r>
      <w:r>
        <w:t>ý</w:t>
      </w:r>
      <w:r w:rsidR="003C487E">
        <w:t xml:space="preserve"> majet</w:t>
      </w:r>
      <w:r>
        <w:t>o</w:t>
      </w:r>
      <w:r w:rsidR="003C487E">
        <w:t>k</w:t>
      </w:r>
      <w:r>
        <w:t>.</w:t>
      </w:r>
    </w:p>
    <w:p w:rsidR="003C487E" w:rsidRDefault="003C487E">
      <w:pPr>
        <w:pStyle w:val="Zkladntext"/>
        <w:rPr>
          <w:sz w:val="16"/>
        </w:rPr>
      </w:pPr>
      <w:r>
        <w:t xml:space="preserve"> </w:t>
      </w:r>
    </w:p>
    <w:p w:rsidR="003C487E" w:rsidRDefault="003C487E">
      <w:pPr>
        <w:pStyle w:val="Zkladntext"/>
      </w:pPr>
      <w:r>
        <w:t xml:space="preserve">Prehľad poistenia dlhodobého hmotného majetku: </w:t>
      </w:r>
    </w:p>
    <w:bookmarkStart w:id="5" w:name="_MON_1456578629"/>
    <w:bookmarkEnd w:id="5"/>
    <w:bookmarkStart w:id="6" w:name="_MON_1488696631"/>
    <w:bookmarkEnd w:id="6"/>
    <w:p w:rsidR="003C487E" w:rsidRDefault="00440D97">
      <w:pPr>
        <w:pStyle w:val="Zkladntext"/>
      </w:pPr>
      <w:r>
        <w:object w:dxaOrig="8207" w:dyaOrig="1182">
          <v:shape id="_x0000_i1026" type="#_x0000_t75" style="width:411.75pt;height:59.25pt" o:ole="" fillcolor="window">
            <v:imagedata r:id="rId9" o:title=""/>
          </v:shape>
          <o:OLEObject Type="Embed" ProgID="Excel.Sheet.8" ShapeID="_x0000_i1026" DrawAspect="Content" ObjectID="_1738483134" r:id="rId10"/>
        </w:object>
      </w:r>
    </w:p>
    <w:p w:rsidR="000211C6" w:rsidRDefault="000211C6">
      <w:pPr>
        <w:pStyle w:val="Zkladntext"/>
        <w:ind w:left="0"/>
        <w:rPr>
          <w:sz w:val="16"/>
        </w:rPr>
      </w:pPr>
    </w:p>
    <w:p w:rsidR="003C487E" w:rsidRDefault="003C487E">
      <w:pPr>
        <w:pStyle w:val="Zkladntext"/>
        <w:ind w:left="0"/>
      </w:pPr>
      <w:r>
        <w:rPr>
          <w:sz w:val="16"/>
        </w:rPr>
        <w:t xml:space="preserve">  </w:t>
      </w:r>
    </w:p>
    <w:p w:rsidR="003C487E" w:rsidRDefault="003C487E">
      <w:pPr>
        <w:pStyle w:val="Nadpis2"/>
      </w:pPr>
      <w:bookmarkStart w:id="7" w:name="_Toc530739902"/>
      <w:r>
        <w:t>Dlhodobý finančný majetok</w:t>
      </w:r>
      <w:bookmarkEnd w:id="7"/>
    </w:p>
    <w:p w:rsidR="003C487E" w:rsidRDefault="003C487E">
      <w:pPr>
        <w:pStyle w:val="Zkladntext"/>
      </w:pPr>
    </w:p>
    <w:p w:rsidR="003C487E" w:rsidRDefault="003C487E">
      <w:pPr>
        <w:pStyle w:val="Zkladntext"/>
      </w:pPr>
      <w:r>
        <w:t>Spoločnosť nemá k 31. decembru 20</w:t>
      </w:r>
      <w:r w:rsidR="00CE5C71">
        <w:t>2</w:t>
      </w:r>
      <w:r w:rsidR="00440D97">
        <w:t>2</w:t>
      </w:r>
      <w:r>
        <w:t xml:space="preserve">  majetkové účasti v iných spoločnostiach.</w:t>
      </w:r>
    </w:p>
    <w:p w:rsidR="008373F0" w:rsidRDefault="008373F0">
      <w:bookmarkStart w:id="8" w:name="_Toc530739903"/>
    </w:p>
    <w:p w:rsidR="003C487E" w:rsidRDefault="003C487E">
      <w:pPr>
        <w:pStyle w:val="Nadpis2"/>
      </w:pPr>
      <w:r>
        <w:t>Zásoby</w:t>
      </w:r>
    </w:p>
    <w:p w:rsidR="003C487E" w:rsidRDefault="003C487E">
      <w:pPr>
        <w:pStyle w:val="Zkladntext"/>
      </w:pPr>
    </w:p>
    <w:p w:rsidR="003C487E" w:rsidRDefault="003C487E" w:rsidP="00310182">
      <w:pPr>
        <w:pStyle w:val="Zkladntext"/>
      </w:pPr>
      <w:r>
        <w:t>Spoločnosť k 31.12.20</w:t>
      </w:r>
      <w:r w:rsidR="00CE5C71">
        <w:t>2</w:t>
      </w:r>
      <w:r w:rsidR="00440D97">
        <w:t>2</w:t>
      </w:r>
      <w:r>
        <w:t xml:space="preserve"> </w:t>
      </w:r>
      <w:r w:rsidR="00C5363E">
        <w:t>ne</w:t>
      </w:r>
      <w:r>
        <w:t>vykazuje zostatok materiálových a tovarových zásob.</w:t>
      </w:r>
    </w:p>
    <w:p w:rsidR="003C487E" w:rsidRDefault="003C487E" w:rsidP="00310182">
      <w:pPr>
        <w:pStyle w:val="Zkladntext"/>
        <w:ind w:left="0"/>
      </w:pPr>
    </w:p>
    <w:p w:rsidR="000211C6" w:rsidRDefault="000211C6" w:rsidP="00310182">
      <w:pPr>
        <w:pStyle w:val="Zkladntext"/>
        <w:ind w:left="0"/>
      </w:pPr>
    </w:p>
    <w:p w:rsidR="003C487E" w:rsidRDefault="003C487E">
      <w:pPr>
        <w:pStyle w:val="Nadpis2"/>
        <w:numPr>
          <w:ilvl w:val="0"/>
          <w:numId w:val="2"/>
        </w:numPr>
      </w:pPr>
      <w:r>
        <w:t>Pohľadávky</w:t>
      </w:r>
    </w:p>
    <w:p w:rsidR="003C487E" w:rsidRDefault="003C487E">
      <w:pPr>
        <w:pStyle w:val="Zkladntext"/>
        <w:ind w:left="0"/>
      </w:pPr>
    </w:p>
    <w:p w:rsidR="003C487E" w:rsidRDefault="003C487E">
      <w:pPr>
        <w:pStyle w:val="Zkladntext"/>
      </w:pPr>
      <w:r>
        <w:t>Veková štruktúra pohľadávok je uvedená v nasledujúcom prehľade:</w:t>
      </w:r>
    </w:p>
    <w:p w:rsidR="003C487E" w:rsidRDefault="003C487E">
      <w:pPr>
        <w:pStyle w:val="Zkladntext"/>
      </w:pPr>
    </w:p>
    <w:bookmarkStart w:id="9" w:name="_MON_1456578734"/>
    <w:bookmarkStart w:id="10" w:name="_MON_1456837965"/>
    <w:bookmarkStart w:id="11" w:name="_MON_1456579734"/>
    <w:bookmarkStart w:id="12" w:name="_MON_1488696727"/>
    <w:bookmarkStart w:id="13" w:name="_MON_1488696771"/>
    <w:bookmarkEnd w:id="9"/>
    <w:bookmarkEnd w:id="10"/>
    <w:bookmarkEnd w:id="11"/>
    <w:bookmarkEnd w:id="12"/>
    <w:bookmarkEnd w:id="13"/>
    <w:bookmarkStart w:id="14" w:name="_MON_1488696794"/>
    <w:bookmarkEnd w:id="14"/>
    <w:p w:rsidR="003C487E" w:rsidRDefault="00440D97">
      <w:pPr>
        <w:pStyle w:val="Zkladntext"/>
      </w:pPr>
      <w:r>
        <w:object w:dxaOrig="8796" w:dyaOrig="1443">
          <v:shape id="_x0000_i1027" type="#_x0000_t75" style="width:440.25pt;height:1in" o:ole="" fillcolor="window">
            <v:imagedata r:id="rId11" o:title=""/>
          </v:shape>
          <o:OLEObject Type="Embed" ProgID="Excel.Sheet.8" ShapeID="_x0000_i1027" DrawAspect="Content" ObjectID="_1738483135" r:id="rId12"/>
        </w:object>
      </w:r>
    </w:p>
    <w:p w:rsidR="003C487E" w:rsidRDefault="003C487E">
      <w:pPr>
        <w:pStyle w:val="Zkladntext"/>
      </w:pPr>
    </w:p>
    <w:p w:rsidR="003C487E" w:rsidRDefault="00310182">
      <w:pPr>
        <w:pStyle w:val="Zkladntext"/>
      </w:pPr>
      <w:r>
        <w:t>Spoločnosť k 31.12.20</w:t>
      </w:r>
      <w:r w:rsidR="00CE5C71">
        <w:t>2</w:t>
      </w:r>
      <w:r w:rsidR="00440D97">
        <w:t>2</w:t>
      </w:r>
      <w:r>
        <w:t xml:space="preserve"> netvorila </w:t>
      </w:r>
      <w:r w:rsidR="003C487E">
        <w:t>opravn</w:t>
      </w:r>
      <w:r>
        <w:t>ú</w:t>
      </w:r>
      <w:r w:rsidR="003C487E">
        <w:t xml:space="preserve"> položk</w:t>
      </w:r>
      <w:r>
        <w:t>u k pohľadávkam z obchodného styku.</w:t>
      </w:r>
    </w:p>
    <w:p w:rsidR="003C487E" w:rsidRDefault="003C487E" w:rsidP="00E1496A">
      <w:pPr>
        <w:pStyle w:val="Zkladntext"/>
        <w:ind w:left="0"/>
      </w:pPr>
    </w:p>
    <w:p w:rsidR="00E1496A" w:rsidRDefault="00E1496A" w:rsidP="00E1496A">
      <w:pPr>
        <w:pStyle w:val="Zkladntext"/>
        <w:ind w:left="0"/>
      </w:pPr>
    </w:p>
    <w:p w:rsidR="003C487E" w:rsidRDefault="003C487E">
      <w:pPr>
        <w:pStyle w:val="Nadpis2"/>
      </w:pPr>
      <w:bookmarkStart w:id="15" w:name="_Toc530739905"/>
      <w:bookmarkEnd w:id="8"/>
      <w:r>
        <w:t>Finančné účty</w:t>
      </w:r>
      <w:bookmarkEnd w:id="15"/>
    </w:p>
    <w:p w:rsidR="003C487E" w:rsidRDefault="003C487E">
      <w:pPr>
        <w:pStyle w:val="Zkladntext"/>
      </w:pPr>
    </w:p>
    <w:p w:rsidR="003C487E" w:rsidRDefault="003C487E">
      <w:pPr>
        <w:pStyle w:val="Zkladntext"/>
      </w:pPr>
      <w:r>
        <w:t>Ako finančné účty sú vykázané peniaze v pokladnici, účty v bankách a cenné papiere. Účtami v bankách môže Spoločnosť voľne disponovať.</w:t>
      </w:r>
    </w:p>
    <w:bookmarkStart w:id="16" w:name="_MON_1456579832"/>
    <w:bookmarkStart w:id="17" w:name="_MON_1456579865"/>
    <w:bookmarkStart w:id="18" w:name="_MON_1456579913"/>
    <w:bookmarkEnd w:id="16"/>
    <w:bookmarkEnd w:id="17"/>
    <w:bookmarkEnd w:id="18"/>
    <w:bookmarkStart w:id="19" w:name="_MON_1488696804"/>
    <w:bookmarkEnd w:id="19"/>
    <w:p w:rsidR="00E1496A" w:rsidRDefault="009A45C7">
      <w:pPr>
        <w:pStyle w:val="Zkladntext"/>
      </w:pPr>
      <w:r>
        <w:object w:dxaOrig="8796" w:dyaOrig="1908">
          <v:shape id="_x0000_i1050" type="#_x0000_t75" style="width:440.25pt;height:96pt" o:ole="" fillcolor="window">
            <v:imagedata r:id="rId13" o:title=""/>
          </v:shape>
          <o:OLEObject Type="Embed" ProgID="Excel.Sheet.8" ShapeID="_x0000_i1050" DrawAspect="Content" ObjectID="_1738483136" r:id="rId14"/>
        </w:object>
      </w:r>
    </w:p>
    <w:p w:rsidR="000211C6" w:rsidRDefault="000211C6" w:rsidP="00E1496A">
      <w:pPr>
        <w:pStyle w:val="Zkladntext"/>
        <w:ind w:left="0"/>
      </w:pPr>
    </w:p>
    <w:p w:rsidR="000211C6" w:rsidRDefault="000211C6" w:rsidP="000211C6">
      <w:pPr>
        <w:pStyle w:val="Zkladntext"/>
        <w:ind w:left="0"/>
      </w:pPr>
    </w:p>
    <w:p w:rsidR="003C487E" w:rsidRDefault="003C487E">
      <w:pPr>
        <w:pStyle w:val="Nadpis2"/>
      </w:pPr>
      <w:bookmarkStart w:id="20" w:name="_Toc530739906"/>
      <w:r>
        <w:t>Časové rozlíšenie</w:t>
      </w:r>
      <w:bookmarkEnd w:id="20"/>
    </w:p>
    <w:p w:rsidR="003C487E" w:rsidRDefault="003C487E">
      <w:pPr>
        <w:pStyle w:val="Zkladntext"/>
      </w:pPr>
    </w:p>
    <w:p w:rsidR="003C487E" w:rsidRDefault="003C487E">
      <w:pPr>
        <w:pStyle w:val="Zkladntext"/>
      </w:pPr>
      <w:r>
        <w:t>Ide o tieto položky:</w:t>
      </w:r>
    </w:p>
    <w:bookmarkStart w:id="21" w:name="_MON_1456583195"/>
    <w:bookmarkEnd w:id="21"/>
    <w:bookmarkStart w:id="22" w:name="_MON_1488696830"/>
    <w:bookmarkEnd w:id="22"/>
    <w:p w:rsidR="003C487E" w:rsidRDefault="00440D97">
      <w:pPr>
        <w:pStyle w:val="Zkladntext"/>
      </w:pPr>
      <w:r>
        <w:object w:dxaOrig="8796" w:dyaOrig="1894">
          <v:shape id="_x0000_i1029" type="#_x0000_t75" style="width:440.25pt;height:93.75pt" o:ole="" fillcolor="window">
            <v:imagedata r:id="rId15" o:title=""/>
          </v:shape>
          <o:OLEObject Type="Embed" ProgID="Excel.Sheet.8" ShapeID="_x0000_i1029" DrawAspect="Content" ObjectID="_1738483137" r:id="rId16"/>
        </w:object>
      </w:r>
    </w:p>
    <w:p w:rsidR="003C487E" w:rsidRDefault="003C487E">
      <w:pPr>
        <w:pStyle w:val="Zkladntext"/>
        <w:ind w:left="0"/>
      </w:pPr>
    </w:p>
    <w:p w:rsidR="00E102E1" w:rsidRDefault="00E102E1">
      <w:pPr>
        <w:pStyle w:val="Zkladntext"/>
        <w:ind w:left="0"/>
      </w:pPr>
    </w:p>
    <w:p w:rsidR="003C487E" w:rsidRDefault="003C487E">
      <w:pPr>
        <w:pStyle w:val="Nadpis1"/>
      </w:pPr>
      <w:r>
        <w:t>Informácie o údajoch na strane pasív súvahy</w:t>
      </w:r>
    </w:p>
    <w:p w:rsidR="003C487E" w:rsidRDefault="003C487E">
      <w:pPr>
        <w:pStyle w:val="Zkladntext"/>
        <w:ind w:left="0"/>
      </w:pPr>
    </w:p>
    <w:p w:rsidR="003C487E" w:rsidRDefault="003C487E">
      <w:pPr>
        <w:pStyle w:val="Nadpis2"/>
        <w:numPr>
          <w:ilvl w:val="0"/>
          <w:numId w:val="5"/>
        </w:numPr>
      </w:pPr>
      <w:bookmarkStart w:id="23" w:name="_Toc530739908"/>
      <w:r>
        <w:t>Vlastné imanie</w:t>
      </w:r>
    </w:p>
    <w:p w:rsidR="003C487E" w:rsidRDefault="003C487E"/>
    <w:p w:rsidR="003C487E" w:rsidRDefault="003C487E">
      <w:pPr>
        <w:pStyle w:val="Zkladntext"/>
      </w:pPr>
      <w:r>
        <w:t xml:space="preserve">Informácie o vlastnom imaní </w:t>
      </w:r>
      <w:r w:rsidR="00907219">
        <w:t>za bezprostredne predchádzajúce obdobie  20</w:t>
      </w:r>
      <w:r w:rsidR="00171C96">
        <w:t>2</w:t>
      </w:r>
      <w:r w:rsidR="00440D97">
        <w:t>1</w:t>
      </w:r>
      <w:r w:rsidR="00907219">
        <w:t xml:space="preserve">        - </w:t>
      </w:r>
      <w:r w:rsidR="00DE1121">
        <w:t xml:space="preserve"> </w:t>
      </w:r>
      <w:r w:rsidR="00440D97">
        <w:t>97</w:t>
      </w:r>
      <w:r w:rsidR="004444F2">
        <w:t xml:space="preserve"> </w:t>
      </w:r>
      <w:r w:rsidR="00907219">
        <w:t xml:space="preserve"> €</w:t>
      </w:r>
      <w:r>
        <w:t xml:space="preserve"> </w:t>
      </w:r>
    </w:p>
    <w:p w:rsidR="00907219" w:rsidRDefault="00907219">
      <w:pPr>
        <w:pStyle w:val="Zkladntext"/>
      </w:pPr>
      <w:r>
        <w:t xml:space="preserve">                                               za bežné účtovné obdobie  20</w:t>
      </w:r>
      <w:r w:rsidR="00CE5C71">
        <w:t>2</w:t>
      </w:r>
      <w:r w:rsidR="00440D97">
        <w:t>2</w:t>
      </w:r>
      <w:r>
        <w:t xml:space="preserve">                       </w:t>
      </w:r>
      <w:r w:rsidR="00A42F7F">
        <w:t xml:space="preserve"> </w:t>
      </w:r>
      <w:r>
        <w:t xml:space="preserve">          </w:t>
      </w:r>
      <w:r w:rsidR="00012A50">
        <w:t xml:space="preserve">- </w:t>
      </w:r>
      <w:r w:rsidR="00216E3A">
        <w:t xml:space="preserve"> </w:t>
      </w:r>
      <w:r w:rsidR="00171C96">
        <w:t>97</w:t>
      </w:r>
      <w:r>
        <w:t xml:space="preserve"> €</w:t>
      </w:r>
    </w:p>
    <w:p w:rsidR="003C487E" w:rsidRDefault="003C487E">
      <w:pPr>
        <w:pStyle w:val="Nadpis2"/>
        <w:numPr>
          <w:ilvl w:val="0"/>
          <w:numId w:val="5"/>
        </w:numPr>
      </w:pPr>
      <w:r>
        <w:t>Rezervy</w:t>
      </w:r>
      <w:bookmarkEnd w:id="23"/>
    </w:p>
    <w:p w:rsidR="003C487E" w:rsidRDefault="003C487E"/>
    <w:p w:rsidR="003C487E" w:rsidRDefault="00755F84">
      <w:pPr>
        <w:ind w:left="360"/>
        <w:rPr>
          <w:sz w:val="18"/>
        </w:rPr>
      </w:pPr>
      <w:r>
        <w:rPr>
          <w:sz w:val="18"/>
        </w:rPr>
        <w:t>Spoločnosť k 31.12.20</w:t>
      </w:r>
      <w:r w:rsidR="00CE5C71">
        <w:rPr>
          <w:sz w:val="18"/>
        </w:rPr>
        <w:t>2</w:t>
      </w:r>
      <w:r w:rsidR="00440D97">
        <w:rPr>
          <w:sz w:val="18"/>
        </w:rPr>
        <w:t>2</w:t>
      </w:r>
      <w:r>
        <w:rPr>
          <w:sz w:val="18"/>
        </w:rPr>
        <w:t xml:space="preserve"> netvorila rezervy.</w:t>
      </w:r>
    </w:p>
    <w:p w:rsidR="003C487E" w:rsidRDefault="003C487E" w:rsidP="00755F84"/>
    <w:p w:rsidR="003C487E" w:rsidRDefault="003C487E">
      <w:pPr>
        <w:ind w:left="360"/>
        <w:rPr>
          <w:sz w:val="18"/>
        </w:rPr>
      </w:pPr>
    </w:p>
    <w:p w:rsidR="003C487E" w:rsidRDefault="003C487E">
      <w:pPr>
        <w:pStyle w:val="Nadpis2"/>
      </w:pPr>
      <w:r>
        <w:t>Záväzky</w:t>
      </w:r>
    </w:p>
    <w:p w:rsidR="003C487E" w:rsidRDefault="003C487E">
      <w:pPr>
        <w:pStyle w:val="Zkladntext"/>
      </w:pPr>
    </w:p>
    <w:p w:rsidR="003C487E" w:rsidRDefault="003C487E">
      <w:pPr>
        <w:pStyle w:val="Zkladntext"/>
      </w:pPr>
      <w:r>
        <w:t>Štruktúra záväzkov (okrem bankových úverov) podľa zostatkovej doby splatnosti je uvedená v nasledujúcom prehľade:</w:t>
      </w:r>
    </w:p>
    <w:bookmarkStart w:id="24" w:name="_MON_1456584279"/>
    <w:bookmarkStart w:id="25" w:name="_MON_1456584295"/>
    <w:bookmarkStart w:id="26" w:name="_MON_1456584400"/>
    <w:bookmarkEnd w:id="24"/>
    <w:bookmarkEnd w:id="25"/>
    <w:bookmarkEnd w:id="26"/>
    <w:bookmarkStart w:id="27" w:name="_MON_1488696857"/>
    <w:bookmarkEnd w:id="27"/>
    <w:p w:rsidR="003C487E" w:rsidRDefault="009A45C7">
      <w:pPr>
        <w:pStyle w:val="Zkladntext"/>
        <w:tabs>
          <w:tab w:val="left" w:pos="2835"/>
        </w:tabs>
      </w:pPr>
      <w:r>
        <w:object w:dxaOrig="8751" w:dyaOrig="2402">
          <v:shape id="_x0000_i1053" type="#_x0000_t75" style="width:440.25pt;height:119.25pt" o:ole="" fillcolor="window">
            <v:imagedata r:id="rId17" o:title=""/>
          </v:shape>
          <o:OLEObject Type="Embed" ProgID="Excel.Sheet.8" ShapeID="_x0000_i1053" DrawAspect="Content" ObjectID="_1738483138" r:id="rId18"/>
        </w:object>
      </w:r>
    </w:p>
    <w:p w:rsidR="003C487E" w:rsidRDefault="003C487E">
      <w:pPr>
        <w:pStyle w:val="Zkladntext"/>
        <w:tabs>
          <w:tab w:val="left" w:pos="2835"/>
        </w:tabs>
      </w:pPr>
    </w:p>
    <w:p w:rsidR="003C487E" w:rsidRDefault="003C487E">
      <w:pPr>
        <w:pStyle w:val="Nadpis2"/>
      </w:pPr>
      <w:bookmarkStart w:id="28" w:name="_Toc530739911"/>
      <w:r>
        <w:t>Sociálny fond</w:t>
      </w:r>
      <w:bookmarkEnd w:id="28"/>
    </w:p>
    <w:p w:rsidR="003C487E" w:rsidRDefault="003C487E">
      <w:pPr>
        <w:pStyle w:val="Zkladntext"/>
      </w:pPr>
    </w:p>
    <w:p w:rsidR="003C487E" w:rsidRDefault="00755F84">
      <w:pPr>
        <w:pStyle w:val="Zkladntext"/>
      </w:pPr>
      <w:r>
        <w:t>Spoločnosť k 31.12.20</w:t>
      </w:r>
      <w:r w:rsidR="00CE5C71">
        <w:t>2</w:t>
      </w:r>
      <w:r w:rsidR="00440D97">
        <w:t>2</w:t>
      </w:r>
      <w:r>
        <w:t xml:space="preserve"> netvorila </w:t>
      </w:r>
      <w:r w:rsidR="003C487E">
        <w:t>sociáln</w:t>
      </w:r>
      <w:r>
        <w:t>y</w:t>
      </w:r>
      <w:r w:rsidR="003C487E">
        <w:t xml:space="preserve"> fond</w:t>
      </w:r>
      <w:r>
        <w:t>.</w:t>
      </w:r>
    </w:p>
    <w:p w:rsidR="003C487E" w:rsidRDefault="003C487E" w:rsidP="00755F84">
      <w:pPr>
        <w:pStyle w:val="Zkladntext"/>
        <w:ind w:left="0"/>
      </w:pPr>
    </w:p>
    <w:p w:rsidR="003C487E" w:rsidRDefault="003C487E">
      <w:pPr>
        <w:pStyle w:val="Zkladntext"/>
      </w:pPr>
    </w:p>
    <w:p w:rsidR="003C487E" w:rsidRDefault="003C487E">
      <w:pPr>
        <w:pStyle w:val="Nadpis2"/>
      </w:pPr>
      <w:bookmarkStart w:id="29" w:name="_Toc530739912"/>
      <w:r>
        <w:t>Bankové úvery</w:t>
      </w:r>
      <w:bookmarkEnd w:id="29"/>
      <w:r>
        <w:t xml:space="preserve"> a výpomoci</w:t>
      </w:r>
    </w:p>
    <w:p w:rsidR="003C487E" w:rsidRDefault="003C487E">
      <w:pPr>
        <w:pStyle w:val="Zkladntext"/>
      </w:pPr>
    </w:p>
    <w:p w:rsidR="003C487E" w:rsidRDefault="003C487E">
      <w:pPr>
        <w:pStyle w:val="Zkladntext"/>
      </w:pPr>
      <w:r>
        <w:t>Štruktúra bankových úverov  a finančných výpomoci je uvedená v nasledujúcom prehľade:</w:t>
      </w:r>
    </w:p>
    <w:p w:rsidR="003C487E" w:rsidRDefault="003C487E">
      <w:pPr>
        <w:pStyle w:val="Zkladntext"/>
      </w:pPr>
    </w:p>
    <w:bookmarkStart w:id="30" w:name="_MON_1456584589"/>
    <w:bookmarkStart w:id="31" w:name="_MON_1456584624"/>
    <w:bookmarkStart w:id="32" w:name="_MON_1488696885"/>
    <w:bookmarkEnd w:id="30"/>
    <w:bookmarkEnd w:id="31"/>
    <w:bookmarkEnd w:id="32"/>
    <w:bookmarkStart w:id="33" w:name="_MON_1488696890"/>
    <w:bookmarkEnd w:id="33"/>
    <w:p w:rsidR="003C487E" w:rsidRDefault="00440D97">
      <w:pPr>
        <w:pStyle w:val="Zkladntext"/>
      </w:pPr>
      <w:r>
        <w:object w:dxaOrig="8799" w:dyaOrig="1647">
          <v:shape id="_x0000_i1031" type="#_x0000_t75" style="width:441pt;height:82.5pt" o:ole="" fillcolor="window">
            <v:imagedata r:id="rId19" o:title=""/>
          </v:shape>
          <o:OLEObject Type="Embed" ProgID="Excel.Sheet.8" ShapeID="_x0000_i1031" DrawAspect="Content" ObjectID="_1738483139" r:id="rId20"/>
        </w:object>
      </w:r>
    </w:p>
    <w:p w:rsidR="003C487E" w:rsidRDefault="003C487E">
      <w:pPr>
        <w:pStyle w:val="Zkladntext"/>
      </w:pPr>
    </w:p>
    <w:p w:rsidR="00755F84" w:rsidRDefault="00755F84">
      <w:pPr>
        <w:pStyle w:val="Zkladntext"/>
      </w:pPr>
    </w:p>
    <w:p w:rsidR="00755F84" w:rsidRDefault="00755F84">
      <w:pPr>
        <w:pStyle w:val="Zkladntext"/>
      </w:pPr>
    </w:p>
    <w:p w:rsidR="003C487E" w:rsidRDefault="003C487E">
      <w:pPr>
        <w:pStyle w:val="Nadpis2"/>
      </w:pPr>
      <w:bookmarkStart w:id="34" w:name="_Toc530739913"/>
      <w:r>
        <w:t>Časové rozlíšenie</w:t>
      </w:r>
      <w:bookmarkEnd w:id="34"/>
    </w:p>
    <w:p w:rsidR="003C487E" w:rsidRDefault="003C487E">
      <w:pPr>
        <w:pStyle w:val="Zkladntext"/>
      </w:pPr>
    </w:p>
    <w:p w:rsidR="003C487E" w:rsidRDefault="00755F84">
      <w:pPr>
        <w:pStyle w:val="Zkladntext"/>
      </w:pPr>
      <w:r>
        <w:t xml:space="preserve">Spoločnosť neúčtovala na účtoch časového rozlíšenia. </w:t>
      </w:r>
    </w:p>
    <w:p w:rsidR="00006DB9" w:rsidRDefault="00006DB9" w:rsidP="00755F84">
      <w:pPr>
        <w:pStyle w:val="Zkladntext"/>
        <w:ind w:left="0"/>
      </w:pPr>
    </w:p>
    <w:p w:rsidR="00755F84" w:rsidRDefault="00755F84" w:rsidP="00755F84">
      <w:pPr>
        <w:pStyle w:val="Zkladntext"/>
        <w:ind w:left="0"/>
      </w:pPr>
    </w:p>
    <w:p w:rsidR="00755F84" w:rsidRDefault="00755F84" w:rsidP="00755F84">
      <w:pPr>
        <w:pStyle w:val="Zkladntext"/>
        <w:ind w:left="0"/>
      </w:pPr>
    </w:p>
    <w:p w:rsidR="003C487E" w:rsidRDefault="003C487E">
      <w:pPr>
        <w:pStyle w:val="Nadpis1"/>
      </w:pPr>
      <w:r>
        <w:lastRenderedPageBreak/>
        <w:t>informácie o výnosoch</w:t>
      </w:r>
    </w:p>
    <w:p w:rsidR="003C487E" w:rsidRDefault="003C487E">
      <w:pPr>
        <w:pStyle w:val="Nadpis2"/>
        <w:numPr>
          <w:ilvl w:val="0"/>
          <w:numId w:val="0"/>
        </w:numPr>
      </w:pPr>
      <w:bookmarkStart w:id="35" w:name="_Toc530739914"/>
    </w:p>
    <w:p w:rsidR="00006DB9" w:rsidRPr="00006DB9" w:rsidRDefault="00006DB9" w:rsidP="00006DB9"/>
    <w:p w:rsidR="003C487E" w:rsidRDefault="003C487E">
      <w:pPr>
        <w:pStyle w:val="Nadpis2"/>
        <w:numPr>
          <w:ilvl w:val="0"/>
          <w:numId w:val="6"/>
        </w:numPr>
      </w:pPr>
      <w:r>
        <w:t>Tržby za vlastné výkony a tovar</w:t>
      </w:r>
      <w:bookmarkEnd w:id="35"/>
    </w:p>
    <w:p w:rsidR="003C487E" w:rsidRDefault="003C487E">
      <w:pPr>
        <w:pStyle w:val="Zkladntext"/>
      </w:pPr>
    </w:p>
    <w:p w:rsidR="003C487E" w:rsidRDefault="003C487E">
      <w:pPr>
        <w:pStyle w:val="Zkladntext"/>
      </w:pPr>
      <w:r>
        <w:t xml:space="preserve">Tržby za predaj </w:t>
      </w:r>
      <w:proofErr w:type="spellStart"/>
      <w:r>
        <w:t>tovaru:</w:t>
      </w:r>
      <w:r w:rsidR="00CE5C71">
        <w:t>neboli</w:t>
      </w:r>
      <w:proofErr w:type="spellEnd"/>
    </w:p>
    <w:p w:rsidR="003C487E" w:rsidRDefault="003C487E">
      <w:pPr>
        <w:pStyle w:val="Zkladntext"/>
      </w:pPr>
    </w:p>
    <w:p w:rsidR="003C487E" w:rsidRDefault="003C487E">
      <w:pPr>
        <w:pStyle w:val="Zkladntext"/>
      </w:pPr>
    </w:p>
    <w:p w:rsidR="003C487E" w:rsidRDefault="003C487E">
      <w:pPr>
        <w:pStyle w:val="Nadpis2"/>
      </w:pPr>
      <w:r>
        <w:t>Ostatné výnosy z hospodárskej činnosti</w:t>
      </w:r>
    </w:p>
    <w:p w:rsidR="003C487E" w:rsidRDefault="003C487E"/>
    <w:p w:rsidR="003C487E" w:rsidRDefault="008706E5">
      <w:pPr>
        <w:ind w:left="360"/>
      </w:pPr>
      <w:r>
        <w:t>Spoločnosť v roku 20</w:t>
      </w:r>
      <w:r w:rsidR="00CE5C71">
        <w:t>2</w:t>
      </w:r>
      <w:r w:rsidR="00440D97">
        <w:t>2</w:t>
      </w:r>
      <w:r>
        <w:t xml:space="preserve"> nevykázala ostatné výnosy z hospodárskej činnosti.</w:t>
      </w:r>
    </w:p>
    <w:p w:rsidR="00395900" w:rsidRDefault="00395900" w:rsidP="00395900">
      <w:pPr>
        <w:pStyle w:val="Nadpis2"/>
        <w:numPr>
          <w:ilvl w:val="0"/>
          <w:numId w:val="0"/>
        </w:numPr>
      </w:pPr>
    </w:p>
    <w:p w:rsidR="00395900" w:rsidRDefault="00395900" w:rsidP="00395900">
      <w:pPr>
        <w:pStyle w:val="Nadpis2"/>
        <w:numPr>
          <w:ilvl w:val="0"/>
          <w:numId w:val="0"/>
        </w:numPr>
      </w:pPr>
    </w:p>
    <w:p w:rsidR="003C487E" w:rsidRDefault="003C487E" w:rsidP="00395900">
      <w:pPr>
        <w:pStyle w:val="Nadpis2"/>
        <w:numPr>
          <w:ilvl w:val="0"/>
          <w:numId w:val="0"/>
        </w:numPr>
      </w:pPr>
      <w:r>
        <w:t>Kurzové zisky</w:t>
      </w:r>
    </w:p>
    <w:p w:rsidR="003C487E" w:rsidRDefault="003C487E">
      <w:pPr>
        <w:pStyle w:val="Zkladntext"/>
      </w:pPr>
    </w:p>
    <w:p w:rsidR="003C487E" w:rsidRDefault="008706E5">
      <w:pPr>
        <w:pStyle w:val="Zkladntext"/>
      </w:pPr>
      <w:r>
        <w:t>Spoločnosť nevykázala v roku 20</w:t>
      </w:r>
      <w:r w:rsidR="00CE5C71">
        <w:t>2</w:t>
      </w:r>
      <w:r w:rsidR="00440D97">
        <w:t>2</w:t>
      </w:r>
      <w:r w:rsidR="00FF1C0C">
        <w:t xml:space="preserve"> </w:t>
      </w:r>
      <w:r w:rsidR="003C487E">
        <w:t>kurzov</w:t>
      </w:r>
      <w:r>
        <w:t>é</w:t>
      </w:r>
      <w:r w:rsidR="003C487E">
        <w:t xml:space="preserve"> zisk</w:t>
      </w:r>
      <w:r>
        <w:t>y.</w:t>
      </w:r>
    </w:p>
    <w:p w:rsidR="003C487E" w:rsidRDefault="003C487E">
      <w:pPr>
        <w:pStyle w:val="Zkladntext"/>
      </w:pPr>
    </w:p>
    <w:p w:rsidR="003C487E" w:rsidRDefault="003C487E">
      <w:bookmarkStart w:id="36" w:name="_Toc530739918"/>
    </w:p>
    <w:p w:rsidR="003C487E" w:rsidRDefault="003C487E">
      <w:pPr>
        <w:pStyle w:val="Nadpis2"/>
      </w:pPr>
      <w:r>
        <w:t>Mimoriadne výnosy</w:t>
      </w:r>
      <w:bookmarkEnd w:id="36"/>
    </w:p>
    <w:p w:rsidR="003C487E" w:rsidRDefault="003C487E">
      <w:pPr>
        <w:pStyle w:val="Zkladntext"/>
      </w:pPr>
    </w:p>
    <w:p w:rsidR="003C487E" w:rsidRDefault="008706E5" w:rsidP="008706E5">
      <w:pPr>
        <w:pStyle w:val="Zkladntext"/>
      </w:pPr>
      <w:r>
        <w:t>Spoločnosť nevykázala v roku 20</w:t>
      </w:r>
      <w:r w:rsidR="00CE5C71">
        <w:t>2</w:t>
      </w:r>
      <w:r w:rsidR="00440D97">
        <w:t>2</w:t>
      </w:r>
      <w:r>
        <w:t xml:space="preserve"> mimoriadne</w:t>
      </w:r>
      <w:r w:rsidR="003C487E">
        <w:t xml:space="preserve"> výnos</w:t>
      </w:r>
      <w:r>
        <w:t>y.</w:t>
      </w:r>
    </w:p>
    <w:p w:rsidR="00006DB9" w:rsidRDefault="00006DB9">
      <w:pPr>
        <w:pStyle w:val="Zkladntext"/>
      </w:pPr>
    </w:p>
    <w:p w:rsidR="00006DB9" w:rsidRDefault="00006DB9">
      <w:pPr>
        <w:pStyle w:val="Zkladntext"/>
      </w:pPr>
    </w:p>
    <w:p w:rsidR="003C487E" w:rsidRDefault="003C487E">
      <w:pPr>
        <w:pStyle w:val="Nadpis1"/>
        <w:numPr>
          <w:ilvl w:val="0"/>
          <w:numId w:val="0"/>
        </w:numPr>
      </w:pPr>
      <w:r>
        <w:t>Informácie o nákladoch</w:t>
      </w:r>
    </w:p>
    <w:p w:rsidR="00006DB9" w:rsidRDefault="00006DB9"/>
    <w:p w:rsidR="003C487E" w:rsidRDefault="003C487E">
      <w:pPr>
        <w:pStyle w:val="Nadpis2"/>
        <w:numPr>
          <w:ilvl w:val="0"/>
          <w:numId w:val="12"/>
        </w:numPr>
      </w:pPr>
      <w:r>
        <w:t>Spotrebované nákupy.</w:t>
      </w:r>
    </w:p>
    <w:p w:rsidR="003C487E" w:rsidRDefault="003C487E">
      <w:pPr>
        <w:pStyle w:val="Zkladntext"/>
      </w:pPr>
    </w:p>
    <w:p w:rsidR="003C487E" w:rsidRDefault="003C487E">
      <w:pPr>
        <w:pStyle w:val="Zkladntext"/>
      </w:pPr>
      <w:r>
        <w:t xml:space="preserve">Prehľad o nákladoch na materiál, teplo, vodu a energiu. </w:t>
      </w:r>
    </w:p>
    <w:p w:rsidR="003C487E" w:rsidRDefault="003C487E">
      <w:pPr>
        <w:pStyle w:val="Zkladntext"/>
      </w:pPr>
    </w:p>
    <w:bookmarkStart w:id="37" w:name="_MON_1456585106"/>
    <w:bookmarkEnd w:id="37"/>
    <w:bookmarkStart w:id="38" w:name="_MON_1488696943"/>
    <w:bookmarkEnd w:id="38"/>
    <w:p w:rsidR="003C487E" w:rsidRDefault="00440D97">
      <w:pPr>
        <w:pStyle w:val="Zkladntext"/>
      </w:pPr>
      <w:r>
        <w:object w:dxaOrig="8782" w:dyaOrig="964">
          <v:shape id="_x0000_i1032" type="#_x0000_t75" style="width:439.5pt;height:48pt" o:ole="" fillcolor="window">
            <v:imagedata r:id="rId21" o:title=""/>
          </v:shape>
          <o:OLEObject Type="Embed" ProgID="Excel.Sheet.8" ShapeID="_x0000_i1032" DrawAspect="Content" ObjectID="_1738483140" r:id="rId22"/>
        </w:object>
      </w:r>
    </w:p>
    <w:p w:rsidR="00006DB9" w:rsidRDefault="00006DB9" w:rsidP="00006DB9">
      <w:pPr>
        <w:pStyle w:val="Zkladntext"/>
        <w:ind w:left="0"/>
      </w:pPr>
    </w:p>
    <w:p w:rsidR="008373F0" w:rsidRDefault="008373F0" w:rsidP="00006DB9">
      <w:pPr>
        <w:pStyle w:val="Zkladntext"/>
        <w:ind w:left="0"/>
      </w:pPr>
    </w:p>
    <w:p w:rsidR="003C487E" w:rsidRDefault="003C487E">
      <w:pPr>
        <w:pStyle w:val="Nadpis2"/>
      </w:pPr>
      <w:r>
        <w:t>Náklady na poskytnuté služby</w:t>
      </w:r>
    </w:p>
    <w:p w:rsidR="003C487E" w:rsidRDefault="003C487E"/>
    <w:p w:rsidR="003C487E" w:rsidRDefault="003C487E">
      <w:pPr>
        <w:pStyle w:val="Zkladntext"/>
      </w:pPr>
      <w:r>
        <w:t>Prehľad o nákladoch na poskytnuté služby:</w:t>
      </w:r>
    </w:p>
    <w:p w:rsidR="003C487E" w:rsidRDefault="003C487E">
      <w:pPr>
        <w:pStyle w:val="Nadpis2"/>
        <w:numPr>
          <w:ilvl w:val="0"/>
          <w:numId w:val="0"/>
        </w:numPr>
        <w:ind w:left="426"/>
      </w:pPr>
    </w:p>
    <w:bookmarkStart w:id="39" w:name="_MON_1456585148"/>
    <w:bookmarkEnd w:id="39"/>
    <w:bookmarkStart w:id="40" w:name="_MON_1488696958"/>
    <w:bookmarkEnd w:id="40"/>
    <w:p w:rsidR="003C487E" w:rsidRDefault="00440D97">
      <w:pPr>
        <w:pStyle w:val="Nadpis2"/>
        <w:numPr>
          <w:ilvl w:val="0"/>
          <w:numId w:val="0"/>
        </w:numPr>
        <w:ind w:left="426"/>
      </w:pPr>
      <w:r>
        <w:object w:dxaOrig="8782" w:dyaOrig="964">
          <v:shape id="_x0000_i1033" type="#_x0000_t75" style="width:439.5pt;height:48pt" o:ole="" fillcolor="window">
            <v:imagedata r:id="rId23" o:title=""/>
          </v:shape>
          <o:OLEObject Type="Embed" ProgID="Excel.Sheet.8" ShapeID="_x0000_i1033" DrawAspect="Content" ObjectID="_1738483141" r:id="rId24"/>
        </w:object>
      </w:r>
    </w:p>
    <w:p w:rsidR="003C487E" w:rsidRDefault="003C487E">
      <w:pPr>
        <w:pStyle w:val="Nadpis2"/>
        <w:numPr>
          <w:ilvl w:val="0"/>
          <w:numId w:val="0"/>
        </w:numPr>
      </w:pPr>
    </w:p>
    <w:p w:rsidR="003C487E" w:rsidRDefault="00B97FC6">
      <w:pPr>
        <w:pStyle w:val="Nadpis2"/>
      </w:pPr>
      <w:r>
        <w:t>K</w:t>
      </w:r>
      <w:r w:rsidR="003C487E">
        <w:t>urzové straty</w:t>
      </w:r>
    </w:p>
    <w:p w:rsidR="003C487E" w:rsidRDefault="003C487E">
      <w:pPr>
        <w:pStyle w:val="Zkladntext"/>
      </w:pPr>
    </w:p>
    <w:p w:rsidR="008706E5" w:rsidRDefault="008706E5" w:rsidP="008706E5">
      <w:pPr>
        <w:pStyle w:val="Zkladntext"/>
      </w:pPr>
      <w:r>
        <w:t>Spoločnosť nevykázala v roku 20</w:t>
      </w:r>
      <w:r w:rsidR="00171C96">
        <w:t>2</w:t>
      </w:r>
      <w:r w:rsidR="00440D97">
        <w:t>2</w:t>
      </w:r>
      <w:r>
        <w:t xml:space="preserve"> kurzové straty.</w:t>
      </w:r>
    </w:p>
    <w:p w:rsidR="003C487E" w:rsidRDefault="003C487E">
      <w:pPr>
        <w:pStyle w:val="Zkladntext"/>
      </w:pPr>
    </w:p>
    <w:p w:rsidR="003C487E" w:rsidRDefault="003C487E">
      <w:pPr>
        <w:pStyle w:val="Zkladntext"/>
      </w:pPr>
    </w:p>
    <w:p w:rsidR="003C487E" w:rsidRDefault="003C487E">
      <w:pPr>
        <w:pStyle w:val="Nadpis2"/>
      </w:pPr>
      <w:bookmarkStart w:id="41" w:name="_Toc530739917"/>
      <w:r>
        <w:t>Mimoriadne náklady</w:t>
      </w:r>
      <w:bookmarkEnd w:id="41"/>
    </w:p>
    <w:p w:rsidR="003C487E" w:rsidRDefault="003C487E">
      <w:pPr>
        <w:pStyle w:val="Zkladntext"/>
      </w:pPr>
    </w:p>
    <w:p w:rsidR="003C487E" w:rsidRDefault="003C487E">
      <w:pPr>
        <w:pStyle w:val="Zkladntext"/>
      </w:pPr>
      <w:r>
        <w:t>Ako mimoriadne náklady sú vykázané viaceré položky, ako je to znázornené v nasledujúcom prehľade:</w:t>
      </w:r>
    </w:p>
    <w:p w:rsidR="003C487E" w:rsidRDefault="003C487E">
      <w:pPr>
        <w:pStyle w:val="Zkladntext"/>
      </w:pPr>
    </w:p>
    <w:bookmarkStart w:id="42" w:name="_MON_1488696999"/>
    <w:bookmarkEnd w:id="42"/>
    <w:p w:rsidR="003C487E" w:rsidRDefault="00440D97">
      <w:pPr>
        <w:pStyle w:val="Zkladntext"/>
      </w:pPr>
      <w:r>
        <w:object w:dxaOrig="8765" w:dyaOrig="1443">
          <v:shape id="_x0000_i1034" type="#_x0000_t75" style="width:438.75pt;height:1in" o:ole="" fillcolor="window">
            <v:imagedata r:id="rId25" o:title=""/>
          </v:shape>
          <o:OLEObject Type="Embed" ProgID="Excel.Sheet.8" ShapeID="_x0000_i1034" DrawAspect="Content" ObjectID="_1738483142" r:id="rId26"/>
        </w:object>
      </w:r>
    </w:p>
    <w:p w:rsidR="003C487E" w:rsidRDefault="003C487E">
      <w:pPr>
        <w:pStyle w:val="Zkladntext"/>
        <w:ind w:left="0"/>
      </w:pPr>
    </w:p>
    <w:p w:rsidR="003C487E" w:rsidRDefault="003C487E">
      <w:pPr>
        <w:pStyle w:val="Zkladntext"/>
        <w:ind w:left="0"/>
      </w:pPr>
    </w:p>
    <w:p w:rsidR="003C487E" w:rsidRDefault="003C487E">
      <w:pPr>
        <w:pStyle w:val="Nadpis1"/>
      </w:pPr>
      <w:r>
        <w:lastRenderedPageBreak/>
        <w:t>Informácie o údajoch na podsúvahových  účtoch</w:t>
      </w:r>
    </w:p>
    <w:p w:rsidR="00C41948" w:rsidRDefault="00C41948">
      <w:pPr>
        <w:pStyle w:val="Zkladntext"/>
      </w:pPr>
    </w:p>
    <w:p w:rsidR="003C487E" w:rsidRDefault="003C487E">
      <w:pPr>
        <w:pStyle w:val="Nadpis2"/>
        <w:numPr>
          <w:ilvl w:val="0"/>
          <w:numId w:val="7"/>
        </w:numPr>
      </w:pPr>
      <w:bookmarkStart w:id="43" w:name="_Toc530739920"/>
      <w:r>
        <w:t>Najatý majetok</w:t>
      </w:r>
      <w:bookmarkEnd w:id="43"/>
    </w:p>
    <w:p w:rsidR="003C487E" w:rsidRDefault="003C487E">
      <w:pPr>
        <w:pStyle w:val="Zkladntext"/>
      </w:pPr>
    </w:p>
    <w:p w:rsidR="003C487E" w:rsidRDefault="003C487E">
      <w:pPr>
        <w:pStyle w:val="Zkladntext"/>
      </w:pPr>
      <w:r>
        <w:t>Spoločnosť neeviduje na podsúvahových účtoch žiadny najatý majetok.</w:t>
      </w:r>
    </w:p>
    <w:p w:rsidR="003C487E" w:rsidRDefault="003C487E">
      <w:pPr>
        <w:pStyle w:val="Zkladntext"/>
      </w:pPr>
    </w:p>
    <w:p w:rsidR="003C487E" w:rsidRDefault="003C487E">
      <w:pPr>
        <w:pStyle w:val="Nadpis1"/>
      </w:pPr>
      <w:r>
        <w:t>Informácie o iných aktívach a iných pasívach</w:t>
      </w:r>
    </w:p>
    <w:p w:rsidR="003C487E" w:rsidRDefault="003C487E">
      <w:pPr>
        <w:pStyle w:val="Zkladntext"/>
        <w:ind w:left="0"/>
      </w:pPr>
    </w:p>
    <w:p w:rsidR="003C487E" w:rsidRDefault="003C487E">
      <w:pPr>
        <w:pStyle w:val="Nadpis2"/>
        <w:numPr>
          <w:ilvl w:val="0"/>
          <w:numId w:val="8"/>
        </w:numPr>
      </w:pPr>
      <w:bookmarkStart w:id="44" w:name="_Toc530739921"/>
      <w:r>
        <w:t>Podmienené záväzky</w:t>
      </w:r>
      <w:bookmarkEnd w:id="44"/>
    </w:p>
    <w:p w:rsidR="003C487E" w:rsidRDefault="003C487E">
      <w:pPr>
        <w:pStyle w:val="Zkladntext"/>
      </w:pPr>
    </w:p>
    <w:p w:rsidR="003C487E" w:rsidRDefault="003C487E">
      <w:pPr>
        <w:pStyle w:val="Zkladntext"/>
      </w:pPr>
      <w:r>
        <w:t>Spoločnosť nemá žiadne podmienené záväzky, ktoré sa nesledujú v bežnom účtovníctve a neuvádzajú sa v súvahe.</w:t>
      </w:r>
    </w:p>
    <w:p w:rsidR="003C487E" w:rsidRDefault="003C487E">
      <w:pPr>
        <w:pStyle w:val="Zkladntext"/>
      </w:pPr>
    </w:p>
    <w:p w:rsidR="003C487E" w:rsidRDefault="003C487E">
      <w:pPr>
        <w:pStyle w:val="Nadpis2"/>
      </w:pPr>
      <w:bookmarkStart w:id="45" w:name="_Toc530739922"/>
      <w:r>
        <w:t>Ostatné finančné povinnosti</w:t>
      </w:r>
      <w:bookmarkEnd w:id="45"/>
    </w:p>
    <w:p w:rsidR="003C487E" w:rsidRDefault="003C487E">
      <w:pPr>
        <w:pStyle w:val="Zkladntext"/>
      </w:pPr>
    </w:p>
    <w:p w:rsidR="003C487E" w:rsidRDefault="003C487E">
      <w:pPr>
        <w:pStyle w:val="Zkladntext"/>
      </w:pPr>
      <w:r>
        <w:t>Spoločnosť nemá žiadne ostatné finančné povinnosti, ktoré sa nesledujú v bežnom účtovníctve a neuvádzajú v súvahe.</w:t>
      </w:r>
    </w:p>
    <w:p w:rsidR="00C41948" w:rsidRDefault="00C41948">
      <w:pPr>
        <w:pStyle w:val="Zkladntext"/>
      </w:pPr>
    </w:p>
    <w:p w:rsidR="003C487E" w:rsidRDefault="003C487E" w:rsidP="00C41948">
      <w:pPr>
        <w:pStyle w:val="Nadpis1"/>
      </w:pPr>
      <w:bookmarkStart w:id="46" w:name="_Toc530739923"/>
      <w:r>
        <w:t>Informácie o príjmoch a výhodách členov štatutárnych orgánov, dozorných orgánov</w:t>
      </w:r>
      <w:bookmarkEnd w:id="46"/>
      <w:r>
        <w:t xml:space="preserve"> a iných orgánov účtovnej jednotky</w:t>
      </w:r>
    </w:p>
    <w:p w:rsidR="003C487E" w:rsidRDefault="003C487E">
      <w:pPr>
        <w:pStyle w:val="Zkladntext"/>
      </w:pPr>
      <w:r>
        <w:t>Spoločnosť nevyplácala žiadne odmeny členom štatutárnych orgánov Spoločnosti za ich činnosť pre Spoločnosť v sledovanom účtovnom období .</w:t>
      </w:r>
    </w:p>
    <w:p w:rsidR="003C487E" w:rsidRDefault="003C487E" w:rsidP="00C41948">
      <w:pPr>
        <w:pStyle w:val="Nadpis1"/>
      </w:pPr>
      <w:bookmarkStart w:id="47" w:name="_Toc530739924"/>
      <w:r>
        <w:t>Informácie o ekonomických vzťahoch účtovnej jednotky a spriaznených osôb</w:t>
      </w:r>
      <w:bookmarkEnd w:id="47"/>
    </w:p>
    <w:p w:rsidR="003C487E" w:rsidRDefault="003C487E">
      <w:pPr>
        <w:pStyle w:val="Zkladntext"/>
      </w:pPr>
      <w:r>
        <w:t>Spoločnosť neuskutočnila v priebehu účtovného obdobia žiadne transakcie so spriaznenými osobami.</w:t>
      </w:r>
    </w:p>
    <w:p w:rsidR="003C487E" w:rsidRDefault="003C487E">
      <w:pPr>
        <w:pStyle w:val="Zkladntext"/>
        <w:ind w:left="0"/>
      </w:pPr>
    </w:p>
    <w:p w:rsidR="003C487E" w:rsidRDefault="003C487E" w:rsidP="00C41948">
      <w:pPr>
        <w:pStyle w:val="Nadpis1"/>
      </w:pPr>
      <w:bookmarkStart w:id="48" w:name="_Toc530739925"/>
      <w:r>
        <w:t>Informácie o skutočnostiach, ktoré nastali po dni, ku ktorému sa zostavuje účtovná závierka, do dňa zostavenia účtovnej závierky</w:t>
      </w:r>
      <w:bookmarkEnd w:id="48"/>
    </w:p>
    <w:p w:rsidR="003C487E" w:rsidRDefault="00701533">
      <w:pPr>
        <w:pStyle w:val="Zkladntext"/>
      </w:pPr>
      <w:r>
        <w:t>Po 31. decembri 201</w:t>
      </w:r>
      <w:r w:rsidR="00F16394">
        <w:t>7</w:t>
      </w:r>
      <w:r w:rsidR="003C487E">
        <w:t xml:space="preserve"> nenastali v spoločnosti také udalosti, ktoré majú významný vplyv na verné zobrazenie skutočnosti, ktoré sú predmetom účtovníctva.</w:t>
      </w:r>
    </w:p>
    <w:p w:rsidR="003C487E" w:rsidRDefault="003C487E">
      <w:pPr>
        <w:pStyle w:val="Zkladntext"/>
        <w:ind w:left="0"/>
      </w:pPr>
    </w:p>
    <w:p w:rsidR="003C487E" w:rsidRDefault="003C487E">
      <w:pPr>
        <w:pStyle w:val="Nadpis1"/>
      </w:pPr>
      <w:bookmarkStart w:id="49" w:name="_Toc530739907"/>
      <w:r>
        <w:t xml:space="preserve">Informácie o Vlastnom </w:t>
      </w:r>
      <w:r w:rsidR="00395900">
        <w:t xml:space="preserve"> </w:t>
      </w:r>
      <w:r>
        <w:t>imaní</w:t>
      </w:r>
      <w:bookmarkEnd w:id="49"/>
    </w:p>
    <w:p w:rsidR="003C487E" w:rsidRDefault="003C487E">
      <w:pPr>
        <w:pStyle w:val="Zkladntext"/>
      </w:pPr>
    </w:p>
    <w:p w:rsidR="003C487E" w:rsidRDefault="00012A50" w:rsidP="00C41948">
      <w:pPr>
        <w:pStyle w:val="Zkladntext"/>
      </w:pPr>
      <w:bookmarkStart w:id="50" w:name="_MON_1456585900"/>
      <w:bookmarkEnd w:id="50"/>
      <w:r>
        <w:t>V</w:t>
      </w:r>
      <w:r w:rsidR="00705AF0">
        <w:t>ýsled</w:t>
      </w:r>
      <w:r>
        <w:t xml:space="preserve">ok </w:t>
      </w:r>
      <w:r w:rsidR="00705AF0">
        <w:t xml:space="preserve"> hospodárenia za účtovné obdobie 20</w:t>
      </w:r>
      <w:r w:rsidR="00171C96">
        <w:t>2</w:t>
      </w:r>
      <w:r w:rsidR="00440D97">
        <w:t>2</w:t>
      </w:r>
      <w:r w:rsidR="00705AF0">
        <w:t xml:space="preserve"> vo výške  </w:t>
      </w:r>
      <w:r w:rsidR="00DE1121">
        <w:t xml:space="preserve">- </w:t>
      </w:r>
      <w:r w:rsidR="00171C96">
        <w:t>97,</w:t>
      </w:r>
      <w:r w:rsidR="00440D97">
        <w:t>-</w:t>
      </w:r>
      <w:r w:rsidR="00DE1121">
        <w:t xml:space="preserve"> </w:t>
      </w:r>
      <w:r w:rsidR="00705AF0">
        <w:t xml:space="preserve"> EUR </w:t>
      </w:r>
      <w:r>
        <w:t xml:space="preserve">bude </w:t>
      </w:r>
      <w:proofErr w:type="spellStart"/>
      <w:r>
        <w:t>preučtovaný</w:t>
      </w:r>
      <w:proofErr w:type="spellEnd"/>
      <w:r>
        <w:t xml:space="preserve"> na neuhradenú stratu minulých rokov účet 429</w:t>
      </w:r>
      <w:r w:rsidR="00FF1C0C">
        <w:t>.</w:t>
      </w:r>
    </w:p>
    <w:p w:rsidR="003C487E" w:rsidRDefault="003C487E">
      <w:pPr>
        <w:pStyle w:val="Zkladntext"/>
      </w:pPr>
    </w:p>
    <w:p w:rsidR="0019198F" w:rsidRDefault="0019198F" w:rsidP="00705AF0">
      <w:pPr>
        <w:pStyle w:val="Zkladntext"/>
        <w:rPr>
          <w:b/>
        </w:rPr>
      </w:pPr>
    </w:p>
    <w:p w:rsidR="00705AF0" w:rsidRDefault="00705AF0" w:rsidP="00705AF0">
      <w:pPr>
        <w:pStyle w:val="Zkladntext"/>
        <w:rPr>
          <w:b/>
        </w:rPr>
      </w:pPr>
      <w:r>
        <w:rPr>
          <w:b/>
        </w:rPr>
        <w:t>Peňažné prostriedky</w:t>
      </w:r>
    </w:p>
    <w:p w:rsidR="00705AF0" w:rsidRDefault="00705AF0" w:rsidP="00705AF0">
      <w:pPr>
        <w:pStyle w:val="Zkladntext"/>
        <w:rPr>
          <w:b/>
        </w:rPr>
      </w:pPr>
    </w:p>
    <w:p w:rsidR="00705AF0" w:rsidRDefault="00705AF0" w:rsidP="00705AF0">
      <w:pPr>
        <w:pStyle w:val="Zkladntext"/>
      </w:pPr>
      <w:r>
        <w:t xml:space="preserve">Peňažnými prostriedkami (angl. cash)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 </w:t>
      </w:r>
    </w:p>
    <w:p w:rsidR="00705AF0" w:rsidRDefault="00705AF0" w:rsidP="00705AF0">
      <w:pPr>
        <w:pStyle w:val="Zkladntext"/>
      </w:pPr>
    </w:p>
    <w:p w:rsidR="00705AF0" w:rsidRDefault="00705AF0" w:rsidP="00705AF0">
      <w:pPr>
        <w:pStyle w:val="Zkladntext"/>
        <w:rPr>
          <w:b/>
        </w:rPr>
      </w:pPr>
      <w:r>
        <w:rPr>
          <w:b/>
        </w:rPr>
        <w:t>Peňažné ekvivalenty</w:t>
      </w:r>
    </w:p>
    <w:p w:rsidR="00705AF0" w:rsidRDefault="00705AF0" w:rsidP="00705AF0">
      <w:pPr>
        <w:pStyle w:val="Zkladntext"/>
      </w:pPr>
    </w:p>
    <w:p w:rsidR="00705AF0" w:rsidRDefault="00705AF0" w:rsidP="00705AF0">
      <w:pPr>
        <w:pStyle w:val="Zkladntext"/>
      </w:pPr>
      <w:r>
        <w:t xml:space="preserve">Peňažnými ekvivalentmi (angl. cash </w:t>
      </w:r>
      <w:proofErr w:type="spellStart"/>
      <w:r>
        <w:t>equivalents</w:t>
      </w:r>
      <w:proofErr w:type="spellEnd"/>
      <w:r>
        <w:t>)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rsidR="00705AF0" w:rsidRDefault="00705AF0">
      <w:pPr>
        <w:pStyle w:val="Zkladntext"/>
      </w:pPr>
    </w:p>
    <w:p w:rsidR="00907219" w:rsidRDefault="00907219">
      <w:pPr>
        <w:pStyle w:val="Zkladntext"/>
      </w:pPr>
    </w:p>
    <w:p w:rsidR="00907219" w:rsidRDefault="00907219">
      <w:pPr>
        <w:pStyle w:val="Zkladntext"/>
      </w:pPr>
    </w:p>
    <w:tbl>
      <w:tblPr>
        <w:tblW w:w="0" w:type="auto"/>
        <w:tblInd w:w="6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1944"/>
        <w:gridCol w:w="2218"/>
        <w:gridCol w:w="2219"/>
        <w:gridCol w:w="2219"/>
      </w:tblGrid>
      <w:tr w:rsidR="0019198F" w:rsidTr="0019198F">
        <w:trPr>
          <w:cantSplit/>
        </w:trPr>
        <w:tc>
          <w:tcPr>
            <w:tcW w:w="1944" w:type="dxa"/>
            <w:tcBorders>
              <w:top w:val="single" w:sz="4" w:space="0" w:color="auto"/>
              <w:left w:val="single" w:sz="4" w:space="0" w:color="auto"/>
              <w:bottom w:val="single" w:sz="4" w:space="0" w:color="auto"/>
              <w:right w:val="single" w:sz="4" w:space="0" w:color="auto"/>
            </w:tcBorders>
          </w:tcPr>
          <w:p w:rsidR="0019198F" w:rsidRDefault="0019198F">
            <w:pPr>
              <w:rPr>
                <w:sz w:val="18"/>
              </w:rPr>
            </w:pPr>
            <w:r>
              <w:rPr>
                <w:sz w:val="18"/>
              </w:rPr>
              <w:t>Zostavená dňa:</w:t>
            </w:r>
          </w:p>
          <w:p w:rsidR="0019198F" w:rsidRDefault="0019198F">
            <w:pPr>
              <w:rPr>
                <w:sz w:val="18"/>
              </w:rPr>
            </w:pPr>
          </w:p>
          <w:p w:rsidR="0019198F" w:rsidRDefault="0019198F">
            <w:pPr>
              <w:rPr>
                <w:sz w:val="18"/>
              </w:rPr>
            </w:pPr>
          </w:p>
          <w:p w:rsidR="0019198F" w:rsidRDefault="0019198F">
            <w:pPr>
              <w:rPr>
                <w:sz w:val="18"/>
              </w:rPr>
            </w:pPr>
          </w:p>
          <w:p w:rsidR="0019198F" w:rsidRDefault="009A45C7" w:rsidP="009A45C7">
            <w:pPr>
              <w:rPr>
                <w:sz w:val="18"/>
              </w:rPr>
            </w:pPr>
            <w:r>
              <w:rPr>
                <w:sz w:val="18"/>
              </w:rPr>
              <w:t>21</w:t>
            </w:r>
            <w:r w:rsidR="00C221B7">
              <w:rPr>
                <w:sz w:val="18"/>
              </w:rPr>
              <w:t>.</w:t>
            </w:r>
            <w:r>
              <w:rPr>
                <w:sz w:val="18"/>
              </w:rPr>
              <w:t>2</w:t>
            </w:r>
            <w:r w:rsidR="0019198F">
              <w:rPr>
                <w:sz w:val="18"/>
              </w:rPr>
              <w:t>.20</w:t>
            </w:r>
            <w:r w:rsidR="00E97CD0">
              <w:rPr>
                <w:sz w:val="18"/>
              </w:rPr>
              <w:t>2</w:t>
            </w:r>
            <w:r w:rsidR="00440D97">
              <w:rPr>
                <w:sz w:val="18"/>
              </w:rPr>
              <w:t>3</w:t>
            </w:r>
          </w:p>
        </w:tc>
        <w:tc>
          <w:tcPr>
            <w:tcW w:w="2218" w:type="dxa"/>
            <w:vMerge w:val="restart"/>
            <w:tcBorders>
              <w:top w:val="single" w:sz="4" w:space="0" w:color="auto"/>
              <w:left w:val="single" w:sz="4" w:space="0" w:color="auto"/>
              <w:bottom w:val="single" w:sz="4" w:space="0" w:color="auto"/>
              <w:right w:val="single" w:sz="4" w:space="0" w:color="auto"/>
            </w:tcBorders>
            <w:hideMark/>
          </w:tcPr>
          <w:p w:rsidR="0019198F" w:rsidRDefault="0019198F">
            <w:pPr>
              <w:rPr>
                <w:sz w:val="18"/>
              </w:rPr>
            </w:pPr>
            <w:r>
              <w:rPr>
                <w:sz w:val="18"/>
              </w:rPr>
              <w:t>Podpisový záznam člena štatutárneho orgánu účtovnej jednotky alebo fyzickej osoby, ktorá je účtovnou jednotkou:</w:t>
            </w:r>
          </w:p>
        </w:tc>
        <w:tc>
          <w:tcPr>
            <w:tcW w:w="2219" w:type="dxa"/>
            <w:vMerge w:val="restart"/>
            <w:tcBorders>
              <w:top w:val="single" w:sz="4" w:space="0" w:color="auto"/>
              <w:left w:val="single" w:sz="4" w:space="0" w:color="auto"/>
              <w:bottom w:val="single" w:sz="4" w:space="0" w:color="auto"/>
              <w:right w:val="single" w:sz="4" w:space="0" w:color="auto"/>
            </w:tcBorders>
            <w:hideMark/>
          </w:tcPr>
          <w:p w:rsidR="0019198F" w:rsidRDefault="0019198F">
            <w:pPr>
              <w:rPr>
                <w:sz w:val="18"/>
              </w:rPr>
            </w:pPr>
            <w:r>
              <w:rPr>
                <w:sz w:val="18"/>
              </w:rPr>
              <w:t>Podpisový záznam osoby zodpovednej za zostavenie účtovnej závierky:</w:t>
            </w:r>
          </w:p>
        </w:tc>
        <w:tc>
          <w:tcPr>
            <w:tcW w:w="2219" w:type="dxa"/>
            <w:vMerge w:val="restart"/>
            <w:tcBorders>
              <w:top w:val="single" w:sz="4" w:space="0" w:color="auto"/>
              <w:left w:val="single" w:sz="4" w:space="0" w:color="auto"/>
              <w:bottom w:val="single" w:sz="4" w:space="0" w:color="auto"/>
              <w:right w:val="single" w:sz="4" w:space="0" w:color="auto"/>
            </w:tcBorders>
            <w:hideMark/>
          </w:tcPr>
          <w:p w:rsidR="0019198F" w:rsidRDefault="0019198F">
            <w:pPr>
              <w:rPr>
                <w:sz w:val="18"/>
              </w:rPr>
            </w:pPr>
            <w:r>
              <w:rPr>
                <w:sz w:val="18"/>
              </w:rPr>
              <w:t>Podpisový záznam osoby zodpovednej za vedenie účtovníctva:</w:t>
            </w:r>
          </w:p>
        </w:tc>
      </w:tr>
      <w:tr w:rsidR="0019198F" w:rsidTr="0019198F">
        <w:trPr>
          <w:cantSplit/>
        </w:trPr>
        <w:tc>
          <w:tcPr>
            <w:tcW w:w="1944" w:type="dxa"/>
            <w:tcBorders>
              <w:top w:val="single" w:sz="4" w:space="0" w:color="auto"/>
              <w:left w:val="single" w:sz="4" w:space="0" w:color="auto"/>
              <w:bottom w:val="single" w:sz="4" w:space="0" w:color="auto"/>
              <w:right w:val="single" w:sz="4" w:space="0" w:color="auto"/>
            </w:tcBorders>
          </w:tcPr>
          <w:p w:rsidR="0019198F" w:rsidRDefault="0019198F">
            <w:pPr>
              <w:rPr>
                <w:sz w:val="18"/>
              </w:rPr>
            </w:pPr>
          </w:p>
          <w:p w:rsidR="0019198F" w:rsidRDefault="0019198F">
            <w:pPr>
              <w:rPr>
                <w:sz w:val="18"/>
              </w:rPr>
            </w:pPr>
            <w:r>
              <w:rPr>
                <w:sz w:val="18"/>
              </w:rPr>
              <w:t>Schválená dňa:</w:t>
            </w:r>
          </w:p>
          <w:p w:rsidR="0019198F" w:rsidRDefault="009A45C7">
            <w:pPr>
              <w:rPr>
                <w:sz w:val="18"/>
              </w:rPr>
            </w:pPr>
            <w:r>
              <w:rPr>
                <w:sz w:val="18"/>
              </w:rPr>
              <w:t>21</w:t>
            </w:r>
            <w:r w:rsidR="00CE5C71">
              <w:rPr>
                <w:sz w:val="18"/>
              </w:rPr>
              <w:t>.</w:t>
            </w:r>
            <w:r>
              <w:rPr>
                <w:sz w:val="18"/>
              </w:rPr>
              <w:t>2</w:t>
            </w:r>
            <w:r w:rsidR="00CE5C71">
              <w:rPr>
                <w:sz w:val="18"/>
              </w:rPr>
              <w:t>.202</w:t>
            </w:r>
            <w:r w:rsidR="00440D97">
              <w:rPr>
                <w:sz w:val="18"/>
              </w:rPr>
              <w:t>3</w:t>
            </w:r>
          </w:p>
          <w:p w:rsidR="0019198F" w:rsidRDefault="0019198F">
            <w:pPr>
              <w:rPr>
                <w:sz w:val="18"/>
              </w:rPr>
            </w:pPr>
          </w:p>
          <w:p w:rsidR="0019198F" w:rsidRDefault="0019198F">
            <w:pPr>
              <w:rPr>
                <w:sz w:val="18"/>
              </w:rPr>
            </w:pPr>
          </w:p>
        </w:tc>
        <w:tc>
          <w:tcPr>
            <w:tcW w:w="2218" w:type="dxa"/>
            <w:vMerge/>
            <w:tcBorders>
              <w:top w:val="single" w:sz="4" w:space="0" w:color="auto"/>
              <w:left w:val="single" w:sz="4" w:space="0" w:color="auto"/>
              <w:bottom w:val="single" w:sz="4" w:space="0" w:color="auto"/>
              <w:right w:val="single" w:sz="4" w:space="0" w:color="auto"/>
            </w:tcBorders>
            <w:vAlign w:val="center"/>
            <w:hideMark/>
          </w:tcPr>
          <w:p w:rsidR="0019198F" w:rsidRDefault="0019198F">
            <w:pPr>
              <w:rPr>
                <w:sz w:val="18"/>
              </w:rPr>
            </w:pPr>
          </w:p>
        </w:tc>
        <w:tc>
          <w:tcPr>
            <w:tcW w:w="2219" w:type="dxa"/>
            <w:vMerge/>
            <w:tcBorders>
              <w:top w:val="single" w:sz="4" w:space="0" w:color="auto"/>
              <w:left w:val="single" w:sz="4" w:space="0" w:color="auto"/>
              <w:bottom w:val="single" w:sz="4" w:space="0" w:color="auto"/>
              <w:right w:val="single" w:sz="4" w:space="0" w:color="auto"/>
            </w:tcBorders>
            <w:vAlign w:val="center"/>
            <w:hideMark/>
          </w:tcPr>
          <w:p w:rsidR="0019198F" w:rsidRDefault="0019198F">
            <w:pPr>
              <w:rPr>
                <w:sz w:val="18"/>
              </w:rPr>
            </w:pPr>
          </w:p>
        </w:tc>
        <w:tc>
          <w:tcPr>
            <w:tcW w:w="2219" w:type="dxa"/>
            <w:vMerge/>
            <w:tcBorders>
              <w:top w:val="single" w:sz="4" w:space="0" w:color="auto"/>
              <w:left w:val="single" w:sz="4" w:space="0" w:color="auto"/>
              <w:bottom w:val="single" w:sz="4" w:space="0" w:color="auto"/>
              <w:right w:val="single" w:sz="4" w:space="0" w:color="auto"/>
            </w:tcBorders>
            <w:vAlign w:val="center"/>
            <w:hideMark/>
          </w:tcPr>
          <w:p w:rsidR="0019198F" w:rsidRDefault="0019198F">
            <w:pPr>
              <w:rPr>
                <w:sz w:val="18"/>
              </w:rPr>
            </w:pPr>
          </w:p>
        </w:tc>
      </w:tr>
    </w:tbl>
    <w:p w:rsidR="00705AF0" w:rsidRDefault="00705AF0">
      <w:pPr>
        <w:pStyle w:val="Zkladntext"/>
      </w:pPr>
    </w:p>
    <w:p w:rsidR="00705AF0" w:rsidRDefault="00705AF0">
      <w:pPr>
        <w:pStyle w:val="Zkladntext"/>
      </w:pPr>
    </w:p>
    <w:p w:rsidR="00705AF0" w:rsidRDefault="00705AF0">
      <w:pPr>
        <w:pStyle w:val="Zkladntext"/>
      </w:pPr>
    </w:p>
    <w:p w:rsidR="00705AF0" w:rsidRDefault="00705AF0">
      <w:pPr>
        <w:pStyle w:val="Zkladntext"/>
      </w:pPr>
    </w:p>
    <w:p w:rsidR="00705AF0" w:rsidRDefault="00705AF0">
      <w:pPr>
        <w:pStyle w:val="Zkladntext"/>
      </w:pPr>
    </w:p>
    <w:p w:rsidR="00705AF0" w:rsidRDefault="00705AF0">
      <w:pPr>
        <w:pStyle w:val="Zkladntext"/>
      </w:pPr>
    </w:p>
    <w:p w:rsidR="00705AF0" w:rsidRDefault="00705AF0">
      <w:pPr>
        <w:pStyle w:val="Zkladntext"/>
      </w:pPr>
    </w:p>
    <w:p w:rsidR="00705AF0" w:rsidRDefault="00705AF0">
      <w:pPr>
        <w:pStyle w:val="Zkladntext"/>
      </w:pPr>
    </w:p>
    <w:p w:rsidR="00705AF0" w:rsidRDefault="00705AF0">
      <w:pPr>
        <w:pStyle w:val="Zkladntext"/>
      </w:pPr>
    </w:p>
    <w:p w:rsidR="00705AF0" w:rsidRDefault="00705AF0">
      <w:pPr>
        <w:pStyle w:val="Zkladntext"/>
      </w:pPr>
    </w:p>
    <w:p w:rsidR="00705AF0" w:rsidRDefault="00705AF0">
      <w:pPr>
        <w:pStyle w:val="Zkladntext"/>
      </w:pPr>
    </w:p>
    <w:p w:rsidR="00705AF0" w:rsidRDefault="00705AF0">
      <w:pPr>
        <w:pStyle w:val="Zkladntext"/>
      </w:pPr>
    </w:p>
    <w:p w:rsidR="00705AF0" w:rsidRDefault="00705AF0">
      <w:pPr>
        <w:pStyle w:val="Zkladntext"/>
      </w:pPr>
    </w:p>
    <w:p w:rsidR="00705AF0" w:rsidRDefault="00705AF0">
      <w:pPr>
        <w:pStyle w:val="Zkladntext"/>
      </w:pPr>
    </w:p>
    <w:p w:rsidR="00705AF0" w:rsidRDefault="00705AF0">
      <w:pPr>
        <w:pStyle w:val="Zkladntext"/>
      </w:pPr>
    </w:p>
    <w:p w:rsidR="00705AF0" w:rsidRDefault="00705AF0">
      <w:pPr>
        <w:pStyle w:val="Zkladntext"/>
      </w:pPr>
    </w:p>
    <w:p w:rsidR="00705AF0" w:rsidRDefault="00705AF0">
      <w:pPr>
        <w:pStyle w:val="Zkladntext"/>
      </w:pPr>
    </w:p>
    <w:p w:rsidR="00705AF0" w:rsidRDefault="00705AF0">
      <w:pPr>
        <w:pStyle w:val="Zkladntext"/>
      </w:pPr>
    </w:p>
    <w:p w:rsidR="00705AF0" w:rsidRDefault="00705AF0">
      <w:pPr>
        <w:pStyle w:val="Zkladntext"/>
      </w:pPr>
    </w:p>
    <w:p w:rsidR="00705AF0" w:rsidRDefault="00705AF0">
      <w:pPr>
        <w:pStyle w:val="Zkladntext"/>
      </w:pPr>
    </w:p>
    <w:p w:rsidR="00705AF0" w:rsidRDefault="00705AF0">
      <w:pPr>
        <w:pStyle w:val="Zkladntext"/>
      </w:pPr>
    </w:p>
    <w:p w:rsidR="00705AF0" w:rsidRDefault="00705AF0">
      <w:pPr>
        <w:pStyle w:val="Zkladntext"/>
      </w:pPr>
    </w:p>
    <w:p w:rsidR="00705AF0" w:rsidRDefault="00705AF0">
      <w:pPr>
        <w:pStyle w:val="Zkladntext"/>
      </w:pPr>
    </w:p>
    <w:p w:rsidR="00705AF0" w:rsidRDefault="00705AF0">
      <w:pPr>
        <w:pStyle w:val="Zkladntext"/>
      </w:pPr>
    </w:p>
    <w:p w:rsidR="00705AF0" w:rsidRDefault="00705AF0">
      <w:pPr>
        <w:pStyle w:val="Zkladntext"/>
      </w:pPr>
    </w:p>
    <w:p w:rsidR="00705AF0" w:rsidRDefault="00705AF0">
      <w:pPr>
        <w:pStyle w:val="Zkladntext"/>
      </w:pPr>
    </w:p>
    <w:p w:rsidR="00705AF0" w:rsidRDefault="00705AF0">
      <w:pPr>
        <w:pStyle w:val="Zkladntext"/>
      </w:pPr>
    </w:p>
    <w:p w:rsidR="00705AF0" w:rsidRDefault="00705AF0">
      <w:pPr>
        <w:pStyle w:val="Zkladntext"/>
      </w:pPr>
    </w:p>
    <w:p w:rsidR="00705AF0" w:rsidRDefault="00705AF0">
      <w:pPr>
        <w:pStyle w:val="Zkladntext"/>
      </w:pPr>
    </w:p>
    <w:p w:rsidR="00705AF0" w:rsidRDefault="00705AF0">
      <w:pPr>
        <w:pStyle w:val="Zkladntext"/>
      </w:pPr>
    </w:p>
    <w:p w:rsidR="00705AF0" w:rsidRDefault="00705AF0">
      <w:pPr>
        <w:pStyle w:val="Zkladntext"/>
      </w:pPr>
    </w:p>
    <w:p w:rsidR="00705AF0" w:rsidRDefault="00705AF0">
      <w:pPr>
        <w:pStyle w:val="Zkladntext"/>
      </w:pPr>
    </w:p>
    <w:p w:rsidR="00705AF0" w:rsidRDefault="00705AF0">
      <w:pPr>
        <w:pStyle w:val="Zkladntext"/>
      </w:pPr>
    </w:p>
    <w:p w:rsidR="00705AF0" w:rsidRDefault="00705AF0">
      <w:pPr>
        <w:pStyle w:val="Zkladntext"/>
      </w:pPr>
    </w:p>
    <w:p w:rsidR="00705AF0" w:rsidRDefault="00705AF0">
      <w:pPr>
        <w:pStyle w:val="Zkladntext"/>
      </w:pPr>
    </w:p>
    <w:p w:rsidR="00705AF0" w:rsidRDefault="00705AF0">
      <w:pPr>
        <w:pStyle w:val="Zkladntext"/>
      </w:pPr>
    </w:p>
    <w:p w:rsidR="00705AF0" w:rsidRDefault="00705AF0">
      <w:pPr>
        <w:pStyle w:val="Zkladntext"/>
      </w:pPr>
    </w:p>
    <w:p w:rsidR="00705AF0" w:rsidRDefault="00705AF0">
      <w:pPr>
        <w:pStyle w:val="Zkladntext"/>
      </w:pPr>
    </w:p>
    <w:p w:rsidR="00705AF0" w:rsidRDefault="00705AF0">
      <w:pPr>
        <w:pStyle w:val="Zkladntext"/>
      </w:pPr>
    </w:p>
    <w:p w:rsidR="00705AF0" w:rsidRDefault="00705AF0">
      <w:pPr>
        <w:pStyle w:val="Zkladntext"/>
      </w:pPr>
    </w:p>
    <w:p w:rsidR="00705AF0" w:rsidRDefault="00705AF0">
      <w:pPr>
        <w:pStyle w:val="Zkladntext"/>
      </w:pPr>
    </w:p>
    <w:p w:rsidR="00705AF0" w:rsidRDefault="00705AF0">
      <w:pPr>
        <w:pStyle w:val="Zkladntext"/>
      </w:pPr>
    </w:p>
    <w:p w:rsidR="00705AF0" w:rsidRDefault="00705AF0">
      <w:pPr>
        <w:pStyle w:val="Zkladntext"/>
      </w:pPr>
    </w:p>
    <w:p w:rsidR="00705AF0" w:rsidRDefault="00705AF0">
      <w:pPr>
        <w:pStyle w:val="Zkladntext"/>
      </w:pPr>
    </w:p>
    <w:p w:rsidR="00705AF0" w:rsidRDefault="00705AF0">
      <w:pPr>
        <w:pStyle w:val="Zkladntext"/>
      </w:pPr>
    </w:p>
    <w:p w:rsidR="00705AF0" w:rsidRDefault="00705AF0">
      <w:pPr>
        <w:pStyle w:val="Zkladntext"/>
      </w:pPr>
    </w:p>
    <w:p w:rsidR="00705AF0" w:rsidRDefault="00705AF0">
      <w:pPr>
        <w:pStyle w:val="Zkladntext"/>
      </w:pPr>
    </w:p>
    <w:p w:rsidR="00705AF0" w:rsidRDefault="00705AF0">
      <w:pPr>
        <w:pStyle w:val="Zkladntext"/>
      </w:pPr>
    </w:p>
    <w:p w:rsidR="00705AF0" w:rsidRDefault="00705AF0">
      <w:pPr>
        <w:pStyle w:val="Zkladntext"/>
      </w:pPr>
    </w:p>
    <w:p w:rsidR="00705AF0" w:rsidRDefault="00705AF0">
      <w:pPr>
        <w:pStyle w:val="Zkladntext"/>
      </w:pPr>
    </w:p>
    <w:p w:rsidR="00705AF0" w:rsidRDefault="00705AF0">
      <w:pPr>
        <w:pStyle w:val="Zkladntext"/>
      </w:pPr>
    </w:p>
    <w:p w:rsidR="00705AF0" w:rsidRDefault="00705AF0">
      <w:pPr>
        <w:pStyle w:val="Zkladntext"/>
      </w:pPr>
    </w:p>
    <w:p w:rsidR="00705AF0" w:rsidRDefault="00705AF0">
      <w:pPr>
        <w:pStyle w:val="Zkladntext"/>
      </w:pPr>
    </w:p>
    <w:p w:rsidR="00705AF0" w:rsidRDefault="00705AF0">
      <w:pPr>
        <w:pStyle w:val="Zkladntext"/>
      </w:pPr>
    </w:p>
    <w:p w:rsidR="00705AF0" w:rsidRDefault="00705AF0">
      <w:pPr>
        <w:pStyle w:val="Zkladntext"/>
      </w:pPr>
    </w:p>
    <w:p w:rsidR="00705AF0" w:rsidRDefault="00705AF0">
      <w:pPr>
        <w:pStyle w:val="Zkladntext"/>
      </w:pPr>
    </w:p>
    <w:p w:rsidR="003C487E" w:rsidRDefault="003C487E">
      <w:pPr>
        <w:pStyle w:val="Zkladntext"/>
        <w:tabs>
          <w:tab w:val="center" w:pos="1985"/>
          <w:tab w:val="center" w:pos="7655"/>
        </w:tabs>
        <w:ind w:left="0"/>
      </w:pPr>
    </w:p>
    <w:sectPr w:rsidR="003C487E" w:rsidSect="005B581A">
      <w:headerReference w:type="default" r:id="rId27"/>
      <w:footerReference w:type="default" r:id="rId28"/>
      <w:pgSz w:w="11907" w:h="16840" w:code="9"/>
      <w:pgMar w:top="1702" w:right="1021" w:bottom="357" w:left="1673" w:header="675" w:footer="408"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45FC0" w:rsidRDefault="00045FC0">
      <w:r>
        <w:separator/>
      </w:r>
    </w:p>
  </w:endnote>
  <w:endnote w:type="continuationSeparator" w:id="0">
    <w:p w:rsidR="00045FC0" w:rsidRDefault="00045FC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Geneva">
    <w:altName w:val="Arial"/>
    <w:panose1 w:val="00000000000000000000"/>
    <w:charset w:val="00"/>
    <w:family w:val="swiss"/>
    <w:notTrueType/>
    <w:pitch w:val="variable"/>
    <w:sig w:usb0="00000003" w:usb1="00000000" w:usb2="00000000" w:usb3="00000000" w:csb0="00000001"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F63B3" w:rsidRDefault="005F63B3">
    <w:pPr>
      <w:autoSpaceDE w:val="0"/>
      <w:autoSpaceDN w:val="0"/>
      <w:adjustRightInd w:val="0"/>
      <w:rPr>
        <w:lang w:val="en-US"/>
      </w:rPr>
    </w:pPr>
  </w:p>
  <w:p w:rsidR="005F63B3" w:rsidRDefault="005F63B3" w:rsidP="00123BFA">
    <w:pPr>
      <w:autoSpaceDE w:val="0"/>
      <w:autoSpaceDN w:val="0"/>
      <w:adjustRightInd w:val="0"/>
      <w:rPr>
        <w:sz w:val="18"/>
      </w:rPr>
    </w:pPr>
    <w:r>
      <w:rPr>
        <w:rStyle w:val="slostrany"/>
      </w:rPr>
      <w:tab/>
    </w:r>
    <w:r>
      <w:rPr>
        <w:rStyle w:val="slostrany"/>
      </w:rPr>
      <w:tab/>
    </w:r>
    <w:r>
      <w:rPr>
        <w:rStyle w:val="slostrany"/>
      </w:rPr>
      <w:tab/>
    </w:r>
    <w:r>
      <w:rPr>
        <w:rStyle w:val="slostrany"/>
      </w:rPr>
      <w:tab/>
    </w:r>
    <w:r>
      <w:rPr>
        <w:rStyle w:val="slostrany"/>
      </w:rPr>
      <w:tab/>
    </w:r>
    <w:r>
      <w:rPr>
        <w:rStyle w:val="slostrany"/>
      </w:rPr>
      <w:tab/>
    </w:r>
    <w:r>
      <w:rPr>
        <w:rStyle w:val="slostrany"/>
      </w:rPr>
      <w:tab/>
    </w:r>
    <w:r>
      <w:rPr>
        <w:rStyle w:val="slostrany"/>
      </w:rPr>
      <w:tab/>
    </w:r>
    <w:r>
      <w:rPr>
        <w:rStyle w:val="slostrany"/>
      </w:rPr>
      <w:tab/>
    </w:r>
    <w:r>
      <w:rPr>
        <w:rStyle w:val="slostrany"/>
      </w:rPr>
      <w:tab/>
    </w:r>
    <w:r>
      <w:rPr>
        <w:rStyle w:val="slostrany"/>
      </w:rPr>
      <w:tab/>
    </w:r>
    <w:r>
      <w:rPr>
        <w:rStyle w:val="slostrany"/>
      </w:rPr>
      <w:tab/>
    </w:r>
    <w:r>
      <w:tab/>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45FC0" w:rsidRDefault="00045FC0">
      <w:r>
        <w:separator/>
      </w:r>
    </w:p>
  </w:footnote>
  <w:footnote w:type="continuationSeparator" w:id="0">
    <w:p w:rsidR="00045FC0" w:rsidRDefault="00045FC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F63B3" w:rsidRDefault="005F63B3">
    <w:pPr>
      <w:pStyle w:val="Hlavika"/>
      <w:rPr>
        <w:sz w:val="18"/>
      </w:rPr>
    </w:pPr>
    <w:r>
      <w:rPr>
        <w:sz w:val="18"/>
      </w:rPr>
      <w:t xml:space="preserve">PAMIKO </w:t>
    </w:r>
    <w:proofErr w:type="spellStart"/>
    <w:r>
      <w:rPr>
        <w:sz w:val="18"/>
      </w:rPr>
      <w:t>s.r.o</w:t>
    </w:r>
    <w:proofErr w:type="spellEnd"/>
    <w:r>
      <w:rPr>
        <w:sz w:val="18"/>
      </w:rPr>
      <w:t>. – zriaďovateľ SSOŠ</w:t>
    </w:r>
  </w:p>
  <w:p w:rsidR="005F63B3" w:rsidRDefault="005F63B3">
    <w:pPr>
      <w:pStyle w:val="Hlavika"/>
      <w:pBdr>
        <w:bottom w:val="single" w:sz="4" w:space="1" w:color="auto"/>
      </w:pBdr>
    </w:pPr>
    <w:r>
      <w:rPr>
        <w:sz w:val="18"/>
      </w:rPr>
      <w:t>Poznámky k účtovnej závierke k 31. decembru 20</w:t>
    </w:r>
    <w:r w:rsidR="00CE5C71">
      <w:rPr>
        <w:sz w:val="18"/>
      </w:rPr>
      <w:t>2</w:t>
    </w:r>
    <w:r w:rsidR="00440D97">
      <w:rPr>
        <w:sz w:val="18"/>
      </w:rPr>
      <w:t>2</w:t>
    </w:r>
  </w:p>
  <w:p w:rsidR="005F63B3" w:rsidRDefault="005F63B3">
    <w:pPr>
      <w:pStyle w:val="Hlavika"/>
    </w:pPr>
  </w:p>
  <w:tbl>
    <w:tblPr>
      <w:tblW w:w="0" w:type="auto"/>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108"/>
      <w:gridCol w:w="4195"/>
      <w:gridCol w:w="283"/>
      <w:gridCol w:w="283"/>
      <w:gridCol w:w="283"/>
      <w:gridCol w:w="283"/>
      <w:gridCol w:w="283"/>
      <w:gridCol w:w="283"/>
      <w:gridCol w:w="283"/>
      <w:gridCol w:w="283"/>
      <w:gridCol w:w="283"/>
      <w:gridCol w:w="283"/>
    </w:tblGrid>
    <w:tr w:rsidR="005F63B3" w:rsidTr="00B67CC7">
      <w:trPr>
        <w:trHeight w:val="299"/>
      </w:trPr>
      <w:tc>
        <w:tcPr>
          <w:tcW w:w="2127" w:type="dxa"/>
          <w:vAlign w:val="center"/>
        </w:tcPr>
        <w:p w:rsidR="005F63B3" w:rsidRPr="00DD1CC9" w:rsidRDefault="005F63B3" w:rsidP="00B67CC7">
          <w:pPr>
            <w:pStyle w:val="Hlavika"/>
            <w:tabs>
              <w:tab w:val="center" w:pos="4253"/>
              <w:tab w:val="right" w:pos="9214"/>
            </w:tabs>
            <w:jc w:val="center"/>
            <w:rPr>
              <w:sz w:val="18"/>
              <w:szCs w:val="18"/>
            </w:rPr>
          </w:pPr>
          <w:r w:rsidRPr="00DD1CC9">
            <w:rPr>
              <w:rFonts w:cs="Arial"/>
              <w:sz w:val="18"/>
              <w:szCs w:val="18"/>
              <w:lang w:eastAsia="sk-SK"/>
            </w:rPr>
            <w:t xml:space="preserve">Poznámky </w:t>
          </w:r>
          <w:proofErr w:type="spellStart"/>
          <w:r w:rsidRPr="00DD1CC9">
            <w:rPr>
              <w:rFonts w:cs="Arial"/>
              <w:sz w:val="18"/>
              <w:szCs w:val="18"/>
              <w:lang w:eastAsia="sk-SK"/>
            </w:rPr>
            <w:t>Úč</w:t>
          </w:r>
          <w:proofErr w:type="spellEnd"/>
          <w:r w:rsidRPr="00DD1CC9">
            <w:rPr>
              <w:rFonts w:cs="Arial"/>
              <w:sz w:val="18"/>
              <w:szCs w:val="18"/>
              <w:lang w:eastAsia="sk-SK"/>
            </w:rPr>
            <w:t xml:space="preserve"> POD 3 - 04</w:t>
          </w:r>
        </w:p>
      </w:tc>
      <w:tc>
        <w:tcPr>
          <w:tcW w:w="4252" w:type="dxa"/>
          <w:tcBorders>
            <w:top w:val="nil"/>
            <w:bottom w:val="nil"/>
          </w:tcBorders>
          <w:vAlign w:val="center"/>
        </w:tcPr>
        <w:p w:rsidR="005F63B3" w:rsidRPr="00DD1CC9" w:rsidRDefault="005F63B3" w:rsidP="00B67CC7">
          <w:pPr>
            <w:pStyle w:val="Hlavika"/>
            <w:tabs>
              <w:tab w:val="center" w:pos="4253"/>
              <w:tab w:val="right" w:pos="9214"/>
            </w:tabs>
            <w:jc w:val="right"/>
            <w:rPr>
              <w:sz w:val="18"/>
              <w:szCs w:val="18"/>
            </w:rPr>
          </w:pPr>
          <w:r w:rsidRPr="00DD1CC9">
            <w:rPr>
              <w:sz w:val="18"/>
              <w:szCs w:val="18"/>
            </w:rPr>
            <w:t>DIČ</w:t>
          </w:r>
        </w:p>
      </w:tc>
      <w:tc>
        <w:tcPr>
          <w:tcW w:w="284" w:type="dxa"/>
          <w:vAlign w:val="center"/>
        </w:tcPr>
        <w:p w:rsidR="005F63B3" w:rsidRDefault="005F63B3" w:rsidP="00B67CC7">
          <w:pPr>
            <w:pStyle w:val="Hlavika"/>
            <w:tabs>
              <w:tab w:val="center" w:pos="4253"/>
              <w:tab w:val="right" w:pos="9214"/>
            </w:tabs>
            <w:jc w:val="center"/>
            <w:rPr>
              <w:sz w:val="22"/>
            </w:rPr>
          </w:pPr>
          <w:r>
            <w:rPr>
              <w:sz w:val="22"/>
            </w:rPr>
            <w:t>2</w:t>
          </w:r>
        </w:p>
      </w:tc>
      <w:tc>
        <w:tcPr>
          <w:tcW w:w="283" w:type="dxa"/>
          <w:vAlign w:val="center"/>
        </w:tcPr>
        <w:p w:rsidR="005F63B3" w:rsidRDefault="005F63B3" w:rsidP="00132FA0">
          <w:pPr>
            <w:pStyle w:val="Hlavika"/>
            <w:tabs>
              <w:tab w:val="center" w:pos="4253"/>
              <w:tab w:val="right" w:pos="9214"/>
            </w:tabs>
            <w:jc w:val="center"/>
            <w:rPr>
              <w:sz w:val="22"/>
            </w:rPr>
          </w:pPr>
          <w:r>
            <w:rPr>
              <w:sz w:val="22"/>
            </w:rPr>
            <w:t>0</w:t>
          </w:r>
        </w:p>
      </w:tc>
      <w:tc>
        <w:tcPr>
          <w:tcW w:w="284" w:type="dxa"/>
          <w:vAlign w:val="center"/>
        </w:tcPr>
        <w:p w:rsidR="005F63B3" w:rsidRDefault="005F63B3" w:rsidP="00132FA0">
          <w:pPr>
            <w:pStyle w:val="Hlavika"/>
            <w:tabs>
              <w:tab w:val="center" w:pos="4253"/>
              <w:tab w:val="right" w:pos="9214"/>
            </w:tabs>
            <w:jc w:val="center"/>
            <w:rPr>
              <w:sz w:val="22"/>
            </w:rPr>
          </w:pPr>
          <w:r>
            <w:rPr>
              <w:sz w:val="22"/>
            </w:rPr>
            <w:t>2</w:t>
          </w:r>
        </w:p>
      </w:tc>
      <w:tc>
        <w:tcPr>
          <w:tcW w:w="283" w:type="dxa"/>
          <w:vAlign w:val="center"/>
        </w:tcPr>
        <w:p w:rsidR="005F63B3" w:rsidRDefault="005F63B3" w:rsidP="005F63B3">
          <w:pPr>
            <w:pStyle w:val="Hlavika"/>
            <w:tabs>
              <w:tab w:val="center" w:pos="4253"/>
              <w:tab w:val="right" w:pos="9214"/>
            </w:tabs>
            <w:jc w:val="center"/>
            <w:rPr>
              <w:sz w:val="22"/>
            </w:rPr>
          </w:pPr>
          <w:r>
            <w:rPr>
              <w:sz w:val="22"/>
            </w:rPr>
            <w:t>1</w:t>
          </w:r>
        </w:p>
      </w:tc>
      <w:tc>
        <w:tcPr>
          <w:tcW w:w="284" w:type="dxa"/>
          <w:vAlign w:val="center"/>
        </w:tcPr>
        <w:p w:rsidR="005F63B3" w:rsidRDefault="005F63B3" w:rsidP="00B67CC7">
          <w:pPr>
            <w:pStyle w:val="Hlavika"/>
            <w:tabs>
              <w:tab w:val="center" w:pos="4253"/>
              <w:tab w:val="right" w:pos="9214"/>
            </w:tabs>
            <w:jc w:val="center"/>
            <w:rPr>
              <w:sz w:val="22"/>
            </w:rPr>
          </w:pPr>
          <w:r>
            <w:rPr>
              <w:sz w:val="22"/>
            </w:rPr>
            <w:t>1</w:t>
          </w:r>
        </w:p>
      </w:tc>
      <w:tc>
        <w:tcPr>
          <w:tcW w:w="283" w:type="dxa"/>
          <w:vAlign w:val="center"/>
        </w:tcPr>
        <w:p w:rsidR="005F63B3" w:rsidRDefault="005F63B3" w:rsidP="00B67CC7">
          <w:pPr>
            <w:pStyle w:val="Hlavika"/>
            <w:tabs>
              <w:tab w:val="center" w:pos="4253"/>
              <w:tab w:val="right" w:pos="9214"/>
            </w:tabs>
            <w:jc w:val="center"/>
            <w:rPr>
              <w:sz w:val="22"/>
            </w:rPr>
          </w:pPr>
          <w:r>
            <w:rPr>
              <w:sz w:val="22"/>
            </w:rPr>
            <w:t>4</w:t>
          </w:r>
        </w:p>
      </w:tc>
      <w:tc>
        <w:tcPr>
          <w:tcW w:w="284" w:type="dxa"/>
          <w:vAlign w:val="center"/>
        </w:tcPr>
        <w:p w:rsidR="005F63B3" w:rsidRDefault="005F63B3" w:rsidP="00B67CC7">
          <w:pPr>
            <w:pStyle w:val="Hlavika"/>
            <w:tabs>
              <w:tab w:val="center" w:pos="4253"/>
              <w:tab w:val="right" w:pos="9214"/>
            </w:tabs>
            <w:jc w:val="center"/>
            <w:rPr>
              <w:sz w:val="22"/>
            </w:rPr>
          </w:pPr>
          <w:r>
            <w:rPr>
              <w:sz w:val="22"/>
            </w:rPr>
            <w:t>5</w:t>
          </w:r>
        </w:p>
      </w:tc>
      <w:tc>
        <w:tcPr>
          <w:tcW w:w="283" w:type="dxa"/>
          <w:vAlign w:val="center"/>
        </w:tcPr>
        <w:p w:rsidR="005F63B3" w:rsidRDefault="005F63B3" w:rsidP="00132FA0">
          <w:pPr>
            <w:pStyle w:val="Hlavika"/>
            <w:tabs>
              <w:tab w:val="center" w:pos="4253"/>
              <w:tab w:val="right" w:pos="9214"/>
            </w:tabs>
            <w:jc w:val="center"/>
            <w:rPr>
              <w:sz w:val="22"/>
            </w:rPr>
          </w:pPr>
          <w:r>
            <w:rPr>
              <w:sz w:val="22"/>
            </w:rPr>
            <w:t>6</w:t>
          </w:r>
        </w:p>
      </w:tc>
      <w:tc>
        <w:tcPr>
          <w:tcW w:w="284" w:type="dxa"/>
          <w:vAlign w:val="center"/>
        </w:tcPr>
        <w:p w:rsidR="005F63B3" w:rsidRDefault="005F63B3" w:rsidP="00B67CC7">
          <w:pPr>
            <w:pStyle w:val="Hlavika"/>
            <w:tabs>
              <w:tab w:val="center" w:pos="4253"/>
              <w:tab w:val="right" w:pos="9214"/>
            </w:tabs>
            <w:jc w:val="center"/>
            <w:rPr>
              <w:sz w:val="22"/>
            </w:rPr>
          </w:pPr>
          <w:r>
            <w:rPr>
              <w:sz w:val="22"/>
            </w:rPr>
            <w:t>8</w:t>
          </w:r>
        </w:p>
      </w:tc>
      <w:tc>
        <w:tcPr>
          <w:tcW w:w="283" w:type="dxa"/>
          <w:vAlign w:val="center"/>
        </w:tcPr>
        <w:p w:rsidR="005F63B3" w:rsidRDefault="005F63B3" w:rsidP="00B67CC7">
          <w:pPr>
            <w:pStyle w:val="Hlavika"/>
            <w:tabs>
              <w:tab w:val="center" w:pos="4253"/>
              <w:tab w:val="right" w:pos="9214"/>
            </w:tabs>
            <w:jc w:val="center"/>
            <w:rPr>
              <w:sz w:val="22"/>
            </w:rPr>
          </w:pPr>
          <w:r>
            <w:rPr>
              <w:sz w:val="22"/>
            </w:rPr>
            <w:t>7</w:t>
          </w:r>
        </w:p>
      </w:tc>
    </w:tr>
  </w:tbl>
  <w:p w:rsidR="005F63B3" w:rsidRDefault="005F63B3" w:rsidP="00705AF0">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C5537CD"/>
    <w:multiLevelType w:val="hybridMultilevel"/>
    <w:tmpl w:val="FB08211E"/>
    <w:lvl w:ilvl="0" w:tplc="0694CCA4">
      <w:start w:val="1"/>
      <w:numFmt w:val="lowerLetter"/>
      <w:lvlText w:val="%1)"/>
      <w:lvlJc w:val="left"/>
      <w:pPr>
        <w:tabs>
          <w:tab w:val="num" w:pos="1192"/>
        </w:tabs>
        <w:ind w:left="1192" w:hanging="360"/>
      </w:pPr>
    </w:lvl>
    <w:lvl w:ilvl="1" w:tplc="6EE4992A" w:tentative="1">
      <w:start w:val="1"/>
      <w:numFmt w:val="lowerLetter"/>
      <w:lvlText w:val="%2."/>
      <w:lvlJc w:val="left"/>
      <w:pPr>
        <w:tabs>
          <w:tab w:val="num" w:pos="1912"/>
        </w:tabs>
        <w:ind w:left="1912" w:hanging="360"/>
      </w:pPr>
    </w:lvl>
    <w:lvl w:ilvl="2" w:tplc="7108BFA2" w:tentative="1">
      <w:start w:val="1"/>
      <w:numFmt w:val="lowerRoman"/>
      <w:lvlText w:val="%3."/>
      <w:lvlJc w:val="right"/>
      <w:pPr>
        <w:tabs>
          <w:tab w:val="num" w:pos="2632"/>
        </w:tabs>
        <w:ind w:left="2632" w:hanging="180"/>
      </w:pPr>
    </w:lvl>
    <w:lvl w:ilvl="3" w:tplc="573C30AE" w:tentative="1">
      <w:start w:val="1"/>
      <w:numFmt w:val="decimal"/>
      <w:lvlText w:val="%4."/>
      <w:lvlJc w:val="left"/>
      <w:pPr>
        <w:tabs>
          <w:tab w:val="num" w:pos="3352"/>
        </w:tabs>
        <w:ind w:left="3352" w:hanging="360"/>
      </w:pPr>
    </w:lvl>
    <w:lvl w:ilvl="4" w:tplc="12D03204" w:tentative="1">
      <w:start w:val="1"/>
      <w:numFmt w:val="lowerLetter"/>
      <w:lvlText w:val="%5."/>
      <w:lvlJc w:val="left"/>
      <w:pPr>
        <w:tabs>
          <w:tab w:val="num" w:pos="4072"/>
        </w:tabs>
        <w:ind w:left="4072" w:hanging="360"/>
      </w:pPr>
    </w:lvl>
    <w:lvl w:ilvl="5" w:tplc="4868371A" w:tentative="1">
      <w:start w:val="1"/>
      <w:numFmt w:val="lowerRoman"/>
      <w:lvlText w:val="%6."/>
      <w:lvlJc w:val="right"/>
      <w:pPr>
        <w:tabs>
          <w:tab w:val="num" w:pos="4792"/>
        </w:tabs>
        <w:ind w:left="4792" w:hanging="180"/>
      </w:pPr>
    </w:lvl>
    <w:lvl w:ilvl="6" w:tplc="33B2AC62" w:tentative="1">
      <w:start w:val="1"/>
      <w:numFmt w:val="decimal"/>
      <w:lvlText w:val="%7."/>
      <w:lvlJc w:val="left"/>
      <w:pPr>
        <w:tabs>
          <w:tab w:val="num" w:pos="5512"/>
        </w:tabs>
        <w:ind w:left="5512" w:hanging="360"/>
      </w:pPr>
    </w:lvl>
    <w:lvl w:ilvl="7" w:tplc="A8B6FD4C" w:tentative="1">
      <w:start w:val="1"/>
      <w:numFmt w:val="lowerLetter"/>
      <w:lvlText w:val="%8."/>
      <w:lvlJc w:val="left"/>
      <w:pPr>
        <w:tabs>
          <w:tab w:val="num" w:pos="6232"/>
        </w:tabs>
        <w:ind w:left="6232" w:hanging="360"/>
      </w:pPr>
    </w:lvl>
    <w:lvl w:ilvl="8" w:tplc="FAF89678" w:tentative="1">
      <w:start w:val="1"/>
      <w:numFmt w:val="lowerRoman"/>
      <w:lvlText w:val="%9."/>
      <w:lvlJc w:val="right"/>
      <w:pPr>
        <w:tabs>
          <w:tab w:val="num" w:pos="6952"/>
        </w:tabs>
        <w:ind w:left="6952" w:hanging="180"/>
      </w:pPr>
    </w:lvl>
  </w:abstractNum>
  <w:abstractNum w:abstractNumId="1" w15:restartNumberingAfterBreak="0">
    <w:nsid w:val="36BE61C3"/>
    <w:multiLevelType w:val="singleLevel"/>
    <w:tmpl w:val="E6BC554C"/>
    <w:lvl w:ilvl="0">
      <w:start w:val="1"/>
      <w:numFmt w:val="decimal"/>
      <w:pStyle w:val="Nadpis2"/>
      <w:lvlText w:val="%1."/>
      <w:lvlJc w:val="left"/>
      <w:pPr>
        <w:tabs>
          <w:tab w:val="num" w:pos="360"/>
        </w:tabs>
        <w:ind w:left="360" w:hanging="360"/>
      </w:pPr>
      <w:rPr>
        <w:rFonts w:hint="default"/>
      </w:rPr>
    </w:lvl>
  </w:abstractNum>
  <w:abstractNum w:abstractNumId="2" w15:restartNumberingAfterBreak="0">
    <w:nsid w:val="43694A7B"/>
    <w:multiLevelType w:val="hybridMultilevel"/>
    <w:tmpl w:val="4320B980"/>
    <w:lvl w:ilvl="0" w:tplc="EE748F58">
      <w:start w:val="40"/>
      <w:numFmt w:val="bullet"/>
      <w:lvlText w:val="–"/>
      <w:lvlJc w:val="left"/>
      <w:pPr>
        <w:tabs>
          <w:tab w:val="num" w:pos="786"/>
        </w:tabs>
        <w:ind w:left="786" w:hanging="360"/>
      </w:pPr>
      <w:rPr>
        <w:rFonts w:ascii="Times New Roman" w:eastAsia="Times New Roman" w:hAnsi="Times New Roman" w:cs="Times New Roman" w:hint="default"/>
      </w:rPr>
    </w:lvl>
    <w:lvl w:ilvl="1" w:tplc="9DC870E6" w:tentative="1">
      <w:start w:val="1"/>
      <w:numFmt w:val="bullet"/>
      <w:lvlText w:val="o"/>
      <w:lvlJc w:val="left"/>
      <w:pPr>
        <w:tabs>
          <w:tab w:val="num" w:pos="1506"/>
        </w:tabs>
        <w:ind w:left="1506" w:hanging="360"/>
      </w:pPr>
      <w:rPr>
        <w:rFonts w:ascii="Courier New" w:hAnsi="Courier New" w:cs="Courier New" w:hint="default"/>
      </w:rPr>
    </w:lvl>
    <w:lvl w:ilvl="2" w:tplc="8012A4C6" w:tentative="1">
      <w:start w:val="1"/>
      <w:numFmt w:val="bullet"/>
      <w:lvlText w:val=""/>
      <w:lvlJc w:val="left"/>
      <w:pPr>
        <w:tabs>
          <w:tab w:val="num" w:pos="2226"/>
        </w:tabs>
        <w:ind w:left="2226" w:hanging="360"/>
      </w:pPr>
      <w:rPr>
        <w:rFonts w:ascii="Wingdings" w:hAnsi="Wingdings" w:hint="default"/>
      </w:rPr>
    </w:lvl>
    <w:lvl w:ilvl="3" w:tplc="D5FA61D0" w:tentative="1">
      <w:start w:val="1"/>
      <w:numFmt w:val="bullet"/>
      <w:lvlText w:val=""/>
      <w:lvlJc w:val="left"/>
      <w:pPr>
        <w:tabs>
          <w:tab w:val="num" w:pos="2946"/>
        </w:tabs>
        <w:ind w:left="2946" w:hanging="360"/>
      </w:pPr>
      <w:rPr>
        <w:rFonts w:ascii="Symbol" w:hAnsi="Symbol" w:hint="default"/>
      </w:rPr>
    </w:lvl>
    <w:lvl w:ilvl="4" w:tplc="C71ACD60" w:tentative="1">
      <w:start w:val="1"/>
      <w:numFmt w:val="bullet"/>
      <w:lvlText w:val="o"/>
      <w:lvlJc w:val="left"/>
      <w:pPr>
        <w:tabs>
          <w:tab w:val="num" w:pos="3666"/>
        </w:tabs>
        <w:ind w:left="3666" w:hanging="360"/>
      </w:pPr>
      <w:rPr>
        <w:rFonts w:ascii="Courier New" w:hAnsi="Courier New" w:cs="Courier New" w:hint="default"/>
      </w:rPr>
    </w:lvl>
    <w:lvl w:ilvl="5" w:tplc="625C0354" w:tentative="1">
      <w:start w:val="1"/>
      <w:numFmt w:val="bullet"/>
      <w:lvlText w:val=""/>
      <w:lvlJc w:val="left"/>
      <w:pPr>
        <w:tabs>
          <w:tab w:val="num" w:pos="4386"/>
        </w:tabs>
        <w:ind w:left="4386" w:hanging="360"/>
      </w:pPr>
      <w:rPr>
        <w:rFonts w:ascii="Wingdings" w:hAnsi="Wingdings" w:hint="default"/>
      </w:rPr>
    </w:lvl>
    <w:lvl w:ilvl="6" w:tplc="1A9C5CDE" w:tentative="1">
      <w:start w:val="1"/>
      <w:numFmt w:val="bullet"/>
      <w:lvlText w:val=""/>
      <w:lvlJc w:val="left"/>
      <w:pPr>
        <w:tabs>
          <w:tab w:val="num" w:pos="5106"/>
        </w:tabs>
        <w:ind w:left="5106" w:hanging="360"/>
      </w:pPr>
      <w:rPr>
        <w:rFonts w:ascii="Symbol" w:hAnsi="Symbol" w:hint="default"/>
      </w:rPr>
    </w:lvl>
    <w:lvl w:ilvl="7" w:tplc="0882E290" w:tentative="1">
      <w:start w:val="1"/>
      <w:numFmt w:val="bullet"/>
      <w:lvlText w:val="o"/>
      <w:lvlJc w:val="left"/>
      <w:pPr>
        <w:tabs>
          <w:tab w:val="num" w:pos="5826"/>
        </w:tabs>
        <w:ind w:left="5826" w:hanging="360"/>
      </w:pPr>
      <w:rPr>
        <w:rFonts w:ascii="Courier New" w:hAnsi="Courier New" w:cs="Courier New" w:hint="default"/>
      </w:rPr>
    </w:lvl>
    <w:lvl w:ilvl="8" w:tplc="2DB28278" w:tentative="1">
      <w:start w:val="1"/>
      <w:numFmt w:val="bullet"/>
      <w:lvlText w:val=""/>
      <w:lvlJc w:val="left"/>
      <w:pPr>
        <w:tabs>
          <w:tab w:val="num" w:pos="6546"/>
        </w:tabs>
        <w:ind w:left="6546" w:hanging="360"/>
      </w:pPr>
      <w:rPr>
        <w:rFonts w:ascii="Wingdings" w:hAnsi="Wingdings" w:hint="default"/>
      </w:rPr>
    </w:lvl>
  </w:abstractNum>
  <w:abstractNum w:abstractNumId="3" w15:restartNumberingAfterBreak="0">
    <w:nsid w:val="54D11979"/>
    <w:multiLevelType w:val="hybridMultilevel"/>
    <w:tmpl w:val="A4C83FA0"/>
    <w:lvl w:ilvl="0" w:tplc="11AC74F8">
      <w:start w:val="1"/>
      <w:numFmt w:val="lowerLetter"/>
      <w:lvlText w:val="(%1)"/>
      <w:lvlJc w:val="left"/>
      <w:pPr>
        <w:tabs>
          <w:tab w:val="num" w:pos="780"/>
        </w:tabs>
        <w:ind w:left="780" w:hanging="420"/>
      </w:pPr>
      <w:rPr>
        <w:rFonts w:hint="default"/>
      </w:rPr>
    </w:lvl>
    <w:lvl w:ilvl="1" w:tplc="EAA8B5FE">
      <w:start w:val="1"/>
      <w:numFmt w:val="lowerLetter"/>
      <w:lvlText w:val="%2."/>
      <w:lvlJc w:val="left"/>
      <w:pPr>
        <w:tabs>
          <w:tab w:val="num" w:pos="1440"/>
        </w:tabs>
        <w:ind w:left="1440" w:hanging="360"/>
      </w:pPr>
    </w:lvl>
    <w:lvl w:ilvl="2" w:tplc="701C5802" w:tentative="1">
      <w:start w:val="1"/>
      <w:numFmt w:val="lowerRoman"/>
      <w:lvlText w:val="%3."/>
      <w:lvlJc w:val="right"/>
      <w:pPr>
        <w:tabs>
          <w:tab w:val="num" w:pos="2160"/>
        </w:tabs>
        <w:ind w:left="2160" w:hanging="180"/>
      </w:pPr>
    </w:lvl>
    <w:lvl w:ilvl="3" w:tplc="C674EF16" w:tentative="1">
      <w:start w:val="1"/>
      <w:numFmt w:val="decimal"/>
      <w:lvlText w:val="%4."/>
      <w:lvlJc w:val="left"/>
      <w:pPr>
        <w:tabs>
          <w:tab w:val="num" w:pos="2880"/>
        </w:tabs>
        <w:ind w:left="2880" w:hanging="360"/>
      </w:pPr>
    </w:lvl>
    <w:lvl w:ilvl="4" w:tplc="E4843DCA" w:tentative="1">
      <w:start w:val="1"/>
      <w:numFmt w:val="lowerLetter"/>
      <w:lvlText w:val="%5."/>
      <w:lvlJc w:val="left"/>
      <w:pPr>
        <w:tabs>
          <w:tab w:val="num" w:pos="3600"/>
        </w:tabs>
        <w:ind w:left="3600" w:hanging="360"/>
      </w:pPr>
    </w:lvl>
    <w:lvl w:ilvl="5" w:tplc="C0AE564A" w:tentative="1">
      <w:start w:val="1"/>
      <w:numFmt w:val="lowerRoman"/>
      <w:lvlText w:val="%6."/>
      <w:lvlJc w:val="right"/>
      <w:pPr>
        <w:tabs>
          <w:tab w:val="num" w:pos="4320"/>
        </w:tabs>
        <w:ind w:left="4320" w:hanging="180"/>
      </w:pPr>
    </w:lvl>
    <w:lvl w:ilvl="6" w:tplc="C5980FC6" w:tentative="1">
      <w:start w:val="1"/>
      <w:numFmt w:val="decimal"/>
      <w:lvlText w:val="%7."/>
      <w:lvlJc w:val="left"/>
      <w:pPr>
        <w:tabs>
          <w:tab w:val="num" w:pos="5040"/>
        </w:tabs>
        <w:ind w:left="5040" w:hanging="360"/>
      </w:pPr>
    </w:lvl>
    <w:lvl w:ilvl="7" w:tplc="A4561D74" w:tentative="1">
      <w:start w:val="1"/>
      <w:numFmt w:val="lowerLetter"/>
      <w:lvlText w:val="%8."/>
      <w:lvlJc w:val="left"/>
      <w:pPr>
        <w:tabs>
          <w:tab w:val="num" w:pos="5760"/>
        </w:tabs>
        <w:ind w:left="5760" w:hanging="360"/>
      </w:pPr>
    </w:lvl>
    <w:lvl w:ilvl="8" w:tplc="6EE839DE" w:tentative="1">
      <w:start w:val="1"/>
      <w:numFmt w:val="lowerRoman"/>
      <w:lvlText w:val="%9."/>
      <w:lvlJc w:val="right"/>
      <w:pPr>
        <w:tabs>
          <w:tab w:val="num" w:pos="6480"/>
        </w:tabs>
        <w:ind w:left="6480" w:hanging="180"/>
      </w:pPr>
    </w:lvl>
  </w:abstractNum>
  <w:abstractNum w:abstractNumId="4" w15:restartNumberingAfterBreak="0">
    <w:nsid w:val="73473C13"/>
    <w:multiLevelType w:val="singleLevel"/>
    <w:tmpl w:val="2A50B936"/>
    <w:lvl w:ilvl="0">
      <w:start w:val="1"/>
      <w:numFmt w:val="upperLetter"/>
      <w:pStyle w:val="Nadpis1"/>
      <w:lvlText w:val="%1."/>
      <w:lvlJc w:val="left"/>
      <w:pPr>
        <w:tabs>
          <w:tab w:val="num" w:pos="502"/>
        </w:tabs>
        <w:ind w:left="502" w:hanging="360"/>
      </w:pPr>
      <w:rPr>
        <w:rFonts w:hint="default"/>
      </w:rPr>
    </w:lvl>
  </w:abstractNum>
  <w:abstractNum w:abstractNumId="5" w15:restartNumberingAfterBreak="0">
    <w:nsid w:val="7D8531CC"/>
    <w:multiLevelType w:val="hybridMultilevel"/>
    <w:tmpl w:val="52AE7564"/>
    <w:lvl w:ilvl="0" w:tplc="52D08358">
      <w:start w:val="1"/>
      <w:numFmt w:val="bullet"/>
      <w:lvlText w:val="–"/>
      <w:lvlJc w:val="left"/>
      <w:pPr>
        <w:tabs>
          <w:tab w:val="num" w:pos="340"/>
        </w:tabs>
        <w:ind w:left="340" w:hanging="340"/>
      </w:pPr>
      <w:rPr>
        <w:rFonts w:ascii="Times New Roman" w:hAnsi="Times New Roman" w:cs="Times New Roman" w:hint="default"/>
      </w:rPr>
    </w:lvl>
    <w:lvl w:ilvl="1" w:tplc="3BCA05D6" w:tentative="1">
      <w:start w:val="1"/>
      <w:numFmt w:val="bullet"/>
      <w:lvlText w:val="o"/>
      <w:lvlJc w:val="left"/>
      <w:pPr>
        <w:tabs>
          <w:tab w:val="num" w:pos="1440"/>
        </w:tabs>
        <w:ind w:left="1440" w:hanging="360"/>
      </w:pPr>
      <w:rPr>
        <w:rFonts w:ascii="Courier New" w:hAnsi="Courier New" w:cs="Courier New" w:hint="default"/>
      </w:rPr>
    </w:lvl>
    <w:lvl w:ilvl="2" w:tplc="3252FCBE" w:tentative="1">
      <w:start w:val="1"/>
      <w:numFmt w:val="bullet"/>
      <w:lvlText w:val=""/>
      <w:lvlJc w:val="left"/>
      <w:pPr>
        <w:tabs>
          <w:tab w:val="num" w:pos="2160"/>
        </w:tabs>
        <w:ind w:left="2160" w:hanging="360"/>
      </w:pPr>
      <w:rPr>
        <w:rFonts w:ascii="Wingdings" w:hAnsi="Wingdings" w:hint="default"/>
      </w:rPr>
    </w:lvl>
    <w:lvl w:ilvl="3" w:tplc="B9F45572" w:tentative="1">
      <w:start w:val="1"/>
      <w:numFmt w:val="bullet"/>
      <w:lvlText w:val=""/>
      <w:lvlJc w:val="left"/>
      <w:pPr>
        <w:tabs>
          <w:tab w:val="num" w:pos="2880"/>
        </w:tabs>
        <w:ind w:left="2880" w:hanging="360"/>
      </w:pPr>
      <w:rPr>
        <w:rFonts w:ascii="Symbol" w:hAnsi="Symbol" w:hint="default"/>
      </w:rPr>
    </w:lvl>
    <w:lvl w:ilvl="4" w:tplc="55BA47CC" w:tentative="1">
      <w:start w:val="1"/>
      <w:numFmt w:val="bullet"/>
      <w:lvlText w:val="o"/>
      <w:lvlJc w:val="left"/>
      <w:pPr>
        <w:tabs>
          <w:tab w:val="num" w:pos="3600"/>
        </w:tabs>
        <w:ind w:left="3600" w:hanging="360"/>
      </w:pPr>
      <w:rPr>
        <w:rFonts w:ascii="Courier New" w:hAnsi="Courier New" w:cs="Courier New" w:hint="default"/>
      </w:rPr>
    </w:lvl>
    <w:lvl w:ilvl="5" w:tplc="E2CE8252" w:tentative="1">
      <w:start w:val="1"/>
      <w:numFmt w:val="bullet"/>
      <w:lvlText w:val=""/>
      <w:lvlJc w:val="left"/>
      <w:pPr>
        <w:tabs>
          <w:tab w:val="num" w:pos="4320"/>
        </w:tabs>
        <w:ind w:left="4320" w:hanging="360"/>
      </w:pPr>
      <w:rPr>
        <w:rFonts w:ascii="Wingdings" w:hAnsi="Wingdings" w:hint="default"/>
      </w:rPr>
    </w:lvl>
    <w:lvl w:ilvl="6" w:tplc="009CA7FA" w:tentative="1">
      <w:start w:val="1"/>
      <w:numFmt w:val="bullet"/>
      <w:lvlText w:val=""/>
      <w:lvlJc w:val="left"/>
      <w:pPr>
        <w:tabs>
          <w:tab w:val="num" w:pos="5040"/>
        </w:tabs>
        <w:ind w:left="5040" w:hanging="360"/>
      </w:pPr>
      <w:rPr>
        <w:rFonts w:ascii="Symbol" w:hAnsi="Symbol" w:hint="default"/>
      </w:rPr>
    </w:lvl>
    <w:lvl w:ilvl="7" w:tplc="92B261AC" w:tentative="1">
      <w:start w:val="1"/>
      <w:numFmt w:val="bullet"/>
      <w:lvlText w:val="o"/>
      <w:lvlJc w:val="left"/>
      <w:pPr>
        <w:tabs>
          <w:tab w:val="num" w:pos="5760"/>
        </w:tabs>
        <w:ind w:left="5760" w:hanging="360"/>
      </w:pPr>
      <w:rPr>
        <w:rFonts w:ascii="Courier New" w:hAnsi="Courier New" w:cs="Courier New" w:hint="default"/>
      </w:rPr>
    </w:lvl>
    <w:lvl w:ilvl="8" w:tplc="A32C5712" w:tentative="1">
      <w:start w:val="1"/>
      <w:numFmt w:val="bullet"/>
      <w:lvlText w:val=""/>
      <w:lvlJc w:val="left"/>
      <w:pPr>
        <w:tabs>
          <w:tab w:val="num" w:pos="6480"/>
        </w:tabs>
        <w:ind w:left="6480" w:hanging="360"/>
      </w:pPr>
      <w:rPr>
        <w:rFonts w:ascii="Wingdings" w:hAnsi="Wingdings" w:hint="default"/>
      </w:rPr>
    </w:lvl>
  </w:abstractNum>
  <w:num w:numId="1">
    <w:abstractNumId w:val="4"/>
  </w:num>
  <w:num w:numId="2">
    <w:abstractNumId w:val="1"/>
  </w:num>
  <w:num w:numId="3">
    <w:abstractNumId w:val="1"/>
    <w:lvlOverride w:ilvl="0">
      <w:startOverride w:val="1"/>
    </w:lvlOverride>
  </w:num>
  <w:num w:numId="4">
    <w:abstractNumId w:val="0"/>
  </w:num>
  <w:num w:numId="5">
    <w:abstractNumId w:val="1"/>
    <w:lvlOverride w:ilvl="0">
      <w:startOverride w:val="1"/>
    </w:lvlOverride>
  </w:num>
  <w:num w:numId="6">
    <w:abstractNumId w:val="1"/>
    <w:lvlOverride w:ilvl="0">
      <w:startOverride w:val="1"/>
    </w:lvlOverride>
  </w:num>
  <w:num w:numId="7">
    <w:abstractNumId w:val="1"/>
    <w:lvlOverride w:ilvl="0">
      <w:startOverride w:val="1"/>
    </w:lvlOverride>
  </w:num>
  <w:num w:numId="8">
    <w:abstractNumId w:val="1"/>
    <w:lvlOverride w:ilvl="0">
      <w:startOverride w:val="1"/>
    </w:lvlOverride>
  </w:num>
  <w:num w:numId="9">
    <w:abstractNumId w:val="5"/>
  </w:num>
  <w:num w:numId="10">
    <w:abstractNumId w:val="3"/>
  </w:num>
  <w:num w:numId="11">
    <w:abstractNumId w:val="1"/>
  </w:num>
  <w:num w:numId="12">
    <w:abstractNumId w:val="1"/>
    <w:lvlOverride w:ilvl="0">
      <w:startOverride w:val="1"/>
    </w:lvlOverride>
  </w:num>
  <w:num w:numId="1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proofState w:spelling="clean"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57"/>
  <w:doNotHyphenateCaps/>
  <w:displayHorizontalDrawingGridEvery w:val="0"/>
  <w:displayVerticalDrawingGridEvery w:val="0"/>
  <w:doNotUseMarginsForDrawingGridOrigin/>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875E6"/>
    <w:rsid w:val="00006DB9"/>
    <w:rsid w:val="00011506"/>
    <w:rsid w:val="00012A50"/>
    <w:rsid w:val="000211C6"/>
    <w:rsid w:val="00037927"/>
    <w:rsid w:val="00045FC0"/>
    <w:rsid w:val="000943DB"/>
    <w:rsid w:val="001079E9"/>
    <w:rsid w:val="001127E5"/>
    <w:rsid w:val="00123BFA"/>
    <w:rsid w:val="00131D7D"/>
    <w:rsid w:val="00132FA0"/>
    <w:rsid w:val="00136D66"/>
    <w:rsid w:val="0014267A"/>
    <w:rsid w:val="00171557"/>
    <w:rsid w:val="00171C96"/>
    <w:rsid w:val="0019198F"/>
    <w:rsid w:val="001F5AF7"/>
    <w:rsid w:val="00216E3A"/>
    <w:rsid w:val="002762C8"/>
    <w:rsid w:val="00291128"/>
    <w:rsid w:val="00310182"/>
    <w:rsid w:val="00341B8D"/>
    <w:rsid w:val="00362C57"/>
    <w:rsid w:val="0039165A"/>
    <w:rsid w:val="00395900"/>
    <w:rsid w:val="003C13EE"/>
    <w:rsid w:val="003C487E"/>
    <w:rsid w:val="003D0881"/>
    <w:rsid w:val="003D19B2"/>
    <w:rsid w:val="003E4457"/>
    <w:rsid w:val="00405356"/>
    <w:rsid w:val="00411D01"/>
    <w:rsid w:val="00432901"/>
    <w:rsid w:val="00432FD4"/>
    <w:rsid w:val="00440D97"/>
    <w:rsid w:val="0044121F"/>
    <w:rsid w:val="004444F2"/>
    <w:rsid w:val="0049562B"/>
    <w:rsid w:val="004F1196"/>
    <w:rsid w:val="00564A4C"/>
    <w:rsid w:val="00572063"/>
    <w:rsid w:val="005B581A"/>
    <w:rsid w:val="005D6658"/>
    <w:rsid w:val="005F63B3"/>
    <w:rsid w:val="006333E1"/>
    <w:rsid w:val="00661C0F"/>
    <w:rsid w:val="0066472B"/>
    <w:rsid w:val="00673714"/>
    <w:rsid w:val="00674783"/>
    <w:rsid w:val="00693C47"/>
    <w:rsid w:val="006C4146"/>
    <w:rsid w:val="006D3195"/>
    <w:rsid w:val="006D4702"/>
    <w:rsid w:val="006E07D8"/>
    <w:rsid w:val="006F1AB2"/>
    <w:rsid w:val="006F2733"/>
    <w:rsid w:val="00701533"/>
    <w:rsid w:val="00705AF0"/>
    <w:rsid w:val="00741B76"/>
    <w:rsid w:val="00743CF6"/>
    <w:rsid w:val="00755F84"/>
    <w:rsid w:val="00783ADE"/>
    <w:rsid w:val="007C2CD5"/>
    <w:rsid w:val="007C38A8"/>
    <w:rsid w:val="008167EF"/>
    <w:rsid w:val="008373F0"/>
    <w:rsid w:val="008706E5"/>
    <w:rsid w:val="008B0FC5"/>
    <w:rsid w:val="008B7665"/>
    <w:rsid w:val="00907219"/>
    <w:rsid w:val="0094437D"/>
    <w:rsid w:val="00946EDE"/>
    <w:rsid w:val="009472A5"/>
    <w:rsid w:val="00964868"/>
    <w:rsid w:val="009A45C7"/>
    <w:rsid w:val="009E3937"/>
    <w:rsid w:val="00A170E9"/>
    <w:rsid w:val="00A36C86"/>
    <w:rsid w:val="00A42F5C"/>
    <w:rsid w:val="00A42F7F"/>
    <w:rsid w:val="00A4754E"/>
    <w:rsid w:val="00A66691"/>
    <w:rsid w:val="00A67BF8"/>
    <w:rsid w:val="00A724AE"/>
    <w:rsid w:val="00AB032D"/>
    <w:rsid w:val="00B058F5"/>
    <w:rsid w:val="00B149B4"/>
    <w:rsid w:val="00B505FA"/>
    <w:rsid w:val="00B60C93"/>
    <w:rsid w:val="00B67CC7"/>
    <w:rsid w:val="00B73626"/>
    <w:rsid w:val="00B97FC6"/>
    <w:rsid w:val="00BD6394"/>
    <w:rsid w:val="00BF291A"/>
    <w:rsid w:val="00C221B7"/>
    <w:rsid w:val="00C41948"/>
    <w:rsid w:val="00C5363E"/>
    <w:rsid w:val="00C61072"/>
    <w:rsid w:val="00C62EC7"/>
    <w:rsid w:val="00C672EF"/>
    <w:rsid w:val="00CA7B5A"/>
    <w:rsid w:val="00CB1315"/>
    <w:rsid w:val="00CC3A29"/>
    <w:rsid w:val="00CD3553"/>
    <w:rsid w:val="00CE5C71"/>
    <w:rsid w:val="00CE7DE8"/>
    <w:rsid w:val="00D43170"/>
    <w:rsid w:val="00D60367"/>
    <w:rsid w:val="00D64343"/>
    <w:rsid w:val="00DB5748"/>
    <w:rsid w:val="00DD6A92"/>
    <w:rsid w:val="00DE1121"/>
    <w:rsid w:val="00E0195B"/>
    <w:rsid w:val="00E102E1"/>
    <w:rsid w:val="00E1496A"/>
    <w:rsid w:val="00E71BFD"/>
    <w:rsid w:val="00E7452B"/>
    <w:rsid w:val="00E97CD0"/>
    <w:rsid w:val="00EA79D0"/>
    <w:rsid w:val="00EC2A88"/>
    <w:rsid w:val="00ED3518"/>
    <w:rsid w:val="00EE417A"/>
    <w:rsid w:val="00F16394"/>
    <w:rsid w:val="00F875E6"/>
    <w:rsid w:val="00F87628"/>
    <w:rsid w:val="00F97AB7"/>
    <w:rsid w:val="00FF1C0C"/>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53121D93"/>
  <w15:docId w15:val="{61535BAC-E8F3-411B-97BB-40667DDB46F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5B581A"/>
    <w:rPr>
      <w:lang w:eastAsia="en-US"/>
    </w:rPr>
  </w:style>
  <w:style w:type="paragraph" w:styleId="Nadpis1">
    <w:name w:val="heading 1"/>
    <w:basedOn w:val="Normlny"/>
    <w:next w:val="Normlny"/>
    <w:qFormat/>
    <w:rsid w:val="005B581A"/>
    <w:pPr>
      <w:keepNext/>
      <w:numPr>
        <w:numId w:val="1"/>
      </w:numPr>
      <w:tabs>
        <w:tab w:val="clear" w:pos="502"/>
        <w:tab w:val="num" w:pos="360"/>
      </w:tabs>
      <w:spacing w:before="120" w:after="60"/>
      <w:ind w:left="360"/>
      <w:outlineLvl w:val="0"/>
    </w:pPr>
    <w:rPr>
      <w:b/>
      <w:caps/>
      <w:sz w:val="18"/>
    </w:rPr>
  </w:style>
  <w:style w:type="paragraph" w:styleId="Nadpis2">
    <w:name w:val="heading 2"/>
    <w:basedOn w:val="Normlny"/>
    <w:next w:val="Normlny"/>
    <w:qFormat/>
    <w:rsid w:val="005B581A"/>
    <w:pPr>
      <w:keepNext/>
      <w:numPr>
        <w:numId w:val="11"/>
      </w:numPr>
      <w:outlineLvl w:val="1"/>
    </w:pPr>
    <w:rPr>
      <w:b/>
      <w:sz w:val="18"/>
    </w:rPr>
  </w:style>
  <w:style w:type="paragraph" w:styleId="Nadpis3">
    <w:name w:val="heading 3"/>
    <w:basedOn w:val="Normlny"/>
    <w:next w:val="Normlny"/>
    <w:qFormat/>
    <w:rsid w:val="005B581A"/>
    <w:pPr>
      <w:keepNext/>
      <w:outlineLvl w:val="2"/>
    </w:pPr>
    <w:rPr>
      <w:rFonts w:ascii="Geneva" w:hAnsi="Geneva"/>
      <w:b/>
      <w:i/>
      <w:snapToGrid w:val="0"/>
      <w:color w:val="000000"/>
      <w:sz w:val="16"/>
      <w:lang w:val="en-GB"/>
    </w:rPr>
  </w:style>
  <w:style w:type="paragraph" w:styleId="Nadpis4">
    <w:name w:val="heading 4"/>
    <w:basedOn w:val="Normlny"/>
    <w:next w:val="Normlny"/>
    <w:qFormat/>
    <w:rsid w:val="005B581A"/>
    <w:pPr>
      <w:keepNext/>
      <w:outlineLvl w:val="3"/>
    </w:pPr>
    <w:rPr>
      <w:b/>
    </w:rPr>
  </w:style>
  <w:style w:type="paragraph" w:styleId="Nadpis5">
    <w:name w:val="heading 5"/>
    <w:basedOn w:val="Normlny"/>
    <w:next w:val="Normlny"/>
    <w:qFormat/>
    <w:rsid w:val="005B581A"/>
    <w:pPr>
      <w:keepNext/>
      <w:outlineLvl w:val="4"/>
    </w:pPr>
    <w:rPr>
      <w:b/>
      <w:sz w:val="28"/>
    </w:rPr>
  </w:style>
  <w:style w:type="paragraph" w:styleId="Nadpis6">
    <w:name w:val="heading 6"/>
    <w:basedOn w:val="Normlny"/>
    <w:next w:val="Normlny"/>
    <w:qFormat/>
    <w:rsid w:val="005B581A"/>
    <w:pPr>
      <w:keepNext/>
      <w:outlineLvl w:val="5"/>
    </w:pPr>
    <w:rPr>
      <w:b/>
      <w:caps/>
      <w:sz w:val="32"/>
    </w:rPr>
  </w:style>
  <w:style w:type="paragraph" w:styleId="Nadpis7">
    <w:name w:val="heading 7"/>
    <w:basedOn w:val="Normlny"/>
    <w:next w:val="Normlny"/>
    <w:qFormat/>
    <w:rsid w:val="005B581A"/>
    <w:pPr>
      <w:keepNext/>
      <w:jc w:val="center"/>
      <w:outlineLvl w:val="6"/>
    </w:pPr>
    <w:rPr>
      <w:b/>
      <w:sz w:val="52"/>
    </w:rPr>
  </w:style>
  <w:style w:type="paragraph" w:styleId="Nadpis8">
    <w:name w:val="heading 8"/>
    <w:basedOn w:val="Normlny"/>
    <w:next w:val="Normlny"/>
    <w:qFormat/>
    <w:rsid w:val="005B581A"/>
    <w:pPr>
      <w:keepNext/>
      <w:jc w:val="center"/>
      <w:outlineLvl w:val="7"/>
    </w:pPr>
    <w:rPr>
      <w:rFonts w:ascii="Geneva" w:hAnsi="Geneva"/>
      <w:snapToGrid w:val="0"/>
      <w:color w:val="000000"/>
      <w:sz w:val="14"/>
      <w:u w:val="single"/>
    </w:rPr>
  </w:style>
  <w:style w:type="paragraph" w:styleId="Nadpis9">
    <w:name w:val="heading 9"/>
    <w:basedOn w:val="Normlny"/>
    <w:next w:val="Normlny"/>
    <w:qFormat/>
    <w:rsid w:val="005B581A"/>
    <w:pPr>
      <w:keepNext/>
      <w:jc w:val="center"/>
      <w:outlineLvl w:val="8"/>
    </w:pPr>
    <w:rPr>
      <w:sz w:val="3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rsid w:val="005B581A"/>
    <w:pPr>
      <w:tabs>
        <w:tab w:val="center" w:pos="4153"/>
        <w:tab w:val="right" w:pos="8306"/>
      </w:tabs>
    </w:pPr>
  </w:style>
  <w:style w:type="paragraph" w:styleId="Pta">
    <w:name w:val="footer"/>
    <w:basedOn w:val="Normlny"/>
    <w:rsid w:val="005B581A"/>
    <w:pPr>
      <w:tabs>
        <w:tab w:val="center" w:pos="4153"/>
        <w:tab w:val="right" w:pos="8306"/>
      </w:tabs>
    </w:pPr>
  </w:style>
  <w:style w:type="character" w:styleId="slostrany">
    <w:name w:val="page number"/>
    <w:basedOn w:val="Predvolenpsmoodseku"/>
    <w:rsid w:val="005B581A"/>
  </w:style>
  <w:style w:type="paragraph" w:styleId="Zkladntext">
    <w:name w:val="Body Text"/>
    <w:basedOn w:val="Normlny"/>
    <w:rsid w:val="005B581A"/>
    <w:pPr>
      <w:ind w:left="426"/>
      <w:jc w:val="both"/>
    </w:pPr>
    <w:rPr>
      <w:sz w:val="18"/>
    </w:rPr>
  </w:style>
  <w:style w:type="paragraph" w:customStyle="1" w:styleId="Uvod">
    <w:name w:val="Uvod"/>
    <w:basedOn w:val="Normlny"/>
    <w:rsid w:val="005B581A"/>
    <w:pPr>
      <w:ind w:left="284" w:hanging="284"/>
      <w:jc w:val="both"/>
    </w:pPr>
    <w:rPr>
      <w:sz w:val="22"/>
    </w:rPr>
  </w:style>
  <w:style w:type="paragraph" w:customStyle="1" w:styleId="Tabulka">
    <w:name w:val="Tabulka"/>
    <w:basedOn w:val="Normlny"/>
    <w:rsid w:val="005B581A"/>
    <w:rPr>
      <w:color w:val="000000"/>
      <w:sz w:val="18"/>
    </w:rPr>
  </w:style>
  <w:style w:type="paragraph" w:customStyle="1" w:styleId="Pismenka">
    <w:name w:val="Pismenka"/>
    <w:basedOn w:val="Zkladntext"/>
    <w:rsid w:val="005B581A"/>
    <w:pPr>
      <w:tabs>
        <w:tab w:val="num" w:pos="426"/>
      </w:tabs>
      <w:ind w:hanging="426"/>
    </w:pPr>
    <w:rPr>
      <w:b/>
    </w:rPr>
  </w:style>
  <w:style w:type="paragraph" w:styleId="Obsah1">
    <w:name w:val="toc 1"/>
    <w:basedOn w:val="Normlny"/>
    <w:next w:val="Normlny"/>
    <w:autoRedefine/>
    <w:semiHidden/>
    <w:rsid w:val="005B581A"/>
    <w:pPr>
      <w:tabs>
        <w:tab w:val="left" w:pos="426"/>
        <w:tab w:val="right" w:pos="9203"/>
      </w:tabs>
      <w:spacing w:before="360"/>
    </w:pPr>
    <w:rPr>
      <w:b/>
      <w:bCs/>
      <w:caps/>
      <w:noProof/>
      <w:szCs w:val="18"/>
    </w:rPr>
  </w:style>
  <w:style w:type="paragraph" w:styleId="Obsah2">
    <w:name w:val="toc 2"/>
    <w:basedOn w:val="Normlny"/>
    <w:next w:val="Normlny"/>
    <w:autoRedefine/>
    <w:semiHidden/>
    <w:rsid w:val="005B581A"/>
    <w:pPr>
      <w:tabs>
        <w:tab w:val="left" w:pos="993"/>
        <w:tab w:val="right" w:pos="9203"/>
      </w:tabs>
      <w:ind w:firstLine="567"/>
    </w:pPr>
    <w:rPr>
      <w:b/>
      <w:bCs/>
      <w:noProof/>
      <w:szCs w:val="18"/>
    </w:rPr>
  </w:style>
  <w:style w:type="paragraph" w:styleId="Obsah3">
    <w:name w:val="toc 3"/>
    <w:basedOn w:val="Normlny"/>
    <w:next w:val="Normlny"/>
    <w:autoRedefine/>
    <w:semiHidden/>
    <w:rsid w:val="005B581A"/>
    <w:pPr>
      <w:ind w:left="200"/>
    </w:pPr>
    <w:rPr>
      <w:szCs w:val="24"/>
    </w:rPr>
  </w:style>
  <w:style w:type="paragraph" w:styleId="Obsah4">
    <w:name w:val="toc 4"/>
    <w:basedOn w:val="Normlny"/>
    <w:next w:val="Normlny"/>
    <w:autoRedefine/>
    <w:semiHidden/>
    <w:rsid w:val="005B581A"/>
    <w:pPr>
      <w:ind w:left="400"/>
    </w:pPr>
    <w:rPr>
      <w:szCs w:val="24"/>
    </w:rPr>
  </w:style>
  <w:style w:type="paragraph" w:styleId="Obsah5">
    <w:name w:val="toc 5"/>
    <w:basedOn w:val="Normlny"/>
    <w:next w:val="Normlny"/>
    <w:autoRedefine/>
    <w:semiHidden/>
    <w:rsid w:val="005B581A"/>
    <w:pPr>
      <w:ind w:left="600"/>
    </w:pPr>
    <w:rPr>
      <w:szCs w:val="24"/>
    </w:rPr>
  </w:style>
  <w:style w:type="paragraph" w:styleId="Obsah6">
    <w:name w:val="toc 6"/>
    <w:basedOn w:val="Normlny"/>
    <w:next w:val="Normlny"/>
    <w:autoRedefine/>
    <w:semiHidden/>
    <w:rsid w:val="005B581A"/>
    <w:pPr>
      <w:ind w:left="800"/>
    </w:pPr>
    <w:rPr>
      <w:szCs w:val="24"/>
    </w:rPr>
  </w:style>
  <w:style w:type="paragraph" w:styleId="Obsah7">
    <w:name w:val="toc 7"/>
    <w:basedOn w:val="Normlny"/>
    <w:next w:val="Normlny"/>
    <w:autoRedefine/>
    <w:semiHidden/>
    <w:rsid w:val="005B581A"/>
    <w:pPr>
      <w:ind w:left="1000"/>
    </w:pPr>
    <w:rPr>
      <w:szCs w:val="24"/>
    </w:rPr>
  </w:style>
  <w:style w:type="paragraph" w:styleId="Obsah8">
    <w:name w:val="toc 8"/>
    <w:basedOn w:val="Normlny"/>
    <w:next w:val="Normlny"/>
    <w:autoRedefine/>
    <w:semiHidden/>
    <w:rsid w:val="005B581A"/>
    <w:pPr>
      <w:ind w:left="1200"/>
    </w:pPr>
    <w:rPr>
      <w:szCs w:val="24"/>
    </w:rPr>
  </w:style>
  <w:style w:type="paragraph" w:styleId="Obsah9">
    <w:name w:val="toc 9"/>
    <w:basedOn w:val="Normlny"/>
    <w:next w:val="Normlny"/>
    <w:autoRedefine/>
    <w:semiHidden/>
    <w:rsid w:val="005B581A"/>
    <w:pPr>
      <w:ind w:left="1400"/>
    </w:pPr>
    <w:rPr>
      <w:szCs w:val="24"/>
    </w:rPr>
  </w:style>
  <w:style w:type="character" w:styleId="Hypertextovprepojenie">
    <w:name w:val="Hyperlink"/>
    <w:basedOn w:val="Predvolenpsmoodseku"/>
    <w:rsid w:val="005B581A"/>
    <w:rPr>
      <w:color w:val="0000FF"/>
      <w:u w:val="single"/>
    </w:rPr>
  </w:style>
  <w:style w:type="character" w:styleId="PouitHypertextovPrepojenie">
    <w:name w:val="FollowedHyperlink"/>
    <w:basedOn w:val="Predvolenpsmoodseku"/>
    <w:rsid w:val="005B581A"/>
    <w:rPr>
      <w:color w:val="800080"/>
      <w:u w:val="single"/>
    </w:rPr>
  </w:style>
  <w:style w:type="paragraph" w:styleId="Zarkazkladnhotextu">
    <w:name w:val="Body Text Indent"/>
    <w:basedOn w:val="Normlny"/>
    <w:rsid w:val="005B581A"/>
    <w:pPr>
      <w:spacing w:after="120"/>
      <w:ind w:left="283"/>
    </w:pPr>
  </w:style>
  <w:style w:type="paragraph" w:styleId="Textbubliny">
    <w:name w:val="Balloon Text"/>
    <w:basedOn w:val="Normlny"/>
    <w:semiHidden/>
    <w:rsid w:val="005B581A"/>
    <w:rPr>
      <w:rFonts w:ascii="Tahoma" w:hAnsi="Tahoma" w:cs="Tahoma"/>
      <w:sz w:val="16"/>
      <w:szCs w:val="16"/>
    </w:rPr>
  </w:style>
  <w:style w:type="paragraph" w:styleId="Obyajntext">
    <w:name w:val="Plain Text"/>
    <w:basedOn w:val="Normlny"/>
    <w:rsid w:val="005B581A"/>
    <w:pPr>
      <w:spacing w:line="260" w:lineRule="atLeast"/>
    </w:pPr>
    <w:rPr>
      <w:rFonts w:ascii="Courier New" w:hAnsi="Courier New" w:cs="Courier New"/>
      <w:lang w:val="en-US"/>
    </w:rPr>
  </w:style>
  <w:style w:type="character" w:customStyle="1" w:styleId="ZkladntextChar">
    <w:name w:val="Základný text Char"/>
    <w:basedOn w:val="Predvolenpsmoodseku"/>
    <w:semiHidden/>
    <w:locked/>
    <w:rsid w:val="005B581A"/>
    <w:rPr>
      <w:noProof w:val="0"/>
      <w:sz w:val="18"/>
      <w:lang w:val="sk-SK" w:eastAsia="en-US" w:bidi="ar-SA"/>
    </w:rPr>
  </w:style>
  <w:style w:type="character" w:customStyle="1" w:styleId="HlavikaChar">
    <w:name w:val="Hlavička Char"/>
    <w:basedOn w:val="Predvolenpsmoodseku"/>
    <w:link w:val="Hlavika"/>
    <w:uiPriority w:val="99"/>
    <w:rsid w:val="00D43170"/>
    <w:rPr>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04909229">
      <w:bodyDiv w:val="1"/>
      <w:marLeft w:val="0"/>
      <w:marRight w:val="0"/>
      <w:marTop w:val="0"/>
      <w:marBottom w:val="0"/>
      <w:divBdr>
        <w:top w:val="none" w:sz="0" w:space="0" w:color="auto"/>
        <w:left w:val="none" w:sz="0" w:space="0" w:color="auto"/>
        <w:bottom w:val="none" w:sz="0" w:space="0" w:color="auto"/>
        <w:right w:val="none" w:sz="0" w:space="0" w:color="auto"/>
      </w:divBdr>
    </w:div>
    <w:div w:id="775907987">
      <w:bodyDiv w:val="1"/>
      <w:marLeft w:val="0"/>
      <w:marRight w:val="0"/>
      <w:marTop w:val="0"/>
      <w:marBottom w:val="0"/>
      <w:divBdr>
        <w:top w:val="none" w:sz="0" w:space="0" w:color="auto"/>
        <w:left w:val="none" w:sz="0" w:space="0" w:color="auto"/>
        <w:bottom w:val="none" w:sz="0" w:space="0" w:color="auto"/>
        <w:right w:val="none" w:sz="0" w:space="0" w:color="auto"/>
      </w:divBdr>
    </w:div>
    <w:div w:id="138105446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oleObject" Target="embeddings/H_rok_programu_Microsoft_Excel_97-2003.xls"/><Relationship Id="rId13" Type="http://schemas.openxmlformats.org/officeDocument/2006/relationships/image" Target="media/image4.emf"/><Relationship Id="rId18" Type="http://schemas.openxmlformats.org/officeDocument/2006/relationships/oleObject" Target="embeddings/H_rok_programu_Microsoft_Excel_97-20035.xls"/><Relationship Id="rId26" Type="http://schemas.openxmlformats.org/officeDocument/2006/relationships/oleObject" Target="embeddings/H_rok_programu_Microsoft_Excel_97-20039.xls"/><Relationship Id="rId3" Type="http://schemas.openxmlformats.org/officeDocument/2006/relationships/settings" Target="settings.xml"/><Relationship Id="rId21" Type="http://schemas.openxmlformats.org/officeDocument/2006/relationships/image" Target="media/image8.emf"/><Relationship Id="rId7" Type="http://schemas.openxmlformats.org/officeDocument/2006/relationships/image" Target="media/image1.emf"/><Relationship Id="rId12" Type="http://schemas.openxmlformats.org/officeDocument/2006/relationships/oleObject" Target="embeddings/H_rok_programu_Microsoft_Excel_97-20032.xls"/><Relationship Id="rId17" Type="http://schemas.openxmlformats.org/officeDocument/2006/relationships/image" Target="media/image6.emf"/><Relationship Id="rId25" Type="http://schemas.openxmlformats.org/officeDocument/2006/relationships/image" Target="media/image10.emf"/><Relationship Id="rId2" Type="http://schemas.openxmlformats.org/officeDocument/2006/relationships/styles" Target="styles.xml"/><Relationship Id="rId16" Type="http://schemas.openxmlformats.org/officeDocument/2006/relationships/oleObject" Target="embeddings/H_rok_programu_Microsoft_Excel_97-20034.xls"/><Relationship Id="rId20" Type="http://schemas.openxmlformats.org/officeDocument/2006/relationships/oleObject" Target="embeddings/H_rok_programu_Microsoft_Excel_97-20036.xls"/><Relationship Id="rId29"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3.emf"/><Relationship Id="rId24" Type="http://schemas.openxmlformats.org/officeDocument/2006/relationships/oleObject" Target="embeddings/H_rok_programu_Microsoft_Excel_97-20038.xls"/><Relationship Id="rId5" Type="http://schemas.openxmlformats.org/officeDocument/2006/relationships/footnotes" Target="footnotes.xml"/><Relationship Id="rId15" Type="http://schemas.openxmlformats.org/officeDocument/2006/relationships/image" Target="media/image5.emf"/><Relationship Id="rId23" Type="http://schemas.openxmlformats.org/officeDocument/2006/relationships/image" Target="media/image9.emf"/><Relationship Id="rId28" Type="http://schemas.openxmlformats.org/officeDocument/2006/relationships/footer" Target="footer1.xml"/><Relationship Id="rId10" Type="http://schemas.openxmlformats.org/officeDocument/2006/relationships/oleObject" Target="embeddings/H_rok_programu_Microsoft_Excel_97-20031.xls"/><Relationship Id="rId19" Type="http://schemas.openxmlformats.org/officeDocument/2006/relationships/image" Target="media/image7.emf"/><Relationship Id="rId4" Type="http://schemas.openxmlformats.org/officeDocument/2006/relationships/webSettings" Target="webSettings.xml"/><Relationship Id="rId9" Type="http://schemas.openxmlformats.org/officeDocument/2006/relationships/image" Target="media/image2.emf"/><Relationship Id="rId14" Type="http://schemas.openxmlformats.org/officeDocument/2006/relationships/oleObject" Target="embeddings/H_rok_programu_Microsoft_Excel_97-20033.xls"/><Relationship Id="rId22" Type="http://schemas.openxmlformats.org/officeDocument/2006/relationships/oleObject" Target="embeddings/H_rok_programu_Microsoft_Excel_97-20037.xls"/><Relationship Id="rId27" Type="http://schemas.openxmlformats.org/officeDocument/2006/relationships/header" Target="header1.xml"/><Relationship Id="rId30" Type="http://schemas.openxmlformats.org/officeDocument/2006/relationships/theme" Target="theme/theme1.xml"/></Relationships>
</file>

<file path=word/_rels/settings.xml.rels><?xml version="1.0" encoding="UTF-8" standalone="yes"?>
<Relationships xmlns="http://schemas.openxmlformats.org/package/2006/relationships"><Relationship Id="rId1" Type="http://schemas.openxmlformats.org/officeDocument/2006/relationships/attachedTemplate" Target="file:///F:\Moding\TOMMI%202009\Poznamky_2009_Tommi.dot" TargetMode="Externa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Poznamky_2009_Tommi</Template>
  <TotalTime>0</TotalTime>
  <Pages>9</Pages>
  <Words>2654</Words>
  <Characters>15133</Characters>
  <Application>Microsoft Office Word</Application>
  <DocSecurity>0</DocSecurity>
  <Lines>126</Lines>
  <Paragraphs>35</Paragraphs>
  <ScaleCrop>false</ScaleCrop>
  <HeadingPairs>
    <vt:vector size="2" baseType="variant">
      <vt:variant>
        <vt:lpstr>Názov</vt:lpstr>
      </vt:variant>
      <vt:variant>
        <vt:i4>1</vt:i4>
      </vt:variant>
    </vt:vector>
  </HeadingPairs>
  <TitlesOfParts>
    <vt:vector size="1" baseType="lpstr">
      <vt:lpstr>Všeobecné údaje</vt:lpstr>
    </vt:vector>
  </TitlesOfParts>
  <Company>KPMG</Company>
  <LinksUpToDate>false</LinksUpToDate>
  <CharactersWithSpaces>17752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Všeobecné údaje</dc:title>
  <dc:creator>Mihalikova</dc:creator>
  <cp:lastModifiedBy>Uzivatel</cp:lastModifiedBy>
  <cp:revision>2</cp:revision>
  <cp:lastPrinted>2018-03-15T10:25:00Z</cp:lastPrinted>
  <dcterms:created xsi:type="dcterms:W3CDTF">2023-02-21T10:12:00Z</dcterms:created>
  <dcterms:modified xsi:type="dcterms:W3CDTF">2023-02-21T10:12:00Z</dcterms:modified>
</cp:coreProperties>
</file>