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75E0" w:rsidRDefault="007875E0" w:rsidP="00F67346">
      <w:pPr>
        <w:pStyle w:val="Default"/>
      </w:pPr>
    </w:p>
    <w:tbl>
      <w:tblPr>
        <w:tblW w:w="0" w:type="auto"/>
        <w:jc w:val="center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624"/>
        <w:gridCol w:w="782"/>
        <w:gridCol w:w="339"/>
        <w:gridCol w:w="339"/>
        <w:gridCol w:w="339"/>
        <w:gridCol w:w="339"/>
        <w:gridCol w:w="339"/>
        <w:gridCol w:w="339"/>
        <w:gridCol w:w="339"/>
        <w:gridCol w:w="339"/>
        <w:gridCol w:w="630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</w:tblGrid>
      <w:tr w:rsidR="007875E0" w:rsidRPr="00460051" w:rsidTr="00460051">
        <w:trPr>
          <w:trHeight w:val="419"/>
          <w:jc w:val="center"/>
        </w:trPr>
        <w:tc>
          <w:tcPr>
            <w:tcW w:w="2624" w:type="dxa"/>
            <w:vAlign w:val="center"/>
          </w:tcPr>
          <w:p w:rsidR="007875E0" w:rsidRPr="00460051" w:rsidRDefault="007875E0" w:rsidP="00460051">
            <w:pPr>
              <w:pStyle w:val="Default"/>
              <w:jc w:val="center"/>
              <w:outlineLvl w:val="0"/>
              <w:rPr>
                <w:sz w:val="22"/>
                <w:szCs w:val="22"/>
              </w:rPr>
            </w:pPr>
            <w:r w:rsidRPr="00460051">
              <w:rPr>
                <w:sz w:val="22"/>
                <w:szCs w:val="22"/>
              </w:rPr>
              <w:t>Poznámky Úč MÚJ 3 – 01</w:t>
            </w:r>
          </w:p>
        </w:tc>
        <w:tc>
          <w:tcPr>
            <w:tcW w:w="782" w:type="dxa"/>
            <w:tcBorders>
              <w:top w:val="nil"/>
              <w:bottom w:val="nil"/>
            </w:tcBorders>
            <w:vAlign w:val="center"/>
          </w:tcPr>
          <w:p w:rsidR="007875E0" w:rsidRPr="00460051" w:rsidRDefault="007875E0" w:rsidP="00460051">
            <w:pPr>
              <w:pStyle w:val="Default"/>
              <w:jc w:val="center"/>
              <w:outlineLvl w:val="0"/>
            </w:pPr>
            <w:r w:rsidRPr="00460051">
              <w:t>IČO</w:t>
            </w:r>
          </w:p>
        </w:tc>
        <w:tc>
          <w:tcPr>
            <w:tcW w:w="339" w:type="dxa"/>
            <w:vAlign w:val="center"/>
          </w:tcPr>
          <w:p w:rsidR="007875E0" w:rsidRPr="00460051" w:rsidRDefault="007875E0" w:rsidP="00460051">
            <w:pPr>
              <w:pStyle w:val="Default"/>
              <w:jc w:val="center"/>
              <w:outlineLvl w:val="0"/>
            </w:pPr>
            <w:r w:rsidRPr="00460051">
              <w:t>3</w:t>
            </w:r>
          </w:p>
        </w:tc>
        <w:tc>
          <w:tcPr>
            <w:tcW w:w="339" w:type="dxa"/>
            <w:vAlign w:val="center"/>
          </w:tcPr>
          <w:p w:rsidR="007875E0" w:rsidRPr="00460051" w:rsidRDefault="007875E0" w:rsidP="00460051">
            <w:pPr>
              <w:pStyle w:val="Default"/>
              <w:jc w:val="center"/>
              <w:outlineLvl w:val="0"/>
            </w:pPr>
            <w:r w:rsidRPr="00460051">
              <w:t>6</w:t>
            </w:r>
          </w:p>
        </w:tc>
        <w:tc>
          <w:tcPr>
            <w:tcW w:w="339" w:type="dxa"/>
            <w:vAlign w:val="center"/>
          </w:tcPr>
          <w:p w:rsidR="007875E0" w:rsidRPr="00460051" w:rsidRDefault="007875E0" w:rsidP="00460051">
            <w:pPr>
              <w:pStyle w:val="Default"/>
              <w:jc w:val="center"/>
              <w:outlineLvl w:val="0"/>
            </w:pPr>
            <w:r w:rsidRPr="00460051">
              <w:t>0</w:t>
            </w:r>
          </w:p>
        </w:tc>
        <w:tc>
          <w:tcPr>
            <w:tcW w:w="339" w:type="dxa"/>
            <w:vAlign w:val="center"/>
          </w:tcPr>
          <w:p w:rsidR="007875E0" w:rsidRPr="00460051" w:rsidRDefault="007875E0" w:rsidP="00460051">
            <w:pPr>
              <w:pStyle w:val="Default"/>
              <w:jc w:val="center"/>
              <w:outlineLvl w:val="0"/>
            </w:pPr>
            <w:r w:rsidRPr="00460051">
              <w:t>0</w:t>
            </w:r>
          </w:p>
        </w:tc>
        <w:tc>
          <w:tcPr>
            <w:tcW w:w="339" w:type="dxa"/>
            <w:vAlign w:val="center"/>
          </w:tcPr>
          <w:p w:rsidR="007875E0" w:rsidRPr="00460051" w:rsidRDefault="007875E0" w:rsidP="00460051">
            <w:pPr>
              <w:pStyle w:val="Default"/>
              <w:jc w:val="center"/>
              <w:outlineLvl w:val="0"/>
            </w:pPr>
            <w:r w:rsidRPr="00460051">
              <w:t>9</w:t>
            </w:r>
          </w:p>
        </w:tc>
        <w:tc>
          <w:tcPr>
            <w:tcW w:w="339" w:type="dxa"/>
            <w:vAlign w:val="center"/>
          </w:tcPr>
          <w:p w:rsidR="007875E0" w:rsidRPr="00460051" w:rsidRDefault="007875E0" w:rsidP="00460051">
            <w:pPr>
              <w:pStyle w:val="Default"/>
              <w:jc w:val="center"/>
              <w:outlineLvl w:val="0"/>
            </w:pPr>
            <w:r w:rsidRPr="00460051">
              <w:t>6</w:t>
            </w:r>
          </w:p>
        </w:tc>
        <w:tc>
          <w:tcPr>
            <w:tcW w:w="339" w:type="dxa"/>
            <w:vAlign w:val="center"/>
          </w:tcPr>
          <w:p w:rsidR="007875E0" w:rsidRPr="00460051" w:rsidRDefault="007875E0" w:rsidP="00460051">
            <w:pPr>
              <w:pStyle w:val="Default"/>
              <w:jc w:val="center"/>
              <w:outlineLvl w:val="0"/>
            </w:pPr>
            <w:r w:rsidRPr="00460051">
              <w:t>0</w:t>
            </w:r>
          </w:p>
        </w:tc>
        <w:tc>
          <w:tcPr>
            <w:tcW w:w="339" w:type="dxa"/>
            <w:vAlign w:val="center"/>
          </w:tcPr>
          <w:p w:rsidR="007875E0" w:rsidRPr="00460051" w:rsidRDefault="007875E0" w:rsidP="00460051">
            <w:pPr>
              <w:pStyle w:val="Default"/>
              <w:jc w:val="center"/>
              <w:outlineLvl w:val="0"/>
            </w:pPr>
            <w:r w:rsidRPr="00460051"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  <w:vAlign w:val="center"/>
          </w:tcPr>
          <w:p w:rsidR="007875E0" w:rsidRPr="00460051" w:rsidRDefault="007875E0" w:rsidP="00460051">
            <w:pPr>
              <w:pStyle w:val="Default"/>
              <w:jc w:val="center"/>
              <w:outlineLvl w:val="0"/>
            </w:pPr>
            <w:r w:rsidRPr="00460051">
              <w:t>DIČ</w:t>
            </w:r>
          </w:p>
        </w:tc>
        <w:tc>
          <w:tcPr>
            <w:tcW w:w="339" w:type="dxa"/>
            <w:vAlign w:val="center"/>
          </w:tcPr>
          <w:p w:rsidR="007875E0" w:rsidRPr="00460051" w:rsidRDefault="007875E0" w:rsidP="00460051">
            <w:pPr>
              <w:pStyle w:val="Default"/>
              <w:jc w:val="center"/>
              <w:outlineLvl w:val="0"/>
            </w:pPr>
            <w:r w:rsidRPr="00460051">
              <w:t>2</w:t>
            </w:r>
          </w:p>
        </w:tc>
        <w:tc>
          <w:tcPr>
            <w:tcW w:w="339" w:type="dxa"/>
            <w:vAlign w:val="center"/>
          </w:tcPr>
          <w:p w:rsidR="007875E0" w:rsidRPr="00460051" w:rsidRDefault="007875E0" w:rsidP="00460051">
            <w:pPr>
              <w:pStyle w:val="Default"/>
              <w:jc w:val="center"/>
              <w:outlineLvl w:val="0"/>
            </w:pPr>
            <w:r w:rsidRPr="00460051">
              <w:t>0</w:t>
            </w:r>
          </w:p>
        </w:tc>
        <w:tc>
          <w:tcPr>
            <w:tcW w:w="339" w:type="dxa"/>
            <w:vAlign w:val="center"/>
          </w:tcPr>
          <w:p w:rsidR="007875E0" w:rsidRPr="00460051" w:rsidRDefault="007875E0" w:rsidP="00460051">
            <w:pPr>
              <w:pStyle w:val="Default"/>
              <w:jc w:val="center"/>
              <w:outlineLvl w:val="0"/>
            </w:pPr>
            <w:r w:rsidRPr="00460051">
              <w:t>2</w:t>
            </w:r>
          </w:p>
        </w:tc>
        <w:tc>
          <w:tcPr>
            <w:tcW w:w="339" w:type="dxa"/>
            <w:vAlign w:val="center"/>
          </w:tcPr>
          <w:p w:rsidR="007875E0" w:rsidRPr="00460051" w:rsidRDefault="007875E0" w:rsidP="00460051">
            <w:pPr>
              <w:pStyle w:val="Default"/>
              <w:jc w:val="center"/>
              <w:outlineLvl w:val="0"/>
            </w:pPr>
            <w:r w:rsidRPr="00460051">
              <w:t>0</w:t>
            </w:r>
          </w:p>
        </w:tc>
        <w:tc>
          <w:tcPr>
            <w:tcW w:w="339" w:type="dxa"/>
            <w:vAlign w:val="center"/>
          </w:tcPr>
          <w:p w:rsidR="007875E0" w:rsidRPr="00460051" w:rsidRDefault="007875E0" w:rsidP="00460051">
            <w:pPr>
              <w:pStyle w:val="Default"/>
              <w:jc w:val="center"/>
              <w:outlineLvl w:val="0"/>
            </w:pPr>
            <w:r w:rsidRPr="00460051">
              <w:t>4</w:t>
            </w:r>
          </w:p>
        </w:tc>
        <w:tc>
          <w:tcPr>
            <w:tcW w:w="339" w:type="dxa"/>
            <w:vAlign w:val="center"/>
          </w:tcPr>
          <w:p w:rsidR="007875E0" w:rsidRPr="00460051" w:rsidRDefault="007875E0" w:rsidP="00460051">
            <w:pPr>
              <w:pStyle w:val="Default"/>
              <w:jc w:val="center"/>
              <w:outlineLvl w:val="0"/>
            </w:pPr>
            <w:r w:rsidRPr="00460051">
              <w:t>6</w:t>
            </w:r>
          </w:p>
        </w:tc>
        <w:tc>
          <w:tcPr>
            <w:tcW w:w="339" w:type="dxa"/>
            <w:vAlign w:val="center"/>
          </w:tcPr>
          <w:p w:rsidR="007875E0" w:rsidRPr="00460051" w:rsidRDefault="007875E0" w:rsidP="00460051">
            <w:pPr>
              <w:pStyle w:val="Default"/>
              <w:jc w:val="center"/>
              <w:outlineLvl w:val="0"/>
            </w:pPr>
            <w:r w:rsidRPr="00460051">
              <w:t>9</w:t>
            </w:r>
          </w:p>
        </w:tc>
        <w:tc>
          <w:tcPr>
            <w:tcW w:w="339" w:type="dxa"/>
            <w:vAlign w:val="center"/>
          </w:tcPr>
          <w:p w:rsidR="007875E0" w:rsidRPr="00460051" w:rsidRDefault="007875E0" w:rsidP="00460051">
            <w:pPr>
              <w:pStyle w:val="Default"/>
              <w:jc w:val="center"/>
              <w:outlineLvl w:val="0"/>
            </w:pPr>
            <w:r w:rsidRPr="00460051">
              <w:t>7</w:t>
            </w:r>
          </w:p>
        </w:tc>
        <w:tc>
          <w:tcPr>
            <w:tcW w:w="339" w:type="dxa"/>
            <w:vAlign w:val="center"/>
          </w:tcPr>
          <w:p w:rsidR="007875E0" w:rsidRPr="00460051" w:rsidRDefault="007875E0" w:rsidP="00460051">
            <w:pPr>
              <w:pStyle w:val="Default"/>
              <w:jc w:val="center"/>
              <w:outlineLvl w:val="0"/>
            </w:pPr>
            <w:r w:rsidRPr="00460051">
              <w:t>7</w:t>
            </w:r>
          </w:p>
        </w:tc>
        <w:tc>
          <w:tcPr>
            <w:tcW w:w="339" w:type="dxa"/>
            <w:vAlign w:val="center"/>
          </w:tcPr>
          <w:p w:rsidR="007875E0" w:rsidRPr="00460051" w:rsidRDefault="007875E0" w:rsidP="00460051">
            <w:pPr>
              <w:pStyle w:val="Default"/>
              <w:jc w:val="center"/>
              <w:outlineLvl w:val="0"/>
            </w:pPr>
            <w:r w:rsidRPr="00460051">
              <w:t>0</w:t>
            </w:r>
          </w:p>
        </w:tc>
      </w:tr>
    </w:tbl>
    <w:p w:rsidR="007875E0" w:rsidRDefault="007875E0" w:rsidP="00F67346">
      <w:pPr>
        <w:pStyle w:val="Default"/>
        <w:rPr>
          <w:color w:val="auto"/>
        </w:rPr>
      </w:pPr>
    </w:p>
    <w:p w:rsidR="007875E0" w:rsidRDefault="007875E0" w:rsidP="00F67346">
      <w:pPr>
        <w:pStyle w:val="Default"/>
        <w:rPr>
          <w:color w:val="auto"/>
        </w:rPr>
      </w:pPr>
    </w:p>
    <w:p w:rsidR="007875E0" w:rsidRDefault="007875E0" w:rsidP="001E7E92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</w:t>
      </w:r>
    </w:p>
    <w:p w:rsidR="007875E0" w:rsidRPr="001E7E92" w:rsidRDefault="007875E0" w:rsidP="001E7E92">
      <w:pPr>
        <w:pStyle w:val="Default"/>
        <w:jc w:val="center"/>
        <w:rPr>
          <w:color w:val="auto"/>
        </w:rPr>
      </w:pPr>
    </w:p>
    <w:p w:rsidR="007875E0" w:rsidRDefault="007875E0" w:rsidP="001E7E92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Všeobecné údaje</w:t>
      </w:r>
    </w:p>
    <w:p w:rsidR="007875E0" w:rsidRPr="001E7E92" w:rsidRDefault="007875E0" w:rsidP="001E7E92">
      <w:pPr>
        <w:pStyle w:val="Default"/>
        <w:jc w:val="center"/>
        <w:rPr>
          <w:color w:val="auto"/>
        </w:rPr>
      </w:pPr>
    </w:p>
    <w:p w:rsidR="007875E0" w:rsidRDefault="007875E0" w:rsidP="00F67346">
      <w:pPr>
        <w:pStyle w:val="Default"/>
        <w:rPr>
          <w:color w:val="auto"/>
        </w:rPr>
      </w:pPr>
      <w:r w:rsidRPr="001E7E92">
        <w:rPr>
          <w:color w:val="auto"/>
        </w:rPr>
        <w:t>(1) Názov právn</w:t>
      </w:r>
      <w:r>
        <w:rPr>
          <w:color w:val="auto"/>
        </w:rPr>
        <w:t>ickej osoby a jej sídlo :</w:t>
      </w:r>
    </w:p>
    <w:p w:rsidR="007875E0" w:rsidRDefault="007875E0" w:rsidP="00F67346">
      <w:pPr>
        <w:pStyle w:val="Default"/>
        <w:rPr>
          <w:color w:val="auto"/>
        </w:rPr>
      </w:pPr>
    </w:p>
    <w:p w:rsidR="007875E0" w:rsidRDefault="007875E0" w:rsidP="00F67346">
      <w:pPr>
        <w:pStyle w:val="Default"/>
        <w:rPr>
          <w:b/>
          <w:color w:val="auto"/>
          <w:sz w:val="28"/>
          <w:szCs w:val="28"/>
        </w:rPr>
      </w:pPr>
      <w:r>
        <w:rPr>
          <w:color w:val="auto"/>
        </w:rPr>
        <w:tab/>
      </w:r>
      <w:r>
        <w:rPr>
          <w:b/>
          <w:color w:val="auto"/>
          <w:sz w:val="28"/>
          <w:szCs w:val="28"/>
        </w:rPr>
        <w:t>Banská obchodná a stavebná spoločnosť s.r.o.</w:t>
      </w:r>
    </w:p>
    <w:p w:rsidR="007875E0" w:rsidRDefault="007875E0" w:rsidP="00F67346">
      <w:pPr>
        <w:pStyle w:val="Default"/>
        <w:rPr>
          <w:color w:val="auto"/>
          <w:sz w:val="28"/>
          <w:szCs w:val="28"/>
        </w:rPr>
      </w:pPr>
      <w:r>
        <w:rPr>
          <w:b/>
          <w:color w:val="auto"/>
          <w:sz w:val="28"/>
          <w:szCs w:val="28"/>
        </w:rPr>
        <w:tab/>
      </w:r>
      <w:r>
        <w:rPr>
          <w:color w:val="auto"/>
          <w:sz w:val="28"/>
          <w:szCs w:val="28"/>
        </w:rPr>
        <w:t>Matice Slovenskej 10</w:t>
      </w:r>
    </w:p>
    <w:p w:rsidR="007875E0" w:rsidRPr="00DE1F42" w:rsidRDefault="007875E0" w:rsidP="00F67346">
      <w:pPr>
        <w:pStyle w:val="Default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ab/>
        <w:t>971 01 Prievidza</w:t>
      </w:r>
    </w:p>
    <w:p w:rsidR="007875E0" w:rsidRPr="001E7E92" w:rsidRDefault="007875E0" w:rsidP="00F67346">
      <w:pPr>
        <w:pStyle w:val="Default"/>
        <w:rPr>
          <w:color w:val="auto"/>
        </w:rPr>
      </w:pPr>
    </w:p>
    <w:p w:rsidR="007875E0" w:rsidRDefault="007875E0" w:rsidP="00055A1A">
      <w:pPr>
        <w:pStyle w:val="Default"/>
      </w:pPr>
      <w:r w:rsidRPr="001E7E92">
        <w:rPr>
          <w:color w:val="auto"/>
        </w:rPr>
        <w:t>(2) Úda</w:t>
      </w:r>
      <w:r>
        <w:rPr>
          <w:color w:val="auto"/>
        </w:rPr>
        <w:t xml:space="preserve">je o konsolidovanom celku - </w:t>
      </w:r>
      <w:r w:rsidRPr="00A41247">
        <w:t>ÚJ nemá obsahovú náplň v tejto položke</w:t>
      </w:r>
    </w:p>
    <w:p w:rsidR="007875E0" w:rsidRPr="00A41247" w:rsidRDefault="007875E0" w:rsidP="00055A1A">
      <w:pPr>
        <w:pStyle w:val="Default"/>
        <w:rPr>
          <w:color w:val="auto"/>
        </w:rPr>
      </w:pPr>
    </w:p>
    <w:p w:rsidR="007875E0" w:rsidRPr="001E7E92" w:rsidRDefault="007875E0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7875E0" w:rsidRPr="001E7E92" w:rsidRDefault="007875E0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7875E0" w:rsidRPr="001E7E92" w:rsidRDefault="007875E0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7875E0" w:rsidRDefault="007875E0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2. pri oslobodení podľa § 22 ods. 12 zákona obchodné meno a sídlo dcérskych účtovných jednotiek. </w:t>
      </w:r>
    </w:p>
    <w:p w:rsidR="007875E0" w:rsidRDefault="007875E0" w:rsidP="00F67346">
      <w:pPr>
        <w:pStyle w:val="Default"/>
        <w:rPr>
          <w:color w:val="auto"/>
        </w:rPr>
      </w:pPr>
    </w:p>
    <w:p w:rsidR="007875E0" w:rsidRDefault="007875E0" w:rsidP="00711177">
      <w:pPr>
        <w:pStyle w:val="Default"/>
        <w:numPr>
          <w:ilvl w:val="0"/>
          <w:numId w:val="11"/>
        </w:numPr>
        <w:rPr>
          <w:color w:val="auto"/>
        </w:rPr>
      </w:pPr>
      <w:r>
        <w:rPr>
          <w:color w:val="auto"/>
        </w:rPr>
        <w:t xml:space="preserve">Priemerný prepočítaný počet zamestnancov 8. </w:t>
      </w:r>
    </w:p>
    <w:p w:rsidR="007875E0" w:rsidRDefault="007875E0" w:rsidP="00F67346">
      <w:pPr>
        <w:pStyle w:val="Default"/>
        <w:rPr>
          <w:color w:val="auto"/>
        </w:rPr>
      </w:pPr>
    </w:p>
    <w:p w:rsidR="007875E0" w:rsidRDefault="007875E0" w:rsidP="00F67346">
      <w:pPr>
        <w:pStyle w:val="Default"/>
        <w:rPr>
          <w:color w:val="auto"/>
        </w:rPr>
      </w:pPr>
    </w:p>
    <w:p w:rsidR="007875E0" w:rsidRDefault="007875E0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II</w:t>
      </w:r>
    </w:p>
    <w:p w:rsidR="007875E0" w:rsidRPr="001E7E92" w:rsidRDefault="007875E0" w:rsidP="00811EF9">
      <w:pPr>
        <w:pStyle w:val="Default"/>
        <w:jc w:val="center"/>
        <w:rPr>
          <w:color w:val="auto"/>
        </w:rPr>
      </w:pPr>
    </w:p>
    <w:p w:rsidR="007875E0" w:rsidRDefault="007875E0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Informácie o prijatých postupoch</w:t>
      </w:r>
    </w:p>
    <w:p w:rsidR="007875E0" w:rsidRPr="001E7E92" w:rsidRDefault="007875E0" w:rsidP="00811EF9">
      <w:pPr>
        <w:pStyle w:val="Default"/>
        <w:jc w:val="center"/>
        <w:rPr>
          <w:color w:val="auto"/>
        </w:rPr>
      </w:pPr>
    </w:p>
    <w:p w:rsidR="007875E0" w:rsidRPr="003C6CC5" w:rsidRDefault="007875E0" w:rsidP="003C6CC5">
      <w:pPr>
        <w:rPr>
          <w:rFonts w:ascii="Times New Roman" w:hAnsi="Times New Roman"/>
          <w:sz w:val="24"/>
          <w:szCs w:val="24"/>
        </w:rPr>
      </w:pPr>
      <w:r w:rsidRPr="001E7E92">
        <w:rPr>
          <w:sz w:val="24"/>
          <w:szCs w:val="24"/>
        </w:rPr>
        <w:t xml:space="preserve">(1) </w:t>
      </w:r>
      <w:r w:rsidRPr="003C6CC5">
        <w:rPr>
          <w:rFonts w:ascii="Times New Roman" w:hAnsi="Times New Roman"/>
          <w:sz w:val="24"/>
          <w:szCs w:val="24"/>
        </w:rPr>
        <w:t xml:space="preserve">Účtovná závierka bola zostavená podľa Zákona č. 431/2002 Z.z. o účtovníctve v znení neskorších predpisov za predpokladu nepretržitého trvania jej činnosti a je zostavená ako </w:t>
      </w:r>
      <w:r w:rsidRPr="003C6CC5">
        <w:rPr>
          <w:rFonts w:ascii="Times New Roman" w:hAnsi="Times New Roman"/>
          <w:i/>
          <w:sz w:val="24"/>
          <w:szCs w:val="24"/>
        </w:rPr>
        <w:t>riadna</w:t>
      </w:r>
      <w:r w:rsidRPr="003C6CC5">
        <w:rPr>
          <w:rFonts w:ascii="Times New Roman" w:hAnsi="Times New Roman"/>
          <w:sz w:val="24"/>
          <w:szCs w:val="24"/>
        </w:rPr>
        <w:t xml:space="preserve"> účtovná závierka. Účtovná závier</w:t>
      </w:r>
      <w:r>
        <w:rPr>
          <w:rFonts w:ascii="Times New Roman" w:hAnsi="Times New Roman"/>
          <w:sz w:val="24"/>
          <w:szCs w:val="24"/>
        </w:rPr>
        <w:t>ka spoločnosti za predchádzajúci</w:t>
      </w:r>
      <w:r w:rsidRPr="003C6CC5">
        <w:rPr>
          <w:rFonts w:ascii="Times New Roman" w:hAnsi="Times New Roman"/>
          <w:sz w:val="24"/>
          <w:szCs w:val="24"/>
        </w:rPr>
        <w:t xml:space="preserve"> účtovn</w:t>
      </w:r>
      <w:r>
        <w:rPr>
          <w:rFonts w:ascii="Times New Roman" w:hAnsi="Times New Roman"/>
          <w:sz w:val="24"/>
          <w:szCs w:val="24"/>
        </w:rPr>
        <w:t xml:space="preserve">ý </w:t>
      </w:r>
      <w:r w:rsidRPr="003C6CC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rok 2021 bola zostavená 10.03.2022, </w:t>
      </w:r>
      <w:r w:rsidRPr="003C6CC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schválená valným zhromaždením 10.03.2022</w:t>
      </w:r>
      <w:r w:rsidRPr="003C6CC5">
        <w:rPr>
          <w:rFonts w:ascii="Times New Roman" w:hAnsi="Times New Roman"/>
          <w:sz w:val="24"/>
          <w:szCs w:val="24"/>
        </w:rPr>
        <w:t>.</w:t>
      </w:r>
    </w:p>
    <w:p w:rsidR="007875E0" w:rsidRPr="001E7E92" w:rsidRDefault="007875E0" w:rsidP="00F67346">
      <w:pPr>
        <w:pStyle w:val="Default"/>
        <w:rPr>
          <w:color w:val="auto"/>
        </w:rPr>
      </w:pPr>
    </w:p>
    <w:p w:rsidR="007875E0" w:rsidRDefault="007875E0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>(2) Spôsob oceňovania jednotlivých polož</w:t>
      </w:r>
      <w:r>
        <w:rPr>
          <w:color w:val="auto"/>
        </w:rPr>
        <w:t>iek majetku a záväzkov:</w:t>
      </w:r>
    </w:p>
    <w:p w:rsidR="007875E0" w:rsidRDefault="007875E0" w:rsidP="00F67346">
      <w:pPr>
        <w:pStyle w:val="Default"/>
        <w:spacing w:after="27"/>
        <w:rPr>
          <w:color w:val="auto"/>
        </w:rPr>
      </w:pPr>
    </w:p>
    <w:p w:rsidR="007875E0" w:rsidRPr="003C6CC5" w:rsidRDefault="007875E0" w:rsidP="003C6CC5">
      <w:pPr>
        <w:pStyle w:val="Default"/>
        <w:spacing w:after="27" w:line="276" w:lineRule="auto"/>
        <w:rPr>
          <w:i/>
        </w:rPr>
      </w:pPr>
      <w:r w:rsidRPr="003C6CC5">
        <w:t>Účtovné zásady a metódy, ktoré spoločnosť používala pri zostave</w:t>
      </w:r>
      <w:r>
        <w:t>ní účtovnej závierky za rok 2022</w:t>
      </w:r>
      <w:r w:rsidRPr="003C6CC5">
        <w:t xml:space="preserve"> sú nasledovné: </w:t>
      </w:r>
    </w:p>
    <w:p w:rsidR="007875E0" w:rsidRDefault="007875E0" w:rsidP="003C6CC5">
      <w:pPr>
        <w:pStyle w:val="Default"/>
        <w:numPr>
          <w:ilvl w:val="0"/>
          <w:numId w:val="2"/>
        </w:numPr>
        <w:spacing w:after="27" w:line="276" w:lineRule="auto"/>
        <w:rPr>
          <w:b/>
        </w:rPr>
      </w:pPr>
      <w:bookmarkStart w:id="0" w:name="_Toc474124192"/>
      <w:bookmarkStart w:id="1" w:name="_Toc474124304"/>
      <w:r w:rsidRPr="003C6CC5">
        <w:rPr>
          <w:b/>
        </w:rPr>
        <w:t>Dlhodobý nehmotný majetok</w:t>
      </w:r>
      <w:bookmarkStart w:id="2" w:name="_Toc474124193"/>
      <w:bookmarkStart w:id="3" w:name="_Toc474124305"/>
      <w:bookmarkEnd w:id="0"/>
      <w:bookmarkEnd w:id="1"/>
    </w:p>
    <w:p w:rsidR="007875E0" w:rsidRPr="003C6CC5" w:rsidRDefault="007875E0" w:rsidP="003C6CC5">
      <w:pPr>
        <w:pStyle w:val="Default"/>
        <w:spacing w:after="27" w:line="276" w:lineRule="auto"/>
        <w:ind w:left="454"/>
        <w:rPr>
          <w:b/>
        </w:rPr>
      </w:pPr>
      <w:r w:rsidRPr="003C6CC5">
        <w:rPr>
          <w:b/>
        </w:rPr>
        <w:t>Dlhodobý hmotný majetok</w:t>
      </w:r>
      <w:bookmarkEnd w:id="2"/>
      <w:bookmarkEnd w:id="3"/>
    </w:p>
    <w:p w:rsidR="007875E0" w:rsidRPr="003C6CC5" w:rsidRDefault="007875E0" w:rsidP="003C6CC5">
      <w:pPr>
        <w:pStyle w:val="Default"/>
        <w:spacing w:after="27" w:line="276" w:lineRule="auto"/>
      </w:pPr>
      <w:r w:rsidRPr="003C6CC5">
        <w:t>Nakupovaný dlhodobý hmotný majetok sa oceňuje v obstarávacích cenách, ktoré zahŕňajú cenu obstarania, náklady na dopravu, clo a ďalšie náklady súvisiace s obstaraním.</w:t>
      </w:r>
    </w:p>
    <w:p w:rsidR="007875E0" w:rsidRPr="003C6CC5" w:rsidRDefault="007875E0" w:rsidP="003C6CC5">
      <w:pPr>
        <w:pStyle w:val="Default"/>
        <w:spacing w:after="27" w:line="276" w:lineRule="auto"/>
      </w:pPr>
      <w:r w:rsidRPr="003C6CC5">
        <w:t>Dlhodobý hmotný majetok vytvorený vlastnou činnosťou sa oceňuje vlastnými nákladmi, ktoré zahrňujú priame materiálové a mzdové náklady a výrobné režijné náklady.</w:t>
      </w:r>
    </w:p>
    <w:p w:rsidR="007875E0" w:rsidRPr="003C6CC5" w:rsidRDefault="007875E0" w:rsidP="003C6CC5">
      <w:pPr>
        <w:pStyle w:val="Default"/>
        <w:spacing w:after="27" w:line="276" w:lineRule="auto"/>
      </w:pPr>
      <w:r w:rsidRPr="003C6CC5">
        <w:t xml:space="preserve">Dlhodobý hmotný majetok získaný bezodplatne sa oceňuje reprodukčnou obstarávacou cenou a účtuje sa v prospech účtu ostatných kapitálových fondov. </w:t>
      </w:r>
    </w:p>
    <w:p w:rsidR="007875E0" w:rsidRPr="003C6CC5" w:rsidRDefault="007875E0" w:rsidP="003C6CC5">
      <w:pPr>
        <w:pStyle w:val="Default"/>
        <w:spacing w:after="27" w:line="276" w:lineRule="auto"/>
      </w:pPr>
      <w:r w:rsidRPr="003C6CC5">
        <w:t>Náklady na technické zhodnotenie dlhodobého hmotného majetku zvyšujú jeho obstarávaciu cenu. Opravy a údržba sa účtujú do nákladov.</w:t>
      </w:r>
    </w:p>
    <w:p w:rsidR="007875E0" w:rsidRPr="003C6CC5" w:rsidRDefault="007875E0" w:rsidP="003C6CC5">
      <w:pPr>
        <w:pStyle w:val="Default"/>
        <w:spacing w:after="27"/>
      </w:pPr>
    </w:p>
    <w:p w:rsidR="007875E0" w:rsidRDefault="007875E0" w:rsidP="003C6CC5">
      <w:pPr>
        <w:pStyle w:val="Default"/>
        <w:spacing w:after="27"/>
        <w:rPr>
          <w:b/>
        </w:rPr>
      </w:pPr>
      <w:r w:rsidRPr="003C6CC5">
        <w:rPr>
          <w:b/>
        </w:rPr>
        <w:t>Finančný majetok</w:t>
      </w:r>
    </w:p>
    <w:p w:rsidR="007875E0" w:rsidRPr="003C6CC5" w:rsidRDefault="007875E0" w:rsidP="003C6CC5">
      <w:pPr>
        <w:pStyle w:val="Default"/>
        <w:spacing w:after="27"/>
        <w:rPr>
          <w:b/>
        </w:rPr>
      </w:pPr>
    </w:p>
    <w:p w:rsidR="007875E0" w:rsidRPr="003C6CC5" w:rsidRDefault="007875E0" w:rsidP="003C6CC5">
      <w:pPr>
        <w:pStyle w:val="Heading2"/>
        <w:rPr>
          <w:sz w:val="24"/>
          <w:szCs w:val="24"/>
        </w:rPr>
      </w:pPr>
      <w:bookmarkStart w:id="4" w:name="_Toc474124195"/>
      <w:bookmarkStart w:id="5" w:name="_Toc474124307"/>
      <w:r w:rsidRPr="003C6CC5">
        <w:rPr>
          <w:sz w:val="24"/>
          <w:szCs w:val="24"/>
        </w:rPr>
        <w:t>Zásoby</w:t>
      </w:r>
      <w:bookmarkEnd w:id="4"/>
      <w:bookmarkEnd w:id="5"/>
    </w:p>
    <w:p w:rsidR="007875E0" w:rsidRPr="003C6CC5" w:rsidRDefault="007875E0" w:rsidP="003C6CC5">
      <w:pPr>
        <w:pStyle w:val="Default"/>
        <w:spacing w:after="27"/>
      </w:pPr>
      <w:r w:rsidRPr="003C6CC5">
        <w:t xml:space="preserve">Nakupované zásoby sú ocenené obstarávacími cenami s použitím metódy  </w:t>
      </w:r>
      <w:r w:rsidRPr="003C6CC5">
        <w:rPr>
          <w:i/>
          <w:iCs/>
        </w:rPr>
        <w:t>váženým aritmetickým priemerom</w:t>
      </w:r>
      <w:r w:rsidRPr="003C6CC5">
        <w:t>. Obstarávacia cena zásob zahŕňa cenu obstarania a náklady súvisiace s ich obstaraním (náklady na prepravu, clo, provízie, atď.). Prijaté zľavy, diskonty, rabaty znižujú obstarávaciu cenu zásob.</w:t>
      </w:r>
    </w:p>
    <w:p w:rsidR="007875E0" w:rsidRPr="003C6CC5" w:rsidRDefault="007875E0" w:rsidP="003C6CC5">
      <w:pPr>
        <w:pStyle w:val="Default"/>
        <w:spacing w:after="27"/>
      </w:pPr>
      <w:r w:rsidRPr="003C6CC5">
        <w:t>Zásoby vytvorené vlastnou činnosťou sa oceňujú vlastnými nákladmi. Vlastné náklady zahŕňajú priame materiálové a mzdové náklady a nepriame výrobné náklady</w:t>
      </w:r>
      <w:r w:rsidRPr="003C6CC5">
        <w:rPr>
          <w:i/>
        </w:rPr>
        <w:t>.</w:t>
      </w:r>
      <w:r w:rsidRPr="003C6CC5">
        <w:t xml:space="preserve"> </w:t>
      </w:r>
    </w:p>
    <w:p w:rsidR="007875E0" w:rsidRPr="003C6CC5" w:rsidRDefault="007875E0" w:rsidP="003C6CC5">
      <w:pPr>
        <w:pStyle w:val="Default"/>
        <w:spacing w:after="27"/>
      </w:pPr>
      <w:r w:rsidRPr="003C6CC5">
        <w:t xml:space="preserve">V prípade prechodného zníženia úžitkovej hodnoty zásob sa tvorí  opravná položka. </w:t>
      </w:r>
    </w:p>
    <w:p w:rsidR="007875E0" w:rsidRPr="003C6CC5" w:rsidRDefault="007875E0" w:rsidP="003C6CC5">
      <w:pPr>
        <w:pStyle w:val="Default"/>
        <w:spacing w:after="27"/>
      </w:pPr>
    </w:p>
    <w:p w:rsidR="007875E0" w:rsidRPr="003C6CC5" w:rsidRDefault="007875E0" w:rsidP="003C6CC5">
      <w:pPr>
        <w:pStyle w:val="Default"/>
        <w:spacing w:after="27"/>
        <w:rPr>
          <w:b/>
        </w:rPr>
      </w:pPr>
      <w:r w:rsidRPr="003C6CC5">
        <w:rPr>
          <w:b/>
        </w:rPr>
        <w:t xml:space="preserve">Zákazková výroba - </w:t>
      </w:r>
      <w:r w:rsidRPr="00A41247">
        <w:t>ÚJ nemá obsahovú náplň v tejto položke</w:t>
      </w:r>
    </w:p>
    <w:p w:rsidR="007875E0" w:rsidRPr="003C6CC5" w:rsidRDefault="007875E0" w:rsidP="003C6CC5">
      <w:pPr>
        <w:pStyle w:val="Default"/>
        <w:spacing w:after="27"/>
      </w:pPr>
    </w:p>
    <w:p w:rsidR="007875E0" w:rsidRPr="003C6CC5" w:rsidRDefault="007875E0" w:rsidP="003C6CC5">
      <w:pPr>
        <w:pStyle w:val="Heading2"/>
        <w:rPr>
          <w:sz w:val="24"/>
          <w:szCs w:val="24"/>
        </w:rPr>
      </w:pPr>
      <w:bookmarkStart w:id="6" w:name="_Toc474124196"/>
      <w:bookmarkStart w:id="7" w:name="_Toc474124308"/>
      <w:r w:rsidRPr="003C6CC5">
        <w:rPr>
          <w:sz w:val="24"/>
          <w:szCs w:val="24"/>
        </w:rPr>
        <w:t>Pohľadávky</w:t>
      </w:r>
      <w:bookmarkEnd w:id="6"/>
      <w:bookmarkEnd w:id="7"/>
    </w:p>
    <w:p w:rsidR="007875E0" w:rsidRDefault="007875E0" w:rsidP="003C6CC5">
      <w:pPr>
        <w:pStyle w:val="Default"/>
        <w:spacing w:after="27"/>
      </w:pPr>
      <w:r w:rsidRPr="003C6CC5"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 .</w:t>
      </w:r>
    </w:p>
    <w:p w:rsidR="007875E0" w:rsidRDefault="007875E0" w:rsidP="003C6CC5">
      <w:pPr>
        <w:pStyle w:val="Default"/>
        <w:spacing w:after="27"/>
      </w:pPr>
    </w:p>
    <w:p w:rsidR="007875E0" w:rsidRPr="00A41247" w:rsidRDefault="007875E0" w:rsidP="00A41247">
      <w:pPr>
        <w:pStyle w:val="Heading2"/>
        <w:rPr>
          <w:sz w:val="24"/>
          <w:szCs w:val="24"/>
        </w:rPr>
      </w:pPr>
      <w:r w:rsidRPr="00A41247">
        <w:rPr>
          <w:sz w:val="24"/>
          <w:szCs w:val="24"/>
        </w:rPr>
        <w:t xml:space="preserve">Krátkodobý finančný majetok </w:t>
      </w:r>
      <w:r w:rsidRPr="00A41247">
        <w:rPr>
          <w:b w:val="0"/>
          <w:sz w:val="24"/>
          <w:szCs w:val="24"/>
        </w:rPr>
        <w:t>tvo</w:t>
      </w:r>
      <w:r>
        <w:rPr>
          <w:b w:val="0"/>
          <w:sz w:val="24"/>
          <w:szCs w:val="24"/>
        </w:rPr>
        <w:t>ria ceniny, peniaze v hotovosti a</w:t>
      </w:r>
      <w:r w:rsidRPr="00A41247">
        <w:rPr>
          <w:b w:val="0"/>
          <w:sz w:val="24"/>
          <w:szCs w:val="24"/>
        </w:rPr>
        <w:t xml:space="preserve"> na bank</w:t>
      </w:r>
      <w:r>
        <w:rPr>
          <w:b w:val="0"/>
          <w:sz w:val="24"/>
          <w:szCs w:val="24"/>
        </w:rPr>
        <w:t>ových účtoch, majetkové cenné papiere na obchodovanie.</w:t>
      </w:r>
    </w:p>
    <w:p w:rsidR="007875E0" w:rsidRPr="003C6CC5" w:rsidRDefault="007875E0" w:rsidP="003C6CC5">
      <w:pPr>
        <w:pStyle w:val="Default"/>
        <w:spacing w:after="27"/>
      </w:pPr>
    </w:p>
    <w:p w:rsidR="007875E0" w:rsidRPr="00A41247" w:rsidRDefault="007875E0" w:rsidP="00A41247">
      <w:pPr>
        <w:pStyle w:val="Heading2"/>
        <w:rPr>
          <w:sz w:val="24"/>
          <w:szCs w:val="24"/>
        </w:rPr>
      </w:pPr>
      <w:r w:rsidRPr="00A41247">
        <w:rPr>
          <w:sz w:val="24"/>
          <w:szCs w:val="24"/>
        </w:rPr>
        <w:t xml:space="preserve">Záväzky </w:t>
      </w:r>
    </w:p>
    <w:p w:rsidR="007875E0" w:rsidRPr="003C6CC5" w:rsidRDefault="007875E0" w:rsidP="003C6CC5">
      <w:pPr>
        <w:pStyle w:val="Default"/>
        <w:spacing w:after="27"/>
      </w:pPr>
      <w:r w:rsidRPr="003C6CC5">
        <w:t>Dlhodobé i krátkodobé záväzky sa vykazujú v menovitých hodnotách. Dlhodobé, krátkodobé úvery sa vykazujú v menovitej hodnote. Za krátkodobý úver sa považuje aj časť dlhodobých úverov, ktorá je splatná do jedného roka od súvahového dňa.</w:t>
      </w:r>
    </w:p>
    <w:p w:rsidR="007875E0" w:rsidRPr="003C6CC5" w:rsidRDefault="007875E0" w:rsidP="003C6CC5">
      <w:pPr>
        <w:pStyle w:val="Default"/>
        <w:spacing w:after="27"/>
        <w:rPr>
          <w:b/>
        </w:rPr>
      </w:pPr>
      <w:r w:rsidRPr="003C6CC5">
        <w:rPr>
          <w:b/>
        </w:rPr>
        <w:t xml:space="preserve">Rezervy </w:t>
      </w:r>
    </w:p>
    <w:p w:rsidR="007875E0" w:rsidRPr="003C6CC5" w:rsidRDefault="007875E0" w:rsidP="003C6CC5">
      <w:pPr>
        <w:pStyle w:val="Default"/>
        <w:spacing w:after="27"/>
      </w:pPr>
      <w:r w:rsidRPr="003C6CC5">
        <w:t>Rezervy sú záväzky s neurčitým časovým vymedzením alebo výškou, tvoria sa na krytie  známych rizík alebo strát z podnikania. Oceňujú sa v očakávanej výške záväzku.</w:t>
      </w:r>
    </w:p>
    <w:p w:rsidR="007875E0" w:rsidRPr="001E7E92" w:rsidRDefault="007875E0" w:rsidP="003C6CC5">
      <w:pPr>
        <w:pStyle w:val="Default"/>
        <w:spacing w:after="27"/>
        <w:rPr>
          <w:color w:val="auto"/>
        </w:rPr>
      </w:pPr>
    </w:p>
    <w:p w:rsidR="007875E0" w:rsidRPr="00A41247" w:rsidRDefault="007875E0" w:rsidP="00F67346">
      <w:pPr>
        <w:pStyle w:val="Default"/>
        <w:rPr>
          <w:color w:val="auto"/>
        </w:rPr>
      </w:pPr>
      <w:r>
        <w:rPr>
          <w:b/>
          <w:color w:val="auto"/>
        </w:rPr>
        <w:t xml:space="preserve">f) derivátových operácií - </w:t>
      </w:r>
      <w:r w:rsidRPr="00A41247">
        <w:t>ÚJ nemá obsahovú náplň v tejto položke</w:t>
      </w:r>
    </w:p>
    <w:p w:rsidR="007875E0" w:rsidRPr="00A41247" w:rsidRDefault="007875E0" w:rsidP="00F67346">
      <w:pPr>
        <w:pStyle w:val="Default"/>
        <w:rPr>
          <w:color w:val="auto"/>
        </w:rPr>
      </w:pPr>
    </w:p>
    <w:p w:rsidR="007875E0" w:rsidRDefault="007875E0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(3) </w:t>
      </w:r>
      <w:r w:rsidRPr="00A41247">
        <w:rPr>
          <w:b/>
          <w:color w:val="auto"/>
        </w:rPr>
        <w:t>Spôsob zostavenia odpisového plánu</w:t>
      </w:r>
      <w:r w:rsidRPr="001E7E92">
        <w:rPr>
          <w:color w:val="auto"/>
        </w:rPr>
        <w:t xml:space="preserve"> pre jednotlivé druhy dlhodobého hmotného majetku a dlhodobého nehmotného majetku, pričom sa uvádza doba odpisovania, použité sadzby odpisov a odpisové metódy pri určení odpisov. </w:t>
      </w:r>
    </w:p>
    <w:p w:rsidR="007875E0" w:rsidRDefault="007875E0" w:rsidP="00F67346">
      <w:pPr>
        <w:pStyle w:val="Default"/>
        <w:rPr>
          <w:color w:val="auto"/>
        </w:rPr>
      </w:pPr>
    </w:p>
    <w:p w:rsidR="007875E0" w:rsidRDefault="007875E0" w:rsidP="00F67346">
      <w:pPr>
        <w:pStyle w:val="Default"/>
        <w:rPr>
          <w:color w:val="auto"/>
        </w:rPr>
      </w:pPr>
    </w:p>
    <w:p w:rsidR="007875E0" w:rsidRDefault="007875E0" w:rsidP="00F67346">
      <w:pPr>
        <w:pStyle w:val="Default"/>
        <w:rPr>
          <w:color w:val="auto"/>
        </w:rPr>
      </w:pP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Look w:val="00A0"/>
      </w:tblPr>
      <w:tblGrid>
        <w:gridCol w:w="3261"/>
        <w:gridCol w:w="1559"/>
        <w:gridCol w:w="1559"/>
        <w:gridCol w:w="1559"/>
      </w:tblGrid>
      <w:tr w:rsidR="007875E0" w:rsidRPr="00460051" w:rsidTr="00C9261A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7875E0" w:rsidRPr="00460051" w:rsidRDefault="007875E0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b/>
                <w:i/>
                <w:color w:val="000000"/>
                <w:sz w:val="24"/>
                <w:szCs w:val="24"/>
              </w:rPr>
              <w:t>Odpisovanie</w:t>
            </w:r>
            <w:r w:rsidRPr="00460051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7875E0" w:rsidRPr="00460051" w:rsidRDefault="007875E0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7875E0" w:rsidRPr="00460051" w:rsidRDefault="007875E0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7875E0" w:rsidRPr="00460051" w:rsidRDefault="007875E0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b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b/>
                <w:color w:val="000000"/>
                <w:sz w:val="24"/>
                <w:szCs w:val="24"/>
              </w:rPr>
              <w:t>Metóda odpisovania</w:t>
            </w:r>
          </w:p>
        </w:tc>
      </w:tr>
      <w:tr w:rsidR="007875E0" w:rsidRPr="00460051" w:rsidTr="00C9261A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7875E0" w:rsidRPr="00460051" w:rsidRDefault="007875E0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Oceniteľné práva                          </w:t>
            </w:r>
          </w:p>
          <w:p w:rsidR="007875E0" w:rsidRPr="00460051" w:rsidRDefault="007875E0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Stavby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7875E0" w:rsidRPr="00460051" w:rsidRDefault="007875E0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4</w:t>
            </w:r>
          </w:p>
          <w:p w:rsidR="007875E0" w:rsidRPr="00460051" w:rsidRDefault="007875E0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20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7875E0" w:rsidRPr="00460051" w:rsidRDefault="007875E0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60051">
              <w:rPr>
                <w:rFonts w:ascii="Times New Roman" w:hAnsi="Times New Roman"/>
                <w:color w:val="000000"/>
                <w:sz w:val="18"/>
                <w:szCs w:val="18"/>
              </w:rPr>
              <w:t>1/4</w:t>
            </w:r>
          </w:p>
          <w:p w:rsidR="007875E0" w:rsidRPr="00460051" w:rsidRDefault="007875E0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460051">
              <w:rPr>
                <w:rFonts w:ascii="Times New Roman" w:hAnsi="Times New Roman"/>
                <w:color w:val="000000"/>
                <w:sz w:val="18"/>
                <w:szCs w:val="18"/>
              </w:rPr>
              <w:t>1/20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7875E0" w:rsidRPr="00460051" w:rsidRDefault="007875E0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rovnomerná</w:t>
            </w:r>
          </w:p>
          <w:p w:rsidR="007875E0" w:rsidRPr="00460051" w:rsidRDefault="007875E0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rovnomerná</w:t>
            </w:r>
          </w:p>
        </w:tc>
      </w:tr>
      <w:tr w:rsidR="007875E0" w:rsidRPr="00460051" w:rsidTr="00C9261A">
        <w:trPr>
          <w:cantSplit/>
        </w:trPr>
        <w:tc>
          <w:tcPr>
            <w:tcW w:w="3261" w:type="dxa"/>
            <w:vAlign w:val="bottom"/>
          </w:tcPr>
          <w:p w:rsidR="007875E0" w:rsidRPr="00460051" w:rsidRDefault="007875E0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Stroje, prístroje a zariadenia</w:t>
            </w:r>
          </w:p>
        </w:tc>
        <w:tc>
          <w:tcPr>
            <w:tcW w:w="1559" w:type="dxa"/>
            <w:vAlign w:val="bottom"/>
          </w:tcPr>
          <w:p w:rsidR="007875E0" w:rsidRPr="00460051" w:rsidRDefault="007875E0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7875E0" w:rsidRPr="00460051" w:rsidRDefault="007875E0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1/4</w:t>
            </w:r>
          </w:p>
        </w:tc>
        <w:tc>
          <w:tcPr>
            <w:tcW w:w="1559" w:type="dxa"/>
            <w:vAlign w:val="bottom"/>
          </w:tcPr>
          <w:p w:rsidR="007875E0" w:rsidRPr="00460051" w:rsidRDefault="007875E0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rovnomerné</w:t>
            </w:r>
          </w:p>
        </w:tc>
      </w:tr>
      <w:tr w:rsidR="007875E0" w:rsidRPr="00460051" w:rsidTr="00021F63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7875E0" w:rsidRPr="00460051" w:rsidRDefault="007875E0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Iný dlhodobý hmotný majetok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7875E0" w:rsidRPr="00460051" w:rsidRDefault="007875E0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7875E0" w:rsidRPr="00460051" w:rsidRDefault="007875E0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7875E0" w:rsidRPr="00460051" w:rsidRDefault="007875E0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60051">
              <w:rPr>
                <w:rFonts w:ascii="Times New Roman" w:hAnsi="Times New Roman"/>
                <w:color w:val="000000"/>
                <w:sz w:val="24"/>
                <w:szCs w:val="24"/>
              </w:rPr>
              <w:t>-</w:t>
            </w:r>
          </w:p>
        </w:tc>
      </w:tr>
    </w:tbl>
    <w:p w:rsidR="007875E0" w:rsidRDefault="007875E0" w:rsidP="00F67346">
      <w:pPr>
        <w:pStyle w:val="Default"/>
        <w:rPr>
          <w:color w:val="auto"/>
        </w:rPr>
      </w:pPr>
    </w:p>
    <w:p w:rsidR="007875E0" w:rsidRDefault="007875E0" w:rsidP="00F67346">
      <w:pPr>
        <w:pStyle w:val="Default"/>
        <w:rPr>
          <w:color w:val="auto"/>
        </w:rPr>
      </w:pPr>
    </w:p>
    <w:p w:rsidR="007875E0" w:rsidRPr="00A41247" w:rsidRDefault="007875E0" w:rsidP="00B04B00">
      <w:pPr>
        <w:pStyle w:val="Default"/>
        <w:rPr>
          <w:color w:val="auto"/>
        </w:rPr>
      </w:pPr>
      <w:r w:rsidRPr="001E7E92">
        <w:rPr>
          <w:color w:val="auto"/>
        </w:rPr>
        <w:t xml:space="preserve">(4) </w:t>
      </w:r>
      <w:r w:rsidRPr="00B04B00">
        <w:rPr>
          <w:b/>
          <w:color w:val="auto"/>
        </w:rPr>
        <w:t>Zmeny účtovných zásad a zmeny účtovných metód</w:t>
      </w:r>
      <w:r w:rsidRPr="001E7E92">
        <w:rPr>
          <w:color w:val="auto"/>
        </w:rPr>
        <w:t xml:space="preserve"> s uvedením dôvodu týchto zmien a vyčíslením ich vplyvu na finančnú hodnotu majetku, záväzkov, základného imania a výsledku hospodárenia úč</w:t>
      </w:r>
      <w:r>
        <w:rPr>
          <w:color w:val="auto"/>
        </w:rPr>
        <w:t xml:space="preserve">tovnej jednotky - </w:t>
      </w:r>
      <w:r w:rsidRPr="00A41247">
        <w:t>ÚJ nemá obsahovú náplň v tejto položke</w:t>
      </w:r>
    </w:p>
    <w:p w:rsidR="007875E0" w:rsidRPr="001E7E92" w:rsidRDefault="007875E0" w:rsidP="00F67346">
      <w:pPr>
        <w:pStyle w:val="Default"/>
        <w:rPr>
          <w:color w:val="auto"/>
        </w:rPr>
      </w:pPr>
    </w:p>
    <w:p w:rsidR="007875E0" w:rsidRPr="001E7E92" w:rsidRDefault="007875E0" w:rsidP="00F67346">
      <w:pPr>
        <w:pStyle w:val="Default"/>
        <w:rPr>
          <w:color w:val="auto"/>
        </w:rPr>
      </w:pPr>
    </w:p>
    <w:p w:rsidR="007875E0" w:rsidRPr="00A41247" w:rsidRDefault="007875E0" w:rsidP="00B04B00">
      <w:pPr>
        <w:pStyle w:val="Default"/>
        <w:rPr>
          <w:color w:val="auto"/>
        </w:rPr>
      </w:pPr>
      <w:r w:rsidRPr="001E7E92">
        <w:rPr>
          <w:color w:val="auto"/>
        </w:rPr>
        <w:t>(5</w:t>
      </w:r>
      <w:r w:rsidRPr="00B04B00">
        <w:rPr>
          <w:b/>
          <w:color w:val="auto"/>
        </w:rPr>
        <w:t>) Informácie o dotáciách</w:t>
      </w:r>
      <w:r w:rsidRPr="001E7E92">
        <w:rPr>
          <w:color w:val="auto"/>
        </w:rPr>
        <w:t xml:space="preserve"> a ich oceňovanie v</w:t>
      </w:r>
      <w:r>
        <w:rPr>
          <w:color w:val="auto"/>
        </w:rPr>
        <w:t> </w:t>
      </w:r>
      <w:r w:rsidRPr="001E7E92">
        <w:rPr>
          <w:color w:val="auto"/>
        </w:rPr>
        <w:t>účtovníctve</w:t>
      </w:r>
      <w:r>
        <w:rPr>
          <w:color w:val="auto"/>
        </w:rPr>
        <w:t xml:space="preserve"> - </w:t>
      </w:r>
      <w:r w:rsidRPr="00A41247">
        <w:t>ÚJ nemá obsahovú náplň v tejto položke</w:t>
      </w:r>
    </w:p>
    <w:p w:rsidR="007875E0" w:rsidRPr="001E7E92" w:rsidRDefault="007875E0" w:rsidP="00F67346">
      <w:pPr>
        <w:pStyle w:val="Default"/>
        <w:rPr>
          <w:color w:val="auto"/>
        </w:rPr>
      </w:pPr>
    </w:p>
    <w:p w:rsidR="007875E0" w:rsidRPr="001E7E92" w:rsidRDefault="007875E0" w:rsidP="00F67346">
      <w:pPr>
        <w:pStyle w:val="Default"/>
        <w:rPr>
          <w:color w:val="auto"/>
        </w:rPr>
      </w:pPr>
    </w:p>
    <w:p w:rsidR="007875E0" w:rsidRPr="00A41247" w:rsidRDefault="007875E0" w:rsidP="00B04B00">
      <w:pPr>
        <w:pStyle w:val="Default"/>
        <w:rPr>
          <w:color w:val="auto"/>
        </w:rPr>
      </w:pPr>
      <w:r w:rsidRPr="001E7E92">
        <w:rPr>
          <w:color w:val="auto"/>
        </w:rPr>
        <w:t xml:space="preserve">(6) </w:t>
      </w:r>
      <w:r w:rsidRPr="00B04B00">
        <w:rPr>
          <w:b/>
          <w:color w:val="auto"/>
        </w:rPr>
        <w:t>Informácie o účtovaní významných opráv</w:t>
      </w:r>
      <w:r w:rsidRPr="001E7E92">
        <w:rPr>
          <w:color w:val="auto"/>
        </w:rPr>
        <w:t xml:space="preserve">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</w:t>
      </w:r>
      <w:r>
        <w:rPr>
          <w:color w:val="auto"/>
        </w:rPr>
        <w:t xml:space="preserve">tovného obdobia – </w:t>
      </w:r>
      <w:r>
        <w:t>účtovanie na účet nerozdelený zisk minulých rokov.</w:t>
      </w:r>
    </w:p>
    <w:p w:rsidR="007875E0" w:rsidRPr="001E7E92" w:rsidRDefault="007875E0" w:rsidP="00F67346">
      <w:pPr>
        <w:pStyle w:val="Default"/>
        <w:rPr>
          <w:color w:val="auto"/>
        </w:rPr>
      </w:pPr>
    </w:p>
    <w:p w:rsidR="007875E0" w:rsidRDefault="007875E0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III</w:t>
      </w:r>
    </w:p>
    <w:p w:rsidR="007875E0" w:rsidRPr="001E7E92" w:rsidRDefault="007875E0" w:rsidP="00811EF9">
      <w:pPr>
        <w:pStyle w:val="Default"/>
        <w:jc w:val="center"/>
        <w:rPr>
          <w:color w:val="auto"/>
        </w:rPr>
      </w:pPr>
    </w:p>
    <w:p w:rsidR="007875E0" w:rsidRDefault="007875E0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Informácie, ktoré vysvetľujú a dopĺňajú súvahu a výkaz ziskov a</w:t>
      </w:r>
      <w:r>
        <w:rPr>
          <w:b/>
          <w:bCs/>
          <w:color w:val="auto"/>
        </w:rPr>
        <w:t> </w:t>
      </w:r>
      <w:r w:rsidRPr="001E7E92">
        <w:rPr>
          <w:b/>
          <w:bCs/>
          <w:color w:val="auto"/>
        </w:rPr>
        <w:t>strát</w:t>
      </w:r>
    </w:p>
    <w:p w:rsidR="007875E0" w:rsidRPr="001E7E92" w:rsidRDefault="007875E0" w:rsidP="00811EF9">
      <w:pPr>
        <w:pStyle w:val="Default"/>
        <w:jc w:val="center"/>
        <w:rPr>
          <w:color w:val="auto"/>
        </w:rPr>
      </w:pPr>
    </w:p>
    <w:p w:rsidR="007875E0" w:rsidRPr="00A41247" w:rsidRDefault="007875E0" w:rsidP="00055A1A">
      <w:pPr>
        <w:pStyle w:val="Default"/>
        <w:rPr>
          <w:color w:val="auto"/>
        </w:rPr>
      </w:pPr>
      <w:r w:rsidRPr="001E7E92">
        <w:rPr>
          <w:color w:val="auto"/>
        </w:rPr>
        <w:t>(1</w:t>
      </w:r>
      <w:r w:rsidRPr="00055A1A">
        <w:rPr>
          <w:b/>
          <w:color w:val="auto"/>
        </w:rPr>
        <w:t>) Informácia o sume a dôvodoch vzniku jednotlivých položiek nákladov alebo výnosov</w:t>
      </w:r>
      <w:r w:rsidRPr="001E7E92">
        <w:rPr>
          <w:color w:val="auto"/>
        </w:rPr>
        <w:t>, ktoré majú výnimočný rozsah alebo výskyt, napríklad výnosy z predaja podniku alebo časti podniku, náklady z dôvodu predaja podniku alebo časti podniku, škody z dôvodu ž</w:t>
      </w:r>
      <w:r>
        <w:rPr>
          <w:color w:val="auto"/>
        </w:rPr>
        <w:t xml:space="preserve">ivelných pohrôm - </w:t>
      </w:r>
      <w:r w:rsidRPr="00A41247">
        <w:t>ÚJ nemá obsahovú náplň v tejto položke</w:t>
      </w:r>
    </w:p>
    <w:p w:rsidR="007875E0" w:rsidRPr="001E7E92" w:rsidRDefault="007875E0" w:rsidP="00F67346">
      <w:pPr>
        <w:pStyle w:val="Default"/>
        <w:rPr>
          <w:color w:val="auto"/>
        </w:rPr>
      </w:pPr>
    </w:p>
    <w:p w:rsidR="007875E0" w:rsidRDefault="007875E0" w:rsidP="00055A1A">
      <w:pPr>
        <w:pStyle w:val="Default"/>
      </w:pPr>
      <w:r>
        <w:rPr>
          <w:color w:val="auto"/>
        </w:rPr>
        <w:t xml:space="preserve">(2) </w:t>
      </w:r>
      <w:r w:rsidRPr="00055A1A">
        <w:rPr>
          <w:b/>
          <w:color w:val="auto"/>
        </w:rPr>
        <w:t>Informácie o záväzkoch</w:t>
      </w:r>
      <w:r>
        <w:rPr>
          <w:color w:val="auto"/>
        </w:rPr>
        <w:t xml:space="preserve"> </w:t>
      </w:r>
    </w:p>
    <w:p w:rsidR="007875E0" w:rsidRPr="00A41247" w:rsidRDefault="007875E0" w:rsidP="00055A1A">
      <w:pPr>
        <w:pStyle w:val="Default"/>
        <w:rPr>
          <w:color w:val="auto"/>
        </w:rPr>
      </w:pPr>
    </w:p>
    <w:p w:rsidR="007875E0" w:rsidRDefault="007875E0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>a) celkovej sume záväzkov so zostatkovou dobou splatnosti dlhšou ako päť</w:t>
      </w:r>
      <w:r>
        <w:rPr>
          <w:color w:val="auto"/>
        </w:rPr>
        <w:t xml:space="preserve"> rokov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50"/>
        <w:gridCol w:w="2766"/>
        <w:gridCol w:w="2798"/>
      </w:tblGrid>
      <w:tr w:rsidR="007875E0" w:rsidRPr="00460051" w:rsidTr="00C9261A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5E0" w:rsidRPr="00460051" w:rsidRDefault="007875E0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60051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875E0" w:rsidRPr="00460051" w:rsidRDefault="007875E0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60051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5E0" w:rsidRPr="00460051" w:rsidRDefault="007875E0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460051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875E0" w:rsidRPr="00460051" w:rsidTr="00C9261A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5E0" w:rsidRPr="00460051" w:rsidRDefault="007875E0" w:rsidP="00C9261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460051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5E0" w:rsidRPr="00460051" w:rsidRDefault="007875E0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5E0" w:rsidRPr="00460051" w:rsidRDefault="007875E0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875E0" w:rsidRPr="00460051" w:rsidTr="00C9261A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5E0" w:rsidRPr="00460051" w:rsidRDefault="007875E0" w:rsidP="00C9261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460051">
              <w:rPr>
                <w:rFonts w:ascii="Arial" w:hAnsi="Arial" w:cs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5E0" w:rsidRPr="00460051" w:rsidRDefault="007875E0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bookmarkStart w:id="8" w:name="_GoBack"/>
            <w:bookmarkEnd w:id="8"/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75E0" w:rsidRPr="00460051" w:rsidRDefault="007875E0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7875E0" w:rsidRPr="001E7E92" w:rsidRDefault="007875E0" w:rsidP="00F67346">
      <w:pPr>
        <w:pStyle w:val="Default"/>
        <w:spacing w:after="27"/>
        <w:rPr>
          <w:color w:val="auto"/>
        </w:rPr>
      </w:pPr>
    </w:p>
    <w:p w:rsidR="007875E0" w:rsidRPr="001E7E92" w:rsidRDefault="007875E0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b) celkovej sume zabezpečených záväzkov, opis a spôsoby zabezpečenia záväzkov. </w:t>
      </w:r>
    </w:p>
    <w:p w:rsidR="007875E0" w:rsidRPr="001E7E92" w:rsidRDefault="007875E0" w:rsidP="00F67346">
      <w:pPr>
        <w:pStyle w:val="Default"/>
        <w:rPr>
          <w:color w:val="auto"/>
        </w:rPr>
      </w:pPr>
    </w:p>
    <w:p w:rsidR="007875E0" w:rsidRDefault="007875E0" w:rsidP="00055A1A">
      <w:pPr>
        <w:pStyle w:val="Default"/>
      </w:pPr>
      <w:r w:rsidRPr="001E7E92">
        <w:rPr>
          <w:color w:val="auto"/>
        </w:rPr>
        <w:t xml:space="preserve">(3) </w:t>
      </w:r>
      <w:r w:rsidRPr="00055A1A">
        <w:rPr>
          <w:b/>
          <w:color w:val="auto"/>
        </w:rPr>
        <w:t>Informácie o vlastných akciách</w:t>
      </w:r>
      <w:r>
        <w:rPr>
          <w:color w:val="auto"/>
        </w:rPr>
        <w:t xml:space="preserve"> - </w:t>
      </w:r>
      <w:r w:rsidRPr="00A41247">
        <w:t>ÚJ nemá obsahovú náplň v tejto položke</w:t>
      </w:r>
    </w:p>
    <w:p w:rsidR="007875E0" w:rsidRPr="00A41247" w:rsidRDefault="007875E0" w:rsidP="00055A1A">
      <w:pPr>
        <w:pStyle w:val="Default"/>
        <w:rPr>
          <w:color w:val="auto"/>
        </w:rPr>
      </w:pPr>
    </w:p>
    <w:p w:rsidR="007875E0" w:rsidRPr="001E7E92" w:rsidRDefault="007875E0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a) dôvode nadobudnutia vlastných akcií počas účtovného obdobia, </w:t>
      </w:r>
    </w:p>
    <w:p w:rsidR="007875E0" w:rsidRPr="001E7E92" w:rsidRDefault="007875E0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b) informáciách, ktorými sú </w:t>
      </w:r>
    </w:p>
    <w:p w:rsidR="007875E0" w:rsidRPr="001E7E92" w:rsidRDefault="007875E0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7875E0" w:rsidRPr="001E7E92" w:rsidRDefault="007875E0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7875E0" w:rsidRPr="001E7E92" w:rsidRDefault="007875E0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7875E0" w:rsidRPr="001E7E92" w:rsidRDefault="007875E0" w:rsidP="00F67346">
      <w:pPr>
        <w:pStyle w:val="Default"/>
        <w:rPr>
          <w:color w:val="auto"/>
        </w:rPr>
      </w:pPr>
    </w:p>
    <w:p w:rsidR="007875E0" w:rsidRPr="00A41247" w:rsidRDefault="007875E0" w:rsidP="00055A1A">
      <w:pPr>
        <w:pStyle w:val="Default"/>
        <w:rPr>
          <w:color w:val="auto"/>
        </w:rPr>
      </w:pPr>
      <w:r w:rsidRPr="001E7E92">
        <w:rPr>
          <w:color w:val="auto"/>
        </w:rPr>
        <w:t xml:space="preserve">(4) </w:t>
      </w:r>
      <w:r w:rsidRPr="00055A1A">
        <w:rPr>
          <w:b/>
          <w:color w:val="auto"/>
        </w:rPr>
        <w:t>Informácie o orgánoch účtovnej jednotky</w:t>
      </w:r>
      <w:r>
        <w:rPr>
          <w:color w:val="auto"/>
        </w:rPr>
        <w:t xml:space="preserve"> -</w:t>
      </w:r>
      <w:r w:rsidRPr="00055A1A">
        <w:t xml:space="preserve"> </w:t>
      </w:r>
      <w:r w:rsidRPr="00A41247">
        <w:t>ÚJ nemá obsahovú náplň v tejto položke</w:t>
      </w:r>
    </w:p>
    <w:p w:rsidR="007875E0" w:rsidRPr="001E7E92" w:rsidRDefault="007875E0" w:rsidP="00F67346">
      <w:pPr>
        <w:pStyle w:val="Default"/>
        <w:spacing w:after="27"/>
        <w:rPr>
          <w:color w:val="auto"/>
        </w:rPr>
      </w:pPr>
      <w:r>
        <w:rPr>
          <w:color w:val="auto"/>
        </w:rPr>
        <w:t xml:space="preserve"> </w:t>
      </w:r>
    </w:p>
    <w:p w:rsidR="007875E0" w:rsidRPr="001E7E92" w:rsidRDefault="007875E0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7875E0" w:rsidRPr="001E7E92" w:rsidRDefault="007875E0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pôžičkách poskytnutých členom štatutárneho orgánu, dozorného orgánu a iného orgánu účtovnej jednotky a to </w:t>
      </w:r>
    </w:p>
    <w:p w:rsidR="007875E0" w:rsidRPr="001E7E92" w:rsidRDefault="007875E0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celková suma poskytnutých pôžičiek k poslednému dňu účtovného obdobia v členení za jednotlivé orgány, </w:t>
      </w:r>
    </w:p>
    <w:p w:rsidR="007875E0" w:rsidRPr="001E7E92" w:rsidRDefault="007875E0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2. celková suma splatených pôžičiek k poslednému dňu účtovného obdobia v členení za jednotlivé orgány, </w:t>
      </w:r>
    </w:p>
    <w:p w:rsidR="007875E0" w:rsidRPr="001E7E92" w:rsidRDefault="007875E0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3. celková suma odpustených pôžičiek a odpísaných pôžičiek k poslednému dňu účtovného obdobia v členení za jednotlivé orgány, </w:t>
      </w:r>
    </w:p>
    <w:p w:rsidR="007875E0" w:rsidRPr="001E7E92" w:rsidRDefault="007875E0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c) hlavných podmienkach, na základe ktorých im boli záruky alebo iné zabezpečenie a pôžičky poskytnuté; pri pôžičkách sa uvádzajú úrokové sadzby, </w:t>
      </w:r>
    </w:p>
    <w:p w:rsidR="007875E0" w:rsidRPr="001E7E92" w:rsidRDefault="007875E0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7875E0" w:rsidRPr="001E7E92" w:rsidRDefault="007875E0" w:rsidP="00F67346">
      <w:pPr>
        <w:pStyle w:val="Default"/>
        <w:rPr>
          <w:color w:val="auto"/>
        </w:rPr>
      </w:pPr>
    </w:p>
    <w:p w:rsidR="007875E0" w:rsidRPr="00A41247" w:rsidRDefault="007875E0" w:rsidP="00055A1A">
      <w:pPr>
        <w:pStyle w:val="Default"/>
        <w:rPr>
          <w:color w:val="auto"/>
        </w:rPr>
      </w:pPr>
      <w:r w:rsidRPr="001E7E92">
        <w:rPr>
          <w:color w:val="auto"/>
        </w:rPr>
        <w:t xml:space="preserve">(5) </w:t>
      </w:r>
      <w:r w:rsidRPr="00055A1A">
        <w:rPr>
          <w:b/>
          <w:color w:val="auto"/>
        </w:rPr>
        <w:t>Informácie o povinnostiach účtovnej jednotky</w:t>
      </w:r>
      <w:r>
        <w:rPr>
          <w:color w:val="auto"/>
        </w:rPr>
        <w:t xml:space="preserve"> - </w:t>
      </w:r>
      <w:r w:rsidRPr="00A41247">
        <w:t>ÚJ nemá obsahovú náplň v tejto položke</w:t>
      </w:r>
    </w:p>
    <w:p w:rsidR="007875E0" w:rsidRPr="001E7E92" w:rsidRDefault="007875E0" w:rsidP="00F67346">
      <w:pPr>
        <w:pStyle w:val="Default"/>
        <w:spacing w:after="27"/>
        <w:rPr>
          <w:color w:val="auto"/>
        </w:rPr>
      </w:pPr>
    </w:p>
    <w:p w:rsidR="007875E0" w:rsidRPr="001E7E92" w:rsidRDefault="007875E0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7875E0" w:rsidRPr="001E7E92" w:rsidRDefault="007875E0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celkovej sume významných podmienených záväzkov, ktorými sa rozumie </w:t>
      </w:r>
    </w:p>
    <w:p w:rsidR="007875E0" w:rsidRPr="001E7E92" w:rsidRDefault="007875E0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875E0" w:rsidRPr="001E7E92" w:rsidRDefault="007875E0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2. existujúca povinnosť, ktorá vznikla ako dôsledok minulej udalosti, ale ktorá sa nevykazuje v súvahe, pretože </w:t>
      </w:r>
    </w:p>
    <w:p w:rsidR="007875E0" w:rsidRPr="001E7E92" w:rsidRDefault="007875E0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2a. nie je pravdepodobné, že na splnenie tejto povinnosti bude potrebný úbytok ekonomických úžitkov, alebo </w:t>
      </w:r>
    </w:p>
    <w:p w:rsidR="007875E0" w:rsidRPr="001E7E92" w:rsidRDefault="007875E0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2b. výška tejto povinnosti sa nedá spoľahlivo oceniť, </w:t>
      </w:r>
    </w:p>
    <w:p w:rsidR="007875E0" w:rsidRPr="001E7E92" w:rsidRDefault="007875E0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c) opise významných finančných povinností a významných podmienených záväzkov, </w:t>
      </w:r>
    </w:p>
    <w:p w:rsidR="007875E0" w:rsidRPr="001E7E92" w:rsidRDefault="007875E0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7875E0" w:rsidRPr="001E7E92" w:rsidRDefault="007875E0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e) opise významných povinností účtovnej jednotky vyplývajúcich z dôchodkových programov pre zamestnancov. </w:t>
      </w:r>
    </w:p>
    <w:p w:rsidR="007875E0" w:rsidRPr="001E7E92" w:rsidRDefault="007875E0">
      <w:pPr>
        <w:rPr>
          <w:sz w:val="24"/>
          <w:szCs w:val="24"/>
        </w:rPr>
      </w:pPr>
    </w:p>
    <w:sectPr w:rsidR="007875E0" w:rsidRPr="001E7E92" w:rsidSect="00811EF9">
      <w:pgSz w:w="11906" w:h="17340"/>
      <w:pgMar w:top="1440" w:right="1080" w:bottom="1440" w:left="1080" w:header="708" w:footer="708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77167B"/>
    <w:multiLevelType w:val="hybridMultilevel"/>
    <w:tmpl w:val="1F484E50"/>
    <w:lvl w:ilvl="0" w:tplc="5CD27F9C">
      <w:start w:val="1"/>
      <w:numFmt w:val="lowerLetter"/>
      <w:lvlText w:val="%1)"/>
      <w:lvlJc w:val="left"/>
      <w:pPr>
        <w:ind w:left="223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1007158A"/>
    <w:multiLevelType w:val="hybridMultilevel"/>
    <w:tmpl w:val="A3265988"/>
    <w:lvl w:ilvl="0" w:tplc="041B0017">
      <w:start w:val="1"/>
      <w:numFmt w:val="lowerLetter"/>
      <w:lvlText w:val="%1)"/>
      <w:lvlJc w:val="left"/>
      <w:pPr>
        <w:ind w:left="142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abstractNum w:abstractNumId="2">
    <w:nsid w:val="1FF4008D"/>
    <w:multiLevelType w:val="hybridMultilevel"/>
    <w:tmpl w:val="880A8D10"/>
    <w:lvl w:ilvl="0" w:tplc="041B0017">
      <w:start w:val="1"/>
      <w:numFmt w:val="lowerLetter"/>
      <w:lvlText w:val="%1)"/>
      <w:lvlJc w:val="left"/>
      <w:pPr>
        <w:ind w:left="214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86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358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30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02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74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646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18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908" w:hanging="180"/>
      </w:pPr>
      <w:rPr>
        <w:rFonts w:cs="Times New Roman"/>
      </w:rPr>
    </w:lvl>
  </w:abstractNum>
  <w:abstractNum w:abstractNumId="3">
    <w:nsid w:val="27162CA1"/>
    <w:multiLevelType w:val="hybridMultilevel"/>
    <w:tmpl w:val="A0D4676A"/>
    <w:lvl w:ilvl="0" w:tplc="4FEA2E2A">
      <w:start w:val="3"/>
      <w:numFmt w:val="decimal"/>
      <w:lvlText w:val="%1(3) 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">
    <w:nsid w:val="2D142459"/>
    <w:multiLevelType w:val="hybridMultilevel"/>
    <w:tmpl w:val="5D90BE24"/>
    <w:lvl w:ilvl="0" w:tplc="384AD5B0">
      <w:start w:val="1"/>
      <w:numFmt w:val="lowerLetter"/>
      <w:lvlText w:val="%1)"/>
      <w:lvlJc w:val="left"/>
      <w:pPr>
        <w:ind w:left="177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7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0" w:hanging="180"/>
      </w:pPr>
      <w:rPr>
        <w:rFonts w:cs="Times New Roman"/>
      </w:rPr>
    </w:lvl>
  </w:abstractNum>
  <w:abstractNum w:abstractNumId="5">
    <w:nsid w:val="30196C72"/>
    <w:multiLevelType w:val="singleLevel"/>
    <w:tmpl w:val="DD6C1714"/>
    <w:lvl w:ilvl="0">
      <w:start w:val="1"/>
      <w:numFmt w:val="lowerLetter"/>
      <w:pStyle w:val="Heading2"/>
      <w:lvlText w:val="%1)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</w:abstractNum>
  <w:abstractNum w:abstractNumId="6">
    <w:nsid w:val="310B21A7"/>
    <w:multiLevelType w:val="hybridMultilevel"/>
    <w:tmpl w:val="7728B620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427424B4"/>
    <w:multiLevelType w:val="hybridMultilevel"/>
    <w:tmpl w:val="A42A8BB8"/>
    <w:lvl w:ilvl="0" w:tplc="4FEA2E2A">
      <w:start w:val="3"/>
      <w:numFmt w:val="decimal"/>
      <w:lvlText w:val="%1(3) 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94660B1"/>
    <w:multiLevelType w:val="hybridMultilevel"/>
    <w:tmpl w:val="6FC67170"/>
    <w:lvl w:ilvl="0" w:tplc="99200A06">
      <w:start w:val="3"/>
      <w:numFmt w:val="decimal"/>
      <w:lvlText w:val="(%1 ) 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6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3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1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28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5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2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49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5700" w:hanging="180"/>
      </w:pPr>
      <w:rPr>
        <w:rFonts w:cs="Times New Roman"/>
      </w:rPr>
    </w:lvl>
  </w:abstractNum>
  <w:abstractNum w:abstractNumId="9">
    <w:nsid w:val="7E6E2279"/>
    <w:multiLevelType w:val="hybridMultilevel"/>
    <w:tmpl w:val="308AA6EE"/>
    <w:lvl w:ilvl="0" w:tplc="C7824658">
      <w:start w:val="3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1"/>
  </w:num>
  <w:num w:numId="4">
    <w:abstractNumId w:val="2"/>
  </w:num>
  <w:num w:numId="5">
    <w:abstractNumId w:val="4"/>
  </w:num>
  <w:num w:numId="6">
    <w:abstractNumId w:val="0"/>
  </w:num>
  <w:num w:numId="7">
    <w:abstractNumId w:val="6"/>
  </w:num>
  <w:num w:numId="8">
    <w:abstractNumId w:val="9"/>
  </w:num>
  <w:num w:numId="9">
    <w:abstractNumId w:val="7"/>
  </w:num>
  <w:num w:numId="10">
    <w:abstractNumId w:val="3"/>
  </w:num>
  <w:num w:numId="11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67346"/>
    <w:rsid w:val="00021F63"/>
    <w:rsid w:val="00055A1A"/>
    <w:rsid w:val="00083684"/>
    <w:rsid w:val="00156AE3"/>
    <w:rsid w:val="00170F4C"/>
    <w:rsid w:val="001E7E92"/>
    <w:rsid w:val="002078D4"/>
    <w:rsid w:val="003C6CC5"/>
    <w:rsid w:val="00422D4A"/>
    <w:rsid w:val="00460051"/>
    <w:rsid w:val="00547A3A"/>
    <w:rsid w:val="00553231"/>
    <w:rsid w:val="006027BB"/>
    <w:rsid w:val="00620152"/>
    <w:rsid w:val="00651B84"/>
    <w:rsid w:val="006E25C4"/>
    <w:rsid w:val="006F708E"/>
    <w:rsid w:val="00711177"/>
    <w:rsid w:val="00727CDB"/>
    <w:rsid w:val="00772834"/>
    <w:rsid w:val="007875E0"/>
    <w:rsid w:val="00804AAE"/>
    <w:rsid w:val="00811EF9"/>
    <w:rsid w:val="00833F63"/>
    <w:rsid w:val="00843D71"/>
    <w:rsid w:val="00884595"/>
    <w:rsid w:val="00943FE0"/>
    <w:rsid w:val="009708ED"/>
    <w:rsid w:val="00991D97"/>
    <w:rsid w:val="00994364"/>
    <w:rsid w:val="009B5171"/>
    <w:rsid w:val="009C1D61"/>
    <w:rsid w:val="009C4B26"/>
    <w:rsid w:val="009D359E"/>
    <w:rsid w:val="00A41247"/>
    <w:rsid w:val="00A52C03"/>
    <w:rsid w:val="00B04B00"/>
    <w:rsid w:val="00B24348"/>
    <w:rsid w:val="00B30747"/>
    <w:rsid w:val="00B43E84"/>
    <w:rsid w:val="00C745B8"/>
    <w:rsid w:val="00C9261A"/>
    <w:rsid w:val="00C935F7"/>
    <w:rsid w:val="00D03DCE"/>
    <w:rsid w:val="00D77D77"/>
    <w:rsid w:val="00D848E8"/>
    <w:rsid w:val="00DB5666"/>
    <w:rsid w:val="00DD6019"/>
    <w:rsid w:val="00DE1F42"/>
    <w:rsid w:val="00E055EB"/>
    <w:rsid w:val="00E16FC9"/>
    <w:rsid w:val="00E438B0"/>
    <w:rsid w:val="00E61EDC"/>
    <w:rsid w:val="00F67346"/>
    <w:rsid w:val="00FE72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0152"/>
    <w:pPr>
      <w:spacing w:after="200" w:line="276" w:lineRule="auto"/>
    </w:pPr>
    <w:rPr>
      <w:lang w:eastAsia="en-US"/>
    </w:rPr>
  </w:style>
  <w:style w:type="paragraph" w:styleId="Heading2">
    <w:name w:val="heading 2"/>
    <w:basedOn w:val="Normal"/>
    <w:next w:val="Normal"/>
    <w:link w:val="Heading2Char"/>
    <w:uiPriority w:val="99"/>
    <w:qFormat/>
    <w:rsid w:val="003C6CC5"/>
    <w:pPr>
      <w:keepNext/>
      <w:numPr>
        <w:numId w:val="2"/>
      </w:numPr>
      <w:spacing w:after="240" w:line="240" w:lineRule="auto"/>
      <w:jc w:val="both"/>
      <w:outlineLvl w:val="1"/>
    </w:pPr>
    <w:rPr>
      <w:rFonts w:ascii="Times New Roman" w:eastAsia="Times New Roman" w:hAnsi="Times New Roman"/>
      <w:b/>
      <w:sz w:val="20"/>
      <w:szCs w:val="20"/>
      <w:lang w:val="cs-CZ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locked/>
    <w:rsid w:val="003C6CC5"/>
    <w:rPr>
      <w:rFonts w:ascii="Times New Roman" w:hAnsi="Times New Roman" w:cs="Times New Roman"/>
      <w:b/>
      <w:sz w:val="20"/>
      <w:szCs w:val="20"/>
      <w:lang w:val="cs-CZ"/>
    </w:rPr>
  </w:style>
  <w:style w:type="paragraph" w:customStyle="1" w:styleId="Default">
    <w:name w:val="Default"/>
    <w:uiPriority w:val="99"/>
    <w:rsid w:val="00F67346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table" w:styleId="TableGrid">
    <w:name w:val="Table Grid"/>
    <w:basedOn w:val="TableNormal"/>
    <w:uiPriority w:val="99"/>
    <w:rsid w:val="00E055EB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E055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E055E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4</Pages>
  <Words>1369</Words>
  <Characters>7806</Characters>
  <Application>Microsoft Office Outlook</Application>
  <DocSecurity>0</DocSecurity>
  <Lines>0</Lines>
  <Paragraphs>0</Paragraphs>
  <ScaleCrop>false</ScaleCrop>
  <Company>Hewlett-Packard Company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</dc:title>
  <dc:subject/>
  <dc:creator>DTC SK</dc:creator>
  <cp:keywords/>
  <dc:description/>
  <cp:lastModifiedBy>Správca</cp:lastModifiedBy>
  <cp:revision>2</cp:revision>
  <cp:lastPrinted>2021-04-26T13:12:00Z</cp:lastPrinted>
  <dcterms:created xsi:type="dcterms:W3CDTF">2023-03-01T15:56:00Z</dcterms:created>
  <dcterms:modified xsi:type="dcterms:W3CDTF">2023-03-01T15:56:00Z</dcterms:modified>
</cp:coreProperties>
</file>