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Bdr>
          <w:top w:val="single" w:color="auto" w:sz="4" w:space="0"/>
          <w:left w:val="single" w:color="auto" w:sz="4" w:space="4"/>
          <w:bottom w:val="single" w:color="auto" w:sz="4" w:space="1"/>
          <w:right w:val="single" w:color="auto" w:sz="4" w:space="6"/>
        </w:pBdr>
        <w:spacing w:after="120"/>
        <w:jc w:val="center"/>
        <w:rPr>
          <w:rFonts w:hint="default" w:ascii="Arial Narrow" w:hAnsi="Arial Narrow"/>
          <w:b/>
          <w:lang w:val="sk-SK"/>
        </w:rPr>
      </w:pPr>
      <w:r>
        <w:rPr>
          <w:rFonts w:ascii="Arial Narrow" w:hAnsi="Arial Narrow"/>
          <w:b/>
        </w:rPr>
        <w:t xml:space="preserve">POZNÁMKY K ÚČTOVNEJ ZÁVIERKE </w:t>
      </w:r>
      <w:r>
        <w:rPr>
          <w:rFonts w:hint="default" w:ascii="Arial Narrow" w:hAnsi="Arial Narrow"/>
          <w:b/>
          <w:lang w:val="sk-SK"/>
        </w:rPr>
        <w:t>2022</w:t>
      </w:r>
    </w:p>
    <w:p>
      <w:pPr>
        <w:pBdr>
          <w:top w:val="single" w:color="auto" w:sz="4" w:space="0"/>
          <w:left w:val="single" w:color="auto" w:sz="4" w:space="4"/>
          <w:bottom w:val="single" w:color="auto" w:sz="4" w:space="1"/>
          <w:right w:val="single" w:color="auto" w:sz="4" w:space="6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Bdr>
          <w:top w:val="single" w:color="auto" w:sz="4" w:space="0"/>
          <w:left w:val="single" w:color="auto" w:sz="4" w:space="4"/>
          <w:bottom w:val="single" w:color="auto" w:sz="4" w:space="1"/>
          <w:right w:val="single" w:color="auto" w:sz="4" w:space="6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pre malé účtovné jednotky</w:t>
      </w:r>
      <w:r>
        <w:rPr>
          <w:rFonts w:ascii="Arial Narrow" w:hAnsi="Arial Narrow"/>
          <w:sz w:val="22"/>
          <w:szCs w:val="22"/>
        </w:rPr>
        <w:t xml:space="preserve"> </w:t>
      </w:r>
    </w:p>
    <w:p>
      <w:pPr>
        <w:rPr>
          <w:rFonts w:ascii="Arial Narrow" w:hAnsi="Arial Narrow"/>
          <w:sz w:val="22"/>
          <w:szCs w:val="22"/>
        </w:rPr>
      </w:pPr>
    </w:p>
    <w:p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>
      <w:pPr>
        <w:rPr>
          <w:rFonts w:ascii="Arial Narrow" w:hAnsi="Arial Narrow"/>
          <w:sz w:val="22"/>
          <w:szCs w:val="22"/>
        </w:rPr>
      </w:pPr>
    </w:p>
    <w:p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>
      <w:pPr>
        <w:rPr>
          <w:rFonts w:ascii="Arial Narrow" w:hAnsi="Arial Narrow"/>
          <w:sz w:val="22"/>
          <w:szCs w:val="22"/>
        </w:rPr>
      </w:pPr>
    </w:p>
    <w:tbl>
      <w:tblPr>
        <w:tblStyle w:val="5"/>
        <w:tblW w:w="4944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35"/>
        <w:gridCol w:w="6970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1" w:hRule="atLeast"/>
        </w:trPr>
        <w:tc>
          <w:tcPr>
            <w:tcW w:w="13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 BLUE 2014 s.r.o.</w:t>
            </w:r>
          </w:p>
        </w:tc>
      </w:tr>
      <w:tr>
        <w:trPr>
          <w:trHeight w:val="249" w:hRule="atLeast"/>
        </w:trPr>
        <w:tc>
          <w:tcPr>
            <w:tcW w:w="13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821 08 Bratislava, Záhradnícka 46/A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5" w:hRule="atLeast"/>
        </w:trPr>
        <w:tc>
          <w:tcPr>
            <w:tcW w:w="13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>
        <w:trPr>
          <w:trHeight w:val="143" w:hRule="atLeast"/>
        </w:trPr>
        <w:tc>
          <w:tcPr>
            <w:tcW w:w="1372" w:type="pct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17.06.2014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5" w:hRule="atLeast"/>
        </w:trPr>
        <w:tc>
          <w:tcPr>
            <w:tcW w:w="1372" w:type="pct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Výroba filmov, videozáznamov a televíznych programov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4" w:hRule="atLeast"/>
        </w:trPr>
        <w:tc>
          <w:tcPr>
            <w:tcW w:w="1372" w:type="pct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nie je subjektom verejného záujmu (§ 2/14 ZoU).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4" w:hRule="atLeast"/>
        </w:trPr>
        <w:tc>
          <w:tcPr>
            <w:tcW w:w="1372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jc w:val="both"/>
              <w:rPr>
                <w:rFonts w:hint="default"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>
              <w:rPr>
                <w:rFonts w:hint="default" w:ascii="Arial Narrow" w:hAnsi="Arial Narrow" w:cs="Arial Narrow"/>
                <w:sz w:val="22"/>
                <w:szCs w:val="22"/>
                <w:lang w:val="sk-SK"/>
              </w:rPr>
              <w:t>22</w:t>
            </w:r>
          </w:p>
        </w:tc>
      </w:tr>
    </w:tbl>
    <w:p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Style w:val="5"/>
        <w:tblW w:w="9568" w:type="dxa"/>
        <w:tblInd w:w="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7"/>
        <w:gridCol w:w="2835"/>
        <w:gridCol w:w="3260"/>
        <w:gridCol w:w="127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97" w:type="dxa"/>
            <w:shd w:val="clear" w:color="auto" w:fill="auto"/>
          </w:tcPr>
          <w:p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shd w:val="clear" w:color="auto" w:fill="auto"/>
          </w:tcPr>
          <w:p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97" w:type="dxa"/>
            <w:shd w:val="clear" w:color="auto" w:fill="auto"/>
          </w:tcPr>
          <w:p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228 801</w:t>
            </w:r>
          </w:p>
        </w:tc>
        <w:tc>
          <w:tcPr>
            <w:tcW w:w="3260" w:type="dxa"/>
            <w:shd w:val="clear" w:color="auto" w:fill="auto"/>
          </w:tcPr>
          <w:p>
            <w:pPr>
              <w:jc w:val="center"/>
              <w:rPr>
                <w:rFonts w:hint="default" w:ascii="Arial Narrow" w:hAnsi="Arial Narrow" w:cs="Arial Narrow"/>
                <w:b/>
                <w:bCs/>
                <w:sz w:val="22"/>
                <w:szCs w:val="22"/>
                <w:lang w:val="sk-SK"/>
              </w:rPr>
            </w:pPr>
            <w:r>
              <w:rPr>
                <w:rFonts w:hint="default" w:ascii="Arial Narrow" w:hAnsi="Arial Narrow" w:cs="Arial Narrow"/>
                <w:b/>
                <w:bCs/>
                <w:sz w:val="22"/>
                <w:szCs w:val="22"/>
                <w:lang w:val="sk-SK"/>
              </w:rPr>
              <w:t>228 801</w:t>
            </w:r>
          </w:p>
        </w:tc>
        <w:tc>
          <w:tcPr>
            <w:tcW w:w="1276" w:type="dxa"/>
            <w:shd w:val="clear" w:color="auto" w:fill="auto"/>
          </w:tcPr>
          <w:p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97" w:type="dxa"/>
            <w:shd w:val="clear" w:color="auto" w:fill="auto"/>
          </w:tcPr>
          <w:p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>
            <w:pPr>
              <w:jc w:val="center"/>
              <w:rPr>
                <w:rFonts w:hint="default" w:ascii="Arial Narrow" w:hAnsi="Arial Narrow" w:cs="Arial Narrow"/>
                <w:b/>
                <w:bCs/>
                <w:sz w:val="22"/>
                <w:szCs w:val="22"/>
                <w:lang w:val="sk-SK"/>
              </w:rPr>
            </w:pPr>
            <w:r>
              <w:rPr>
                <w:rFonts w:hint="default" w:ascii="Arial Narrow" w:hAnsi="Arial Narrow" w:cs="Arial Narrow"/>
                <w:b/>
                <w:bCs/>
                <w:sz w:val="22"/>
                <w:szCs w:val="22"/>
                <w:lang w:val="sk-SK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>
            <w:pPr>
              <w:jc w:val="center"/>
              <w:rPr>
                <w:rFonts w:hint="default" w:ascii="Arial Narrow" w:hAnsi="Arial Narrow" w:cs="Arial Narrow"/>
                <w:b/>
                <w:bCs/>
                <w:sz w:val="22"/>
                <w:szCs w:val="22"/>
                <w:lang w:val="sk-SK"/>
              </w:rPr>
            </w:pPr>
            <w:r>
              <w:rPr>
                <w:rFonts w:hint="default" w:ascii="Arial Narrow" w:hAnsi="Arial Narrow" w:cs="Arial Narrow"/>
                <w:b/>
                <w:bCs/>
                <w:sz w:val="22"/>
                <w:szCs w:val="22"/>
                <w:lang w:val="sk-SK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97" w:type="dxa"/>
            <w:shd w:val="clear" w:color="auto" w:fill="auto"/>
          </w:tcPr>
          <w:p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účtovná jednotka, </w:t>
      </w:r>
      <w:r>
        <w:rPr>
          <w:rFonts w:ascii="Arial Narrow" w:hAnsi="Arial Narrow" w:cs="Arial Narrow"/>
          <w:sz w:val="22"/>
          <w:szCs w:val="22"/>
        </w:rPr>
        <w:t xml:space="preserve">pričom sa UJ v zmysle § 2 ods. 12 zákona č. 431/2002 Z. z. o účtovníctve rozhodla, že bude postupovať ako </w:t>
      </w:r>
      <w:r>
        <w:rPr>
          <w:rFonts w:ascii="Arial Narrow" w:hAnsi="Arial Narrow" w:cs="Arial Narrow"/>
          <w:b/>
          <w:sz w:val="22"/>
          <w:szCs w:val="22"/>
        </w:rPr>
        <w:t>malá účtovná jednotka</w:t>
      </w:r>
      <w:r>
        <w:rPr>
          <w:rFonts w:ascii="Arial Narrow" w:hAnsi="Arial Narrow" w:cs="Arial Narrow"/>
          <w:sz w:val="22"/>
          <w:szCs w:val="22"/>
        </w:rPr>
        <w:t xml:space="preserve"> a zostavuje účtovnú závierku podľa metodiky pre túto veľkostnú skupinu (</w:t>
      </w:r>
      <w:r>
        <w:rPr>
          <w:rFonts w:ascii="Arial Narrow" w:hAnsi="Arial Narrow"/>
          <w:sz w:val="22"/>
          <w:szCs w:val="22"/>
        </w:rPr>
        <w:t>Opatrenie č.MF/23378/2014-74)</w:t>
      </w:r>
      <w:r>
        <w:rPr>
          <w:rFonts w:ascii="Arial Narrow" w:hAnsi="Arial Narrow" w:cs="Arial Narrow"/>
          <w:sz w:val="22"/>
          <w:szCs w:val="22"/>
        </w:rPr>
        <w:t>.</w:t>
      </w:r>
    </w:p>
    <w:p>
      <w:pPr>
        <w:rPr>
          <w:rFonts w:ascii="Arial Narrow" w:hAnsi="Arial Narrow" w:cs="Arial Narrow"/>
          <w:b/>
          <w:bCs/>
          <w:sz w:val="22"/>
          <w:szCs w:val="22"/>
        </w:rPr>
      </w:pPr>
    </w:p>
    <w:p>
      <w:pPr>
        <w:jc w:val="both"/>
        <w:rPr>
          <w:rFonts w:hint="default" w:ascii="Arial Narrow" w:hAnsi="Arial Narrow" w:cs="Arial Narrow"/>
          <w:sz w:val="22"/>
          <w:szCs w:val="22"/>
          <w:lang w:val="sk-SK"/>
        </w:rPr>
      </w:pPr>
      <w:r>
        <w:rPr>
          <w:rFonts w:ascii="Arial Narrow" w:hAnsi="Arial Narrow" w:cs="Arial Narrow"/>
          <w:sz w:val="22"/>
          <w:szCs w:val="22"/>
        </w:rPr>
        <w:t xml:space="preserve">2) Účtovná závierka za predchádzajúce účtovné obdobie za bezprostredne predchádzajúce účtovné obdobie príslušným orgánom účtovnej jednotky: </w:t>
      </w:r>
      <w:r>
        <w:rPr>
          <w:rFonts w:hint="default" w:ascii="Arial Narrow" w:hAnsi="Arial Narrow" w:cs="Arial Narrow"/>
          <w:sz w:val="22"/>
          <w:szCs w:val="22"/>
          <w:lang w:val="sk-SK"/>
        </w:rPr>
        <w:t xml:space="preserve"> bola schválená 07.02.2022</w:t>
      </w:r>
      <w:bookmarkStart w:id="0" w:name="_GoBack"/>
      <w:bookmarkEnd w:id="0"/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</w:t>
      </w:r>
      <w:r>
        <w:rPr>
          <w:rFonts w:ascii="Arial Narrow" w:hAnsi="Arial Narrow" w:cs="Arial Narrow"/>
          <w:b/>
          <w:sz w:val="22"/>
          <w:szCs w:val="22"/>
        </w:rPr>
        <w:t>riadna</w:t>
      </w: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 spoločnosť nemá obsahovú náplň.</w:t>
      </w:r>
    </w:p>
    <w:p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najväčšiu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 konsolidácie):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Obchodné meno a 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najmenšiu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Adresa, kde sa môže vyžiadať kópia vyššie uvedených </w:t>
      </w:r>
      <w:r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>
        <w:rPr>
          <w:rFonts w:ascii="Arial Narrow" w:hAnsi="Arial Narrow" w:cs="Arial Narrow"/>
          <w:sz w:val="22"/>
          <w:szCs w:val="22"/>
        </w:rPr>
        <w:t>:</w:t>
      </w: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Údaj, či účtovná jednotka je materskou účtovnou jednotkou a údaj, či je oslobodená od povinnosti zostaviť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a konsolidovanú výročnú správu podľa § 22 zákona o účtovníctve, pričom sa uvádzajú: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1. pri oslobodení podľa § 22 ods. 8 zákona o účtovníctve obchodné meno a sídlo materskej účtovnej jednotky zostavujúcej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podľa osobitných predpisov (IFRS/EÚ):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2. pri oslobodení podľa § 22 ods. 10 a 12 zákona o účtovníctve obchodné meno a sídlo dcérskych účtovných jednotiek:  </w:t>
      </w: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Style w:val="5"/>
        <w:tblW w:w="5017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858"/>
        <w:gridCol w:w="2523"/>
        <w:gridCol w:w="236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7" w:hRule="atLeast"/>
        </w:trPr>
        <w:tc>
          <w:tcPr>
            <w:tcW w:w="2492" w:type="pct"/>
            <w:vAlign w:val="center"/>
          </w:tcPr>
          <w:p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3" w:hRule="atLeast"/>
        </w:trPr>
        <w:tc>
          <w:tcPr>
            <w:tcW w:w="2492" w:type="pct"/>
            <w:vAlign w:val="bottom"/>
          </w:tcPr>
          <w:p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5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312"/>
        <w:gridCol w:w="1701"/>
        <w:gridCol w:w="170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  <w:jc w:val="center"/>
        </w:trPr>
        <w:tc>
          <w:tcPr>
            <w:tcW w:w="0" w:type="auto"/>
            <w:noWrap/>
            <w:vAlign w:val="center"/>
          </w:tcPr>
          <w:p>
            <w:pPr>
              <w:pStyle w:val="21"/>
            </w:pPr>
            <w:r>
              <w:t>Orgány účtovnej jednotky</w:t>
            </w:r>
          </w:p>
        </w:tc>
        <w:tc>
          <w:tcPr>
            <w:tcW w:w="1701" w:type="dxa"/>
            <w:noWrap/>
            <w:vAlign w:val="center"/>
          </w:tcPr>
          <w:p>
            <w:pPr>
              <w:pStyle w:val="21"/>
            </w:pPr>
            <w:r>
              <w:t>Bežné účtovné obdobie</w:t>
            </w:r>
          </w:p>
        </w:tc>
        <w:tc>
          <w:tcPr>
            <w:tcW w:w="1701" w:type="dxa"/>
            <w:vAlign w:val="center"/>
          </w:tcPr>
          <w:p>
            <w:pPr>
              <w:pStyle w:val="21"/>
            </w:pPr>
            <w:r>
              <w:t>Bezprostredne predchádzajúce účtovné obdobie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7" w:hRule="atLeast"/>
          <w:jc w:val="center"/>
        </w:trPr>
        <w:tc>
          <w:tcPr>
            <w:tcW w:w="0" w:type="auto"/>
            <w:noWrap/>
            <w:vAlign w:val="center"/>
          </w:tcPr>
          <w:p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0" w:type="auto"/>
            <w:noWrap/>
            <w:vAlign w:val="center"/>
          </w:tcPr>
          <w:p>
            <w:pPr>
              <w:numPr>
                <w:ilvl w:val="0"/>
                <w:numId w:val="2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161" w:hRule="atLeast"/>
          <w:jc w:val="center"/>
        </w:trPr>
        <w:tc>
          <w:tcPr>
            <w:tcW w:w="0" w:type="auto"/>
            <w:noWrap/>
            <w:vAlign w:val="center"/>
          </w:tcPr>
          <w:p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</w:tcPr>
          <w:p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" w:hRule="atLeast"/>
          <w:jc w:val="center"/>
        </w:trPr>
        <w:tc>
          <w:tcPr>
            <w:tcW w:w="0" w:type="auto"/>
            <w:noWrap/>
            <w:vAlign w:val="center"/>
          </w:tcPr>
          <w:p>
            <w:pPr>
              <w:numPr>
                <w:ilvl w:val="0"/>
                <w:numId w:val="2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" w:hRule="atLeast"/>
          <w:jc w:val="center"/>
        </w:trPr>
        <w:tc>
          <w:tcPr>
            <w:tcW w:w="0" w:type="auto"/>
            <w:noWrap/>
            <w:vAlign w:val="center"/>
          </w:tcPr>
          <w:p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" w:hRule="atLeast"/>
          <w:jc w:val="center"/>
        </w:trPr>
        <w:tc>
          <w:tcPr>
            <w:tcW w:w="0" w:type="auto"/>
            <w:noWrap/>
            <w:vAlign w:val="center"/>
          </w:tcPr>
          <w:p>
            <w:pPr>
              <w:numPr>
                <w:ilvl w:val="0"/>
                <w:numId w:val="2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-</w:t>
      </w:r>
    </w:p>
    <w:p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hodnotách:-</w:t>
      </w:r>
    </w:p>
    <w:p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-</w:t>
      </w:r>
    </w:p>
    <w:p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Spôsob oceňovania majetku a záväzkov (§ 25 ZoU):</w:t>
      </w:r>
    </w:p>
    <w:p>
      <w:pPr>
        <w:pStyle w:val="7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5"/>
        <w:tblW w:w="960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6"/>
        <w:gridCol w:w="5300"/>
        <w:gridCol w:w="36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nebolo účtované. </w:t>
      </w: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>
      <w:pPr>
        <w:spacing w:after="12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>
        <w:rPr>
          <w:rFonts w:ascii="Arial Narrow" w:hAnsi="Arial Narrow"/>
          <w:sz w:val="22"/>
          <w:szCs w:val="22"/>
        </w:rPr>
        <w:t xml:space="preserve">: </w:t>
      </w:r>
    </w:p>
    <w:p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Finančné nástroje</w:t>
      </w:r>
      <w:r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Opravné položky</w:t>
      </w:r>
      <w:r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Rezervy</w:t>
      </w:r>
      <w:r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>
        <w:rPr>
          <w:rFonts w:ascii="Arial Narrow" w:hAnsi="Arial Narrow" w:cs="Arial Narrow"/>
          <w:sz w:val="22"/>
          <w:szCs w:val="22"/>
          <w:u w:val="single"/>
        </w:rPr>
        <w:t>zmenárenský kurz</w:t>
      </w:r>
      <w:r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ZoU).</w:t>
      </w:r>
    </w:p>
    <w:p/>
    <w:p>
      <w:pPr>
        <w:pStyle w:val="3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Style w:val="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18"/>
        <w:gridCol w:w="1013"/>
        <w:gridCol w:w="2107"/>
        <w:gridCol w:w="226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8" w:type="dxa"/>
          </w:tcPr>
          <w:p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</w:tcPr>
          <w:p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8" w:type="dxa"/>
          </w:tcPr>
          <w:p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8" w:type="dxa"/>
          </w:tcPr>
          <w:p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8" w:type="dxa"/>
          </w:tcPr>
          <w:p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8" w:type="dxa"/>
          </w:tcPr>
          <w:p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8" w:type="dxa"/>
          </w:tcPr>
          <w:p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8" w:type="dxa"/>
          </w:tcPr>
          <w:p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8" w:type="dxa"/>
          </w:tcPr>
          <w:p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4-12</w:t>
            </w:r>
          </w:p>
        </w:tc>
        <w:tc>
          <w:tcPr>
            <w:tcW w:w="2268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8,33-25</w:t>
            </w:r>
          </w:p>
        </w:tc>
      </w:tr>
    </w:tbl>
    <w:p>
      <w:pPr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>
      <w:pPr>
        <w:spacing w:after="12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/>
          <w:sz w:val="22"/>
          <w:szCs w:val="22"/>
        </w:rPr>
        <w:t xml:space="preserve">: </w:t>
      </w:r>
    </w:p>
    <w:p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začína majetok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v súlade s účtovnými odpismy.</w:t>
      </w:r>
    </w:p>
    <w:p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Fibu (taktiež daňové odpisy podľa zákona o dani z príjmov).</w:t>
      </w:r>
    </w:p>
    <w:p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súbory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ÚJ </w:t>
      </w:r>
      <w:r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/>
          <w:sz w:val="22"/>
          <w:szCs w:val="22"/>
        </w:rPr>
        <w:t xml:space="preserve"> - položky pod 2 400 eur jednotkovej ceny so životnosťou nad jeden rok (§ 13/2 PU).</w:t>
      </w:r>
    </w:p>
    <w:p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ÚJ </w:t>
      </w:r>
      <w:r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/>
          <w:sz w:val="22"/>
          <w:szCs w:val="22"/>
        </w:rPr>
        <w:t xml:space="preserve"> - položky pod 1 700 eur jednotkovej ceny so životnosťou nad jeden rok (§ 13/6 PU).</w:t>
      </w:r>
    </w:p>
    <w:p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>
      <w:pPr>
        <w:numPr>
          <w:ilvl w:val="0"/>
          <w:numId w:val="4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>
      <w:pPr>
        <w:pStyle w:val="3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-</w:t>
      </w:r>
    </w:p>
    <w:p>
      <w:pPr>
        <w:pStyle w:val="3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>
      <w:pPr>
        <w:pStyle w:val="3"/>
        <w:jc w:val="both"/>
        <w:rPr>
          <w:rFonts w:ascii="Arial Narrow" w:hAnsi="Arial Narrow" w:cs="Arial Narrow"/>
          <w:sz w:val="22"/>
          <w:szCs w:val="22"/>
          <w:lang w:val="sk-SK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nenastali</w:t>
      </w:r>
    </w:p>
    <w:tbl>
      <w:tblPr>
        <w:tblStyle w:val="5"/>
        <w:tblW w:w="4942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75"/>
        <w:gridCol w:w="1039"/>
        <w:gridCol w:w="1039"/>
        <w:gridCol w:w="1928"/>
        <w:gridCol w:w="252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01" w:type="pct"/>
            <w:shd w:val="clear" w:color="auto" w:fill="auto"/>
          </w:tcPr>
          <w:p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01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01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 schválení účtovnej závierky na valnom zhromaždení už nemožno otvárať účtovné knihy minulých účtovných období a prípadné opravy sa vykonajú v bežnom účtovnom období (§ 16/10,11 ZoU).</w:t>
      </w:r>
    </w:p>
    <w:p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Významné opravy chýb minulých účtovných období sa účtujú (§ 59/13 PU) - voči minulým výsledkom hospodárenia (voči vlastnému imaniu na účet 428 alebo 429). </w:t>
      </w:r>
    </w:p>
    <w:p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ukladaní pokuty za nesprávnosti v účtovníctve prihliadne daňový úrad aj na to, či UJ písomne ohlásila obsah a sumu vykonanej opravy chýb minulých účtovných období (§ 38/5 ZoU).</w:t>
      </w:r>
    </w:p>
    <w:p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chýb minulých účtovných období sa daňovo vysporiadajú podľa pravidiel v zákone o dani z príjmov (§ 17/15,29 ZDP) a pravidiel v daňovom poriadku (§ 16). 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 -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-</w:t>
      </w: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Pritom sa uvádza forma tohto zabezpečenia a uvádza sa zmena reálnej hodnoty v priebehu účtovného obdobia (§ 27 ZoU). Pre každý druh derivátov sa uvádza informácia o rozsahu a povahe týchto derivátov vrátane významných podmienok, ktoré môžu ovplyvniť sumu, načasovanie a mieru istoty budúcich peňažných tokov a </w:t>
      </w:r>
      <w:r>
        <w:rPr>
          <w:rFonts w:ascii="Arial Narrow" w:hAnsi="Arial Narrow" w:cs="Arial Narrow"/>
          <w:sz w:val="22"/>
          <w:szCs w:val="22"/>
          <w:u w:val="single"/>
        </w:rPr>
        <w:t>v tabuľkovej forme</w:t>
      </w:r>
      <w:r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Style w:val="5"/>
        <w:tblW w:w="4944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654"/>
        <w:gridCol w:w="1135"/>
        <w:gridCol w:w="1135"/>
        <w:gridCol w:w="1844"/>
        <w:gridCol w:w="183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" w:hRule="atLeast"/>
        </w:trPr>
        <w:tc>
          <w:tcPr>
            <w:tcW w:w="1902" w:type="pct"/>
            <w:shd w:val="clear" w:color="auto" w:fill="auto"/>
          </w:tcPr>
          <w:p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591" w:type="pct"/>
            <w:shd w:val="clear" w:color="auto" w:fill="auto"/>
          </w:tcPr>
          <w:p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" w:hRule="atLeast"/>
        </w:trPr>
        <w:tc>
          <w:tcPr>
            <w:tcW w:w="1902" w:type="pct"/>
            <w:shd w:val="clear" w:color="auto" w:fill="auto"/>
          </w:tcPr>
          <w:p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9" w:hRule="atLeast"/>
        </w:trPr>
        <w:tc>
          <w:tcPr>
            <w:tcW w:w="1902" w:type="pct"/>
            <w:shd w:val="clear" w:color="auto" w:fill="auto"/>
          </w:tcPr>
          <w:p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</w:t>
      </w:r>
      <w:r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sa k závierkovému dňu oceňujú, okrem iného, aj deriváty a majetok a záväzky zabezpečené derivátmi (§ 27/1 ZoU); precenenie na reálnu hodnotu k závierkovému dňu sa účtuje (§ 16 PU) - výsledkovo (účty 56x, 66x) alebo súvahovo (účet 414)].</w:t>
      </w:r>
    </w:p>
    <w:p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Style w:val="5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785"/>
        <w:gridCol w:w="2553"/>
        <w:gridCol w:w="237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3" w:hRule="atLeast"/>
          <w:jc w:val="center"/>
        </w:trPr>
        <w:tc>
          <w:tcPr>
            <w:tcW w:w="2463" w:type="pct"/>
            <w:vAlign w:val="center"/>
          </w:tcPr>
          <w:p>
            <w:pPr>
              <w:pStyle w:val="21"/>
            </w:pPr>
            <w:r>
              <w:t>Názov položky</w:t>
            </w:r>
          </w:p>
        </w:tc>
        <w:tc>
          <w:tcPr>
            <w:tcW w:w="1314" w:type="pct"/>
            <w:noWrap/>
            <w:vAlign w:val="center"/>
          </w:tcPr>
          <w:p>
            <w:pPr>
              <w:pStyle w:val="21"/>
            </w:pPr>
            <w:r>
              <w:t>Bežné účtovné obdobie</w:t>
            </w:r>
          </w:p>
        </w:tc>
        <w:tc>
          <w:tcPr>
            <w:tcW w:w="1223" w:type="pct"/>
            <w:vAlign w:val="center"/>
          </w:tcPr>
          <w:p>
            <w:pPr>
              <w:pStyle w:val="21"/>
            </w:pPr>
            <w:r>
              <w:t>Bezprostredne predchádzajúce účtovné obdobie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7" w:hRule="atLeast"/>
          <w:jc w:val="center"/>
        </w:trPr>
        <w:tc>
          <w:tcPr>
            <w:tcW w:w="2463" w:type="pct"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-</w:t>
      </w:r>
    </w:p>
    <w:tbl>
      <w:tblPr>
        <w:tblStyle w:val="5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396"/>
        <w:gridCol w:w="2831"/>
        <w:gridCol w:w="241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201" w:type="dxa"/>
            <w:vMerge w:val="restart"/>
            <w:vAlign w:val="center"/>
          </w:tcPr>
          <w:p>
            <w:pPr>
              <w:pStyle w:val="21"/>
            </w:pPr>
            <w:r>
              <w:t>Zabezpečené záväzky</w:t>
            </w:r>
          </w:p>
        </w:tc>
        <w:tc>
          <w:tcPr>
            <w:tcW w:w="5010" w:type="dxa"/>
            <w:gridSpan w:val="2"/>
            <w:vAlign w:val="center"/>
          </w:tcPr>
          <w:p>
            <w:pPr>
              <w:pStyle w:val="21"/>
            </w:pPr>
            <w:r>
              <w:t>Bežné účtovné obdobie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201" w:type="dxa"/>
            <w:vMerge w:val="continue"/>
            <w:vAlign w:val="center"/>
          </w:tcPr>
          <w:p>
            <w:pPr>
              <w:pStyle w:val="21"/>
              <w:jc w:val="both"/>
            </w:pPr>
          </w:p>
        </w:tc>
        <w:tc>
          <w:tcPr>
            <w:tcW w:w="2706" w:type="dxa"/>
            <w:vAlign w:val="center"/>
          </w:tcPr>
          <w:p>
            <w:pPr>
              <w:pStyle w:val="21"/>
            </w:pPr>
            <w:r>
              <w:t xml:space="preserve">Spôsob </w:t>
            </w:r>
          </w:p>
          <w:p>
            <w:pPr>
              <w:pStyle w:val="21"/>
            </w:pPr>
            <w:r>
              <w:t>zabezpečenia</w:t>
            </w:r>
          </w:p>
        </w:tc>
        <w:tc>
          <w:tcPr>
            <w:tcW w:w="2304" w:type="dxa"/>
            <w:vAlign w:val="center"/>
          </w:tcPr>
          <w:p>
            <w:pPr>
              <w:pStyle w:val="21"/>
            </w:pPr>
            <w:r>
              <w:t>Hodnota záväzkov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9" w:hRule="atLeast"/>
          <w:jc w:val="center"/>
        </w:trPr>
        <w:tc>
          <w:tcPr>
            <w:tcW w:w="4201" w:type="dxa"/>
            <w:vAlign w:val="center"/>
          </w:tcPr>
          <w:p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17" w:hRule="atLeast"/>
          <w:jc w:val="center"/>
        </w:trPr>
        <w:tc>
          <w:tcPr>
            <w:tcW w:w="4201" w:type="dxa"/>
            <w:vAlign w:val="center"/>
          </w:tcPr>
          <w:p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17" w:hRule="atLeast"/>
          <w:jc w:val="center"/>
        </w:trPr>
        <w:tc>
          <w:tcPr>
            <w:tcW w:w="4201" w:type="dxa"/>
            <w:vAlign w:val="center"/>
          </w:tcPr>
          <w:p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>: -</w:t>
      </w: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-</w:t>
      </w:r>
    </w:p>
    <w:p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-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-</w:t>
      </w:r>
    </w:p>
    <w:p>
      <w:pPr>
        <w:numPr>
          <w:ilvl w:val="0"/>
          <w:numId w:val="6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numPr>
          <w:ilvl w:val="0"/>
          <w:numId w:val="6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 -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-</w:t>
      </w:r>
    </w:p>
    <w:tbl>
      <w:tblPr>
        <w:tblStyle w:val="5"/>
        <w:tblW w:w="4944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311"/>
        <w:gridCol w:w="1701"/>
        <w:gridCol w:w="159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  <w:jc w:val="center"/>
        </w:trPr>
        <w:tc>
          <w:tcPr>
            <w:tcW w:w="0" w:type="auto"/>
            <w:noWrap/>
            <w:vAlign w:val="center"/>
          </w:tcPr>
          <w:p>
            <w:pPr>
              <w:pStyle w:val="21"/>
            </w:pPr>
            <w:r>
              <w:t>Názov podsúvahovej položky</w:t>
            </w:r>
          </w:p>
        </w:tc>
        <w:tc>
          <w:tcPr>
            <w:tcW w:w="1701" w:type="dxa"/>
            <w:noWrap/>
            <w:vAlign w:val="center"/>
          </w:tcPr>
          <w:p>
            <w:pPr>
              <w:pStyle w:val="21"/>
            </w:pPr>
            <w:r>
              <w:t>Bežné účtovné obdobie</w:t>
            </w:r>
          </w:p>
        </w:tc>
        <w:tc>
          <w:tcPr>
            <w:tcW w:w="1593" w:type="dxa"/>
            <w:vAlign w:val="center"/>
          </w:tcPr>
          <w:p>
            <w:pPr>
              <w:pStyle w:val="21"/>
            </w:pPr>
            <w:r>
              <w:t>Bezprostredne predchádzajúce účtovné obdobie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7" w:hRule="atLeast"/>
          <w:jc w:val="center"/>
        </w:trPr>
        <w:tc>
          <w:tcPr>
            <w:tcW w:w="0" w:type="auto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0" w:type="auto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" w:hRule="atLeast"/>
          <w:jc w:val="center"/>
        </w:trPr>
        <w:tc>
          <w:tcPr>
            <w:tcW w:w="0" w:type="auto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Pohľadávky z opcií</w:t>
            </w:r>
          </w:p>
        </w:tc>
        <w:tc>
          <w:tcPr>
            <w:tcW w:w="1701" w:type="dxa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" w:hRule="atLeast"/>
          <w:jc w:val="center"/>
        </w:trPr>
        <w:tc>
          <w:tcPr>
            <w:tcW w:w="0" w:type="auto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" w:hRule="atLeast"/>
          <w:jc w:val="center"/>
        </w:trPr>
        <w:tc>
          <w:tcPr>
            <w:tcW w:w="0" w:type="auto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" w:hRule="atLeast"/>
          <w:jc w:val="center"/>
        </w:trPr>
        <w:tc>
          <w:tcPr>
            <w:tcW w:w="0" w:type="auto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strát, napríklad: -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>
        <w:rPr>
          <w:rFonts w:ascii="Arial Narrow" w:hAnsi="Arial Narrow" w:cs="Arial Narrow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</w:t>
      </w:r>
    </w:p>
    <w:p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sectPr>
      <w:headerReference r:id="rId4" w:type="first"/>
      <w:headerReference r:id="rId3" w:type="default"/>
      <w:footerReference r:id="rId5" w:type="default"/>
      <w:pgSz w:w="11907" w:h="16840"/>
      <w:pgMar w:top="1417" w:right="992" w:bottom="1417" w:left="1417" w:header="567" w:footer="567" w:gutter="0"/>
      <w:cols w:space="708" w:num="1"/>
      <w:docGrid w:linePitch="326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libri">
    <w:panose1 w:val="020F0502020204030204"/>
    <w:charset w:val="EE"/>
    <w:family w:val="swiss"/>
    <w:pitch w:val="default"/>
    <w:sig w:usb0="E4002EFF" w:usb1="C000247B" w:usb2="00000009" w:usb3="00000000" w:csb0="200001FF" w:csb1="0000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EE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jc w:val="right"/>
    </w:pPr>
    <w:r>
      <w:fldChar w:fldCharType="begin"/>
    </w:r>
    <w:r>
      <w:instrText xml:space="preserve">PAGE   \* MERGEFORMAT</w:instrText>
    </w:r>
    <w:r>
      <w:fldChar w:fldCharType="separate"/>
    </w:r>
    <w:r>
      <w:t>7</w:t>
    </w:r>
    <w:r>
      <w:fldChar w:fldCharType="end"/>
    </w:r>
  </w:p>
  <w:p>
    <w:pPr>
      <w:pStyle w:val="8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color="auto" w:sz="4" w:space="0"/>
      </w:rPr>
    </w:pPr>
    <w:r>
      <w:rPr>
        <w:rFonts w:ascii="Arial" w:hAnsi="Arial" w:cs="Arial"/>
        <w:sz w:val="22"/>
        <w:szCs w:val="22"/>
        <w:bdr w:val="single" w:color="auto" w:sz="4" w:space="0"/>
        <w:lang w:val="sk-SK"/>
      </w:rPr>
      <w:t>Po</w:t>
    </w:r>
    <w:r>
      <w:rPr>
        <w:rFonts w:ascii="Arial" w:hAnsi="Arial" w:cs="Arial"/>
        <w:spacing w:val="1"/>
        <w:sz w:val="22"/>
        <w:szCs w:val="22"/>
        <w:bdr w:val="single" w:color="auto" w:sz="4" w:space="0"/>
        <w:lang w:val="sk-SK"/>
      </w:rPr>
      <w:t>z</w:t>
    </w:r>
    <w:r>
      <w:rPr>
        <w:rFonts w:ascii="Arial" w:hAnsi="Arial" w:cs="Arial"/>
        <w:sz w:val="22"/>
        <w:szCs w:val="22"/>
        <w:bdr w:val="single" w:color="auto" w:sz="4" w:space="0"/>
        <w:lang w:val="sk-SK"/>
      </w:rPr>
      <w:t>n</w:t>
    </w:r>
    <w:r>
      <w:rPr>
        <w:rFonts w:ascii="Arial" w:hAnsi="Arial" w:cs="Arial"/>
        <w:spacing w:val="-1"/>
        <w:sz w:val="22"/>
        <w:szCs w:val="22"/>
        <w:bdr w:val="single" w:color="auto" w:sz="4" w:space="0"/>
        <w:lang w:val="sk-SK"/>
      </w:rPr>
      <w:t>á</w:t>
    </w:r>
    <w:r>
      <w:rPr>
        <w:rFonts w:ascii="Arial" w:hAnsi="Arial" w:cs="Arial"/>
        <w:sz w:val="22"/>
        <w:szCs w:val="22"/>
        <w:bdr w:val="single" w:color="auto" w:sz="4" w:space="0"/>
        <w:lang w:val="sk-SK"/>
      </w:rPr>
      <w:t>m</w:t>
    </w:r>
    <w:r>
      <w:rPr>
        <w:rFonts w:ascii="Arial" w:hAnsi="Arial" w:cs="Arial"/>
        <w:spacing w:val="2"/>
        <w:sz w:val="22"/>
        <w:szCs w:val="22"/>
        <w:bdr w:val="single" w:color="auto" w:sz="4" w:space="0"/>
        <w:lang w:val="sk-SK"/>
      </w:rPr>
      <w:t>k</w:t>
    </w:r>
    <w:r>
      <w:rPr>
        <w:rFonts w:ascii="Arial" w:hAnsi="Arial" w:cs="Arial"/>
        <w:sz w:val="22"/>
        <w:szCs w:val="22"/>
        <w:bdr w:val="single" w:color="auto" w:sz="4" w:space="0"/>
        <w:lang w:val="sk-SK"/>
      </w:rPr>
      <w:t>y</w:t>
    </w:r>
    <w:r>
      <w:rPr>
        <w:rFonts w:ascii="Arial" w:hAnsi="Arial" w:cs="Arial"/>
        <w:spacing w:val="-8"/>
        <w:sz w:val="22"/>
        <w:szCs w:val="22"/>
        <w:bdr w:val="single" w:color="auto" w:sz="4" w:space="0"/>
        <w:lang w:val="sk-SK"/>
      </w:rPr>
      <w:t xml:space="preserve"> </w:t>
    </w:r>
    <w:r>
      <w:rPr>
        <w:rFonts w:ascii="Arial" w:hAnsi="Arial" w:cs="Arial"/>
        <w:spacing w:val="1"/>
        <w:sz w:val="22"/>
        <w:szCs w:val="22"/>
        <w:bdr w:val="single" w:color="auto" w:sz="4" w:space="0"/>
        <w:lang w:val="sk-SK"/>
      </w:rPr>
      <w:t>Ú</w:t>
    </w:r>
    <w:r>
      <w:rPr>
        <w:rFonts w:ascii="Arial" w:hAnsi="Arial" w:cs="Arial"/>
        <w:sz w:val="22"/>
        <w:szCs w:val="22"/>
        <w:bdr w:val="single" w:color="auto" w:sz="4" w:space="0"/>
        <w:lang w:val="sk-SK"/>
      </w:rPr>
      <w:t>č</w:t>
    </w:r>
    <w:r>
      <w:rPr>
        <w:rFonts w:ascii="Arial" w:hAnsi="Arial" w:cs="Arial"/>
        <w:sz w:val="22"/>
        <w:szCs w:val="22"/>
        <w:bdr w:val="single" w:color="auto" w:sz="4" w:space="0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color="auto" w:sz="4" w:space="0"/>
      </w:rPr>
      <w:t xml:space="preserve"> </w:t>
    </w:r>
    <w:r>
      <w:rPr>
        <w:rFonts w:ascii="Arial" w:hAnsi="Arial" w:cs="Arial"/>
        <w:sz w:val="22"/>
        <w:szCs w:val="22"/>
        <w:bdr w:val="single" w:color="auto" w:sz="4" w:space="0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color="auto" w:sz="4" w:space="0"/>
      </w:rPr>
      <w:t xml:space="preserve"> </w:t>
    </w:r>
    <w:r>
      <w:rPr>
        <w:rFonts w:ascii="Arial" w:hAnsi="Arial" w:cs="Arial"/>
        <w:spacing w:val="-6"/>
        <w:sz w:val="22"/>
        <w:szCs w:val="22"/>
        <w:bdr w:val="single" w:color="auto" w:sz="4" w:space="0"/>
      </w:rPr>
      <w:t>I</w:t>
    </w:r>
    <w:r>
      <w:rPr>
        <w:rFonts w:ascii="Arial" w:hAnsi="Arial" w:cs="Arial"/>
        <w:sz w:val="22"/>
        <w:szCs w:val="22"/>
        <w:bdr w:val="single" w:color="auto" w:sz="4" w:space="0"/>
      </w:rPr>
      <w:t xml:space="preserve">ČO: 47743972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color="auto" w:sz="4" w:space="0"/>
      </w:rPr>
      <w:t xml:space="preserve"> </w:t>
    </w:r>
    <w:r>
      <w:rPr>
        <w:rFonts w:ascii="Arial" w:hAnsi="Arial" w:cs="Arial"/>
        <w:spacing w:val="1"/>
        <w:sz w:val="22"/>
        <w:szCs w:val="22"/>
        <w:bdr w:val="single" w:color="auto" w:sz="4" w:space="0"/>
      </w:rPr>
      <w:t>D</w:t>
    </w:r>
    <w:r>
      <w:rPr>
        <w:rFonts w:ascii="Arial" w:hAnsi="Arial" w:cs="Arial"/>
        <w:spacing w:val="-6"/>
        <w:sz w:val="22"/>
        <w:szCs w:val="22"/>
        <w:bdr w:val="single" w:color="auto" w:sz="4" w:space="0"/>
      </w:rPr>
      <w:t>I</w:t>
    </w:r>
    <w:r>
      <w:rPr>
        <w:rFonts w:ascii="Arial" w:hAnsi="Arial" w:cs="Arial"/>
        <w:sz w:val="22"/>
        <w:szCs w:val="22"/>
        <w:bdr w:val="single" w:color="auto" w:sz="4" w:space="0"/>
      </w:rPr>
      <w:t>Č: 2024104500</w:t>
    </w:r>
  </w:p>
  <w:p>
    <w:pPr>
      <w:pStyle w:val="1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5"/>
      <w:tblW w:w="8260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330" w:hRule="atLeast"/>
      </w:trPr>
      <w:tc>
        <w:tcPr>
          <w:tcW w:w="2780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noWrap/>
          <w:vAlign w:val="center"/>
        </w:tcPr>
        <w:p>
          <w:pPr>
            <w:jc w:val="center"/>
            <w:rPr>
              <w:szCs w:val="22"/>
            </w:rPr>
          </w:pPr>
          <w:r>
            <w:rPr>
              <w:szCs w:val="22"/>
            </w:rPr>
            <w:t> 1</w:t>
          </w:r>
        </w:p>
      </w:tc>
      <w:tc>
        <w:tcPr>
          <w:tcW w:w="280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>
          <w:pPr>
            <w:jc w:val="center"/>
            <w:rPr>
              <w:szCs w:val="22"/>
            </w:rPr>
          </w:pPr>
          <w:r>
            <w:rPr>
              <w:szCs w:val="22"/>
            </w:rPr>
            <w:t>2 </w:t>
          </w:r>
        </w:p>
      </w:tc>
      <w:tc>
        <w:tcPr>
          <w:tcW w:w="280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>
          <w:pPr>
            <w:jc w:val="center"/>
            <w:rPr>
              <w:szCs w:val="22"/>
            </w:rPr>
          </w:pPr>
          <w:r>
            <w:rPr>
              <w:szCs w:val="22"/>
            </w:rPr>
            <w:t>3 </w:t>
          </w:r>
        </w:p>
      </w:tc>
      <w:tc>
        <w:tcPr>
          <w:tcW w:w="280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>
          <w:pPr>
            <w:jc w:val="center"/>
            <w:rPr>
              <w:szCs w:val="22"/>
            </w:rPr>
          </w:pPr>
          <w:r>
            <w:rPr>
              <w:szCs w:val="22"/>
            </w:rPr>
            <w:t>4 </w:t>
          </w:r>
        </w:p>
      </w:tc>
      <w:tc>
        <w:tcPr>
          <w:tcW w:w="280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>
          <w:pPr>
            <w:jc w:val="center"/>
            <w:rPr>
              <w:szCs w:val="22"/>
            </w:rPr>
          </w:pPr>
          <w:r>
            <w:rPr>
              <w:szCs w:val="22"/>
            </w:rPr>
            <w:t>5 </w:t>
          </w:r>
        </w:p>
      </w:tc>
      <w:tc>
        <w:tcPr>
          <w:tcW w:w="280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>
          <w:pPr>
            <w:jc w:val="center"/>
            <w:rPr>
              <w:szCs w:val="22"/>
            </w:rPr>
          </w:pPr>
          <w:r>
            <w:rPr>
              <w:szCs w:val="22"/>
            </w:rPr>
            <w:t>6 </w:t>
          </w:r>
        </w:p>
      </w:tc>
      <w:tc>
        <w:tcPr>
          <w:tcW w:w="280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>
          <w:pPr>
            <w:jc w:val="center"/>
            <w:rPr>
              <w:szCs w:val="22"/>
            </w:rPr>
          </w:pPr>
          <w:r>
            <w:rPr>
              <w:szCs w:val="22"/>
            </w:rPr>
            <w:t>7 </w:t>
          </w:r>
        </w:p>
      </w:tc>
      <w:tc>
        <w:tcPr>
          <w:tcW w:w="280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>
          <w:pPr>
            <w:jc w:val="center"/>
            <w:rPr>
              <w:szCs w:val="22"/>
            </w:rPr>
          </w:pPr>
          <w:r>
            <w:rPr>
              <w:szCs w:val="22"/>
            </w:rPr>
            <w:t>8 </w:t>
          </w:r>
        </w:p>
      </w:tc>
      <w:tc>
        <w:tcPr>
          <w:tcW w:w="280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>
          <w:pPr>
            <w:jc w:val="center"/>
            <w:rPr>
              <w:szCs w:val="22"/>
            </w:rPr>
          </w:pPr>
          <w:r>
            <w:rPr>
              <w:szCs w:val="22"/>
            </w:rPr>
            <w:t>9 </w:t>
          </w:r>
        </w:p>
      </w:tc>
      <w:tc>
        <w:tcPr>
          <w:tcW w:w="280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>
          <w:pPr>
            <w:jc w:val="center"/>
            <w:rPr>
              <w:szCs w:val="22"/>
            </w:rPr>
          </w:pPr>
          <w:r>
            <w:rPr>
              <w:szCs w:val="22"/>
            </w:rPr>
            <w:t>0 </w:t>
          </w:r>
        </w:p>
      </w:tc>
    </w:tr>
  </w:tbl>
  <w:p>
    <w:pPr>
      <w:pStyle w:val="1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E597DE9"/>
    <w:multiLevelType w:val="multilevel"/>
    <w:tmpl w:val="1E597DE9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2">
    <w:nsid w:val="41C61CFE"/>
    <w:multiLevelType w:val="multilevel"/>
    <w:tmpl w:val="41C61CFE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3">
    <w:nsid w:val="5D6540DA"/>
    <w:multiLevelType w:val="multilevel"/>
    <w:tmpl w:val="5D6540DA"/>
    <w:lvl w:ilvl="0" w:tentative="0">
      <w:start w:val="6"/>
      <w:numFmt w:val="bullet"/>
      <w:lvlText w:val="-"/>
      <w:lvlJc w:val="left"/>
      <w:pPr>
        <w:ind w:left="720" w:hanging="360"/>
      </w:pPr>
      <w:rPr>
        <w:rFonts w:hint="default" w:ascii="Arial Narrow" w:hAnsi="Arial Narrow" w:eastAsia="Times New Roman" w:cs="Arial Narrow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>
    <w:nsid w:val="67487002"/>
    <w:multiLevelType w:val="multilevel"/>
    <w:tmpl w:val="67487002"/>
    <w:lvl w:ilvl="0" w:tentative="0">
      <w:start w:val="1"/>
      <w:numFmt w:val="decimal"/>
      <w:pStyle w:val="2"/>
      <w:lvlText w:val="§ %1"/>
      <w:lvlJc w:val="center"/>
      <w:pPr>
        <w:tabs>
          <w:tab w:val="left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</w:rPr>
    </w:lvl>
    <w:lvl w:ilvl="1" w:tentative="0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</w:lvl>
    <w:lvl w:ilvl="6" w:tentative="0">
      <w:start w:val="1"/>
      <w:numFmt w:val="decimal"/>
      <w:lvlText w:val="(%7)"/>
      <w:lvlJc w:val="left"/>
      <w:pPr>
        <w:tabs>
          <w:tab w:val="left" w:pos="5070"/>
        </w:tabs>
        <w:ind w:left="5070" w:hanging="390"/>
      </w:pPr>
      <w:rPr>
        <w:rFonts w:hint="default"/>
      </w:rPr>
    </w:lvl>
    <w:lvl w:ilvl="7" w:tentative="0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</w:lvl>
  </w:abstractNum>
  <w:abstractNum w:abstractNumId="5">
    <w:nsid w:val="6DE666C6"/>
    <w:multiLevelType w:val="multilevel"/>
    <w:tmpl w:val="6DE666C6"/>
    <w:lvl w:ilvl="0" w:tentative="0">
      <w:start w:val="1"/>
      <w:numFmt w:val="decimal"/>
      <w:lvlText w:val="%1."/>
      <w:lvlJc w:val="left"/>
      <w:pPr>
        <w:ind w:left="360" w:hanging="360"/>
      </w:pPr>
    </w:lvl>
    <w:lvl w:ilvl="1" w:tentative="0">
      <w:start w:val="1"/>
      <w:numFmt w:val="lowerLetter"/>
      <w:lvlText w:val="%2."/>
      <w:lvlJc w:val="left"/>
      <w:pPr>
        <w:ind w:left="1080" w:hanging="360"/>
      </w:pPr>
    </w:lvl>
    <w:lvl w:ilvl="2" w:tentative="0">
      <w:start w:val="1"/>
      <w:numFmt w:val="lowerRoman"/>
      <w:lvlText w:val="%3."/>
      <w:lvlJc w:val="right"/>
      <w:pPr>
        <w:ind w:left="1800" w:hanging="180"/>
      </w:pPr>
    </w:lvl>
    <w:lvl w:ilvl="3" w:tentative="0">
      <w:start w:val="1"/>
      <w:numFmt w:val="decimal"/>
      <w:lvlText w:val="%4."/>
      <w:lvlJc w:val="left"/>
      <w:pPr>
        <w:ind w:left="2520" w:hanging="360"/>
      </w:pPr>
    </w:lvl>
    <w:lvl w:ilvl="4" w:tentative="0">
      <w:start w:val="1"/>
      <w:numFmt w:val="lowerLetter"/>
      <w:lvlText w:val="%5."/>
      <w:lvlJc w:val="left"/>
      <w:pPr>
        <w:ind w:left="3240" w:hanging="360"/>
      </w:pPr>
    </w:lvl>
    <w:lvl w:ilvl="5" w:tentative="0">
      <w:start w:val="1"/>
      <w:numFmt w:val="lowerRoman"/>
      <w:lvlText w:val="%6."/>
      <w:lvlJc w:val="right"/>
      <w:pPr>
        <w:ind w:left="3960" w:hanging="180"/>
      </w:pPr>
    </w:lvl>
    <w:lvl w:ilvl="6" w:tentative="0">
      <w:start w:val="1"/>
      <w:numFmt w:val="decimal"/>
      <w:lvlText w:val="%7."/>
      <w:lvlJc w:val="left"/>
      <w:pPr>
        <w:ind w:left="4680" w:hanging="360"/>
      </w:pPr>
    </w:lvl>
    <w:lvl w:ilvl="7" w:tentative="0">
      <w:start w:val="1"/>
      <w:numFmt w:val="lowerLetter"/>
      <w:lvlText w:val="%8."/>
      <w:lvlJc w:val="left"/>
      <w:pPr>
        <w:ind w:left="5400" w:hanging="360"/>
      </w:pPr>
    </w:lvl>
    <w:lvl w:ilvl="8" w:tentative="0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4"/>
  </w:num>
  <w:num w:numId="2">
    <w:abstractNumId w:val="3"/>
  </w:num>
  <w:num w:numId="3">
    <w:abstractNumId w:val="1"/>
  </w:num>
  <w:num w:numId="4">
    <w:abstractNumId w:val="0"/>
  </w:num>
  <w:num w:numId="5">
    <w:abstractNumId w:val="2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47531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694D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6CFF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37771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2615D"/>
    <w:rsid w:val="00331575"/>
    <w:rsid w:val="00331EB6"/>
    <w:rsid w:val="003321D9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5307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62BD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E758C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9746F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5426D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660A"/>
    <w:rsid w:val="006B69FE"/>
    <w:rsid w:val="006C018F"/>
    <w:rsid w:val="006C1F64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4743"/>
    <w:rsid w:val="0076539B"/>
    <w:rsid w:val="007708C6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4771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893"/>
    <w:rsid w:val="00857F33"/>
    <w:rsid w:val="00861401"/>
    <w:rsid w:val="00861803"/>
    <w:rsid w:val="00867392"/>
    <w:rsid w:val="0087132B"/>
    <w:rsid w:val="008729F3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0C85"/>
    <w:rsid w:val="008D3EB6"/>
    <w:rsid w:val="008D6D25"/>
    <w:rsid w:val="008E18B3"/>
    <w:rsid w:val="008E6809"/>
    <w:rsid w:val="008F7BD4"/>
    <w:rsid w:val="0090056C"/>
    <w:rsid w:val="00925C6F"/>
    <w:rsid w:val="0093419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B23B0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0717"/>
    <w:rsid w:val="00A746B7"/>
    <w:rsid w:val="00A75780"/>
    <w:rsid w:val="00A76945"/>
    <w:rsid w:val="00A8074E"/>
    <w:rsid w:val="00A84C9F"/>
    <w:rsid w:val="00A85DC9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2ED8"/>
    <w:rsid w:val="00AF51AA"/>
    <w:rsid w:val="00AF6469"/>
    <w:rsid w:val="00B00ECD"/>
    <w:rsid w:val="00B05037"/>
    <w:rsid w:val="00B07F5C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6689"/>
    <w:rsid w:val="00B87E21"/>
    <w:rsid w:val="00B9102F"/>
    <w:rsid w:val="00B93686"/>
    <w:rsid w:val="00BA12FE"/>
    <w:rsid w:val="00BA43D8"/>
    <w:rsid w:val="00BA5618"/>
    <w:rsid w:val="00BB22F0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2F39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4022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276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  <w:rsid w:val="1D204E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EmbedSmartTag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Times New Roma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nhideWhenUsed="0" w:uiPriority="0" w:semiHidden="0" w:name="Normal Indent"/>
    <w:lsdException w:unhideWhenUsed="0" w:uiPriority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 w:locked="1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99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qFormat="1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 w:locked="1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iPriority="0" w:name="HTML Preformatted"/>
    <w:lsdException w:uiPriority="0" w:name="HTML Sample"/>
    <w:lsdException w:unhideWhenUsed="0" w:uiPriority="0" w:semiHidden="0" w:name="HTML Typewriter"/>
    <w:lsdException w:uiPriority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iPriority="0" w:name="Balloon Text"/>
    <w:lsdException w:qFormat="1"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Times New Roman" w:hAnsi="Times New Roman" w:eastAsia="Times New Roman" w:cs="Times New Roman"/>
      <w:sz w:val="24"/>
      <w:szCs w:val="24"/>
      <w:lang w:val="sk-SK" w:eastAsia="sk-SK" w:bidi="ar-SA"/>
    </w:rPr>
  </w:style>
  <w:style w:type="paragraph" w:styleId="2">
    <w:name w:val="heading 1"/>
    <w:basedOn w:val="1"/>
    <w:next w:val="3"/>
    <w:link w:val="15"/>
    <w:qFormat/>
    <w:uiPriority w:val="0"/>
    <w:pPr>
      <w:keepNext/>
      <w:numPr>
        <w:ilvl w:val="0"/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3">
    <w:name w:val="heading 2"/>
    <w:basedOn w:val="1"/>
    <w:next w:val="1"/>
    <w:link w:val="16"/>
    <w:qFormat/>
    <w:uiPriority w:val="0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zh-CN" w:eastAsia="zh-CN"/>
    </w:rPr>
  </w:style>
  <w:style w:type="character" w:default="1" w:styleId="4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Balloon Text"/>
    <w:basedOn w:val="1"/>
    <w:link w:val="26"/>
    <w:semiHidden/>
    <w:unhideWhenUsed/>
    <w:qFormat/>
    <w:uiPriority w:val="0"/>
    <w:rPr>
      <w:rFonts w:ascii="Segoe UI" w:hAnsi="Segoe UI" w:cs="Segoe UI"/>
      <w:sz w:val="18"/>
      <w:szCs w:val="18"/>
    </w:rPr>
  </w:style>
  <w:style w:type="paragraph" w:styleId="7">
    <w:name w:val="Body Text"/>
    <w:basedOn w:val="1"/>
    <w:link w:val="23"/>
    <w:unhideWhenUsed/>
    <w:qFormat/>
    <w:uiPriority w:val="1"/>
    <w:pPr>
      <w:widowControl w:val="0"/>
      <w:ind w:left="668" w:hanging="567"/>
    </w:pPr>
    <w:rPr>
      <w:lang w:val="en-US" w:eastAsia="en-US"/>
    </w:rPr>
  </w:style>
  <w:style w:type="paragraph" w:styleId="8">
    <w:name w:val="footer"/>
    <w:basedOn w:val="1"/>
    <w:link w:val="19"/>
    <w:qFormat/>
    <w:uiPriority w:val="99"/>
    <w:pPr>
      <w:tabs>
        <w:tab w:val="center" w:pos="4536"/>
        <w:tab w:val="right" w:pos="9072"/>
      </w:tabs>
    </w:pPr>
    <w:rPr>
      <w:lang w:val="zh-CN" w:eastAsia="zh-CN"/>
    </w:rPr>
  </w:style>
  <w:style w:type="character" w:styleId="9">
    <w:name w:val="footnote reference"/>
    <w:semiHidden/>
    <w:uiPriority w:val="0"/>
    <w:rPr>
      <w:vertAlign w:val="superscript"/>
    </w:rPr>
  </w:style>
  <w:style w:type="paragraph" w:styleId="10">
    <w:name w:val="footnote text"/>
    <w:basedOn w:val="1"/>
    <w:link w:val="18"/>
    <w:semiHidden/>
    <w:uiPriority w:val="0"/>
    <w:rPr>
      <w:sz w:val="20"/>
      <w:szCs w:val="20"/>
      <w:lang w:val="zh-CN" w:eastAsia="zh-CN"/>
    </w:rPr>
  </w:style>
  <w:style w:type="paragraph" w:styleId="11">
    <w:name w:val="header"/>
    <w:basedOn w:val="1"/>
    <w:link w:val="22"/>
    <w:qFormat/>
    <w:uiPriority w:val="0"/>
    <w:pPr>
      <w:tabs>
        <w:tab w:val="center" w:pos="4703"/>
        <w:tab w:val="right" w:pos="9406"/>
      </w:tabs>
    </w:pPr>
  </w:style>
  <w:style w:type="character" w:styleId="12">
    <w:name w:val="page number"/>
    <w:basedOn w:val="4"/>
    <w:qFormat/>
    <w:uiPriority w:val="0"/>
  </w:style>
  <w:style w:type="table" w:styleId="13">
    <w:name w:val="Table Grid"/>
    <w:basedOn w:val="5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14">
    <w:name w:val="Title"/>
    <w:basedOn w:val="1"/>
    <w:next w:val="1"/>
    <w:link w:val="20"/>
    <w:qFormat/>
    <w:uiPriority w:val="99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zh-CN"/>
    </w:rPr>
  </w:style>
  <w:style w:type="character" w:customStyle="1" w:styleId="15">
    <w:name w:val="Nadpis 1 Char"/>
    <w:link w:val="2"/>
    <w:locked/>
    <w:uiPriority w:val="0"/>
    <w:rPr>
      <w:b/>
      <w:bCs/>
      <w:kern w:val="32"/>
      <w:sz w:val="24"/>
      <w:szCs w:val="24"/>
      <w:lang w:val="sk-SK" w:eastAsia="sk-SK"/>
    </w:rPr>
  </w:style>
  <w:style w:type="character" w:customStyle="1" w:styleId="16">
    <w:name w:val="Nadpis 2 Char"/>
    <w:link w:val="3"/>
    <w:semiHidden/>
    <w:qFormat/>
    <w:locked/>
    <w:uiPriority w:val="0"/>
    <w:rPr>
      <w:rFonts w:ascii="Cambria" w:hAnsi="Cambria" w:eastAsia="Times New Roman" w:cs="Cambria"/>
      <w:b/>
      <w:bCs/>
      <w:i/>
      <w:iCs/>
      <w:sz w:val="28"/>
      <w:szCs w:val="28"/>
    </w:rPr>
  </w:style>
  <w:style w:type="paragraph" w:customStyle="1" w:styleId="17">
    <w:name w:val="Základní text"/>
    <w:uiPriority w:val="0"/>
    <w:pPr>
      <w:spacing w:after="240"/>
      <w:jc w:val="both"/>
    </w:pPr>
    <w:rPr>
      <w:rFonts w:ascii="Times New Roman" w:hAnsi="Times New Roman" w:eastAsia="Times New Roman" w:cs="Times New Roman"/>
      <w:color w:val="000000"/>
      <w:sz w:val="24"/>
      <w:szCs w:val="24"/>
      <w:lang w:val="sk-SK" w:eastAsia="sk-SK" w:bidi="ar-SA"/>
    </w:rPr>
  </w:style>
  <w:style w:type="character" w:customStyle="1" w:styleId="18">
    <w:name w:val="Text poznámky pod čiarou Char"/>
    <w:link w:val="10"/>
    <w:semiHidden/>
    <w:locked/>
    <w:uiPriority w:val="0"/>
    <w:rPr>
      <w:sz w:val="20"/>
      <w:szCs w:val="20"/>
    </w:rPr>
  </w:style>
  <w:style w:type="character" w:customStyle="1" w:styleId="19">
    <w:name w:val="Päta Char"/>
    <w:link w:val="8"/>
    <w:qFormat/>
    <w:locked/>
    <w:uiPriority w:val="99"/>
    <w:rPr>
      <w:sz w:val="24"/>
      <w:szCs w:val="24"/>
    </w:rPr>
  </w:style>
  <w:style w:type="character" w:customStyle="1" w:styleId="20">
    <w:name w:val="Názov Char"/>
    <w:link w:val="14"/>
    <w:qFormat/>
    <w:locked/>
    <w:uiPriority w:val="99"/>
    <w:rPr>
      <w:rFonts w:ascii="Arial Narrow" w:hAnsi="Arial Narrow" w:cs="Arial Narrow"/>
      <w:b/>
      <w:bCs/>
      <w:kern w:val="28"/>
      <w:sz w:val="32"/>
      <w:szCs w:val="32"/>
      <w:lang w:val="sk-SK" w:eastAsia="zh-CN"/>
    </w:rPr>
  </w:style>
  <w:style w:type="paragraph" w:customStyle="1" w:styleId="21">
    <w:name w:val="Top Header"/>
    <w:basedOn w:val="1"/>
    <w:qFormat/>
    <w:uiPriority w:val="0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22">
    <w:name w:val="Hlavička Char"/>
    <w:link w:val="11"/>
    <w:qFormat/>
    <w:locked/>
    <w:uiPriority w:val="0"/>
    <w:rPr>
      <w:sz w:val="24"/>
      <w:szCs w:val="24"/>
      <w:lang w:val="sk-SK" w:eastAsia="sk-SK"/>
    </w:rPr>
  </w:style>
  <w:style w:type="character" w:customStyle="1" w:styleId="23">
    <w:name w:val="Základný text Char"/>
    <w:link w:val="7"/>
    <w:qFormat/>
    <w:uiPriority w:val="1"/>
    <w:rPr>
      <w:sz w:val="24"/>
      <w:szCs w:val="24"/>
      <w:lang w:val="en-US" w:eastAsia="en-US"/>
    </w:rPr>
  </w:style>
  <w:style w:type="table" w:customStyle="1" w:styleId="24">
    <w:name w:val="Table Normal1"/>
    <w:semiHidden/>
    <w:qFormat/>
    <w:uiPriority w:val="2"/>
    <w:pPr>
      <w:widowControl w:val="0"/>
    </w:pPr>
    <w:rPr>
      <w:rFonts w:ascii="Calibri" w:hAnsi="Calibri" w:eastAsia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25">
    <w:name w:val="ra"/>
    <w:qFormat/>
    <w:uiPriority w:val="0"/>
  </w:style>
  <w:style w:type="character" w:customStyle="1" w:styleId="26">
    <w:name w:val="Text bubliny Char"/>
    <w:basedOn w:val="4"/>
    <w:link w:val="6"/>
    <w:semiHidden/>
    <w:qFormat/>
    <w:uiPriority w:val="0"/>
    <w:rPr>
      <w:rFonts w:ascii="Segoe UI" w:hAnsi="Segoe UI" w:cs="Segoe UI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C05AA12-83E9-40B4-9985-3784C8C622B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MF-SR</Company>
  <Pages>7</Pages>
  <Words>2767</Words>
  <Characters>16802</Characters>
  <Lines>140</Lines>
  <Paragraphs>39</Paragraphs>
  <TotalTime>4</TotalTime>
  <ScaleCrop>false</ScaleCrop>
  <LinksUpToDate>false</LinksUpToDate>
  <CharactersWithSpaces>19530</CharactersWithSpaces>
  <Application>WPS Office_11.2.0.11486_F1E327BC-269C-435d-A152-05C5408002CA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2021-06-29T13:22:00Z</dcterms:created>
  <dc:creator>user</dc:creator>
  <cp:lastModifiedBy>asistent2</cp:lastModifiedBy>
  <cp:lastPrinted>2020-06-15T13:06:00Z</cp:lastPrinted>
  <dcterms:modified xsi:type="dcterms:W3CDTF">2023-03-02T08:09:00Z</dcterms:modified>
  <dc:title>Návrh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1033-11.2.0.11486</vt:lpwstr>
  </property>
  <property fmtid="{D5CDD505-2E9C-101B-9397-08002B2CF9AE}" pid="3" name="ICV">
    <vt:lpwstr>55622FCF1BE142FD87CECA368FA05110</vt:lpwstr>
  </property>
</Properties>
</file>