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A3" w:rsidRDefault="00C236A3">
      <w:pPr>
        <w:pStyle w:val="Zkladntext"/>
        <w:tabs>
          <w:tab w:val="left" w:pos="6368"/>
        </w:tabs>
        <w:spacing w:before="62"/>
        <w:ind w:left="30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.3pt;margin-top:.5pt;width:135.5pt;height:17.05pt;z-index:251659264;mso-position-horizontal-relative:page" filled="f" strokeweight=".48pt">
            <v:textbox inset="0,0,0,0">
              <w:txbxContent>
                <w:p w:rsidR="00C236A3" w:rsidRDefault="00A10DA1">
                  <w:pPr>
                    <w:pStyle w:val="Zkladntext"/>
                    <w:spacing w:before="47"/>
                    <w:ind w:left="64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220.95pt;margin-top:.25pt;width:139.35pt;height:17.5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C236A3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347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6 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4 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6</w:t>
                        </w:r>
                      </w:p>
                    </w:tc>
                  </w:tr>
                </w:tbl>
                <w:p w:rsidR="00C236A3" w:rsidRDefault="00C236A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93.65pt;margin-top:.25pt;width:172.75pt;height:17.5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3"/>
                    <w:gridCol w:w="343"/>
                    <w:gridCol w:w="345"/>
                    <w:gridCol w:w="343"/>
                    <w:gridCol w:w="344"/>
                    <w:gridCol w:w="346"/>
                    <w:gridCol w:w="344"/>
                    <w:gridCol w:w="344"/>
                    <w:gridCol w:w="346"/>
                    <w:gridCol w:w="344"/>
                  </w:tblGrid>
                  <w:tr w:rsidR="00C236A3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2                    </w:t>
                        </w:r>
                      </w:p>
                    </w:tc>
                    <w:tc>
                      <w:tcPr>
                        <w:tcW w:w="343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344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5</w:t>
                        </w:r>
                      </w:p>
                    </w:tc>
                    <w:tc>
                      <w:tcPr>
                        <w:tcW w:w="344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3</w:t>
                        </w:r>
                      </w:p>
                    </w:tc>
                    <w:tc>
                      <w:tcPr>
                        <w:tcW w:w="344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344" w:type="dxa"/>
                      </w:tcPr>
                      <w:p w:rsidR="00C236A3" w:rsidRDefault="00CB15B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</w:tr>
                </w:tbl>
                <w:p w:rsidR="00C236A3" w:rsidRDefault="00C236A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10DA1">
        <w:t>IČO</w:t>
      </w:r>
      <w:r w:rsidR="00A10DA1">
        <w:tab/>
        <w:t>DIČ</w:t>
      </w:r>
    </w:p>
    <w:p w:rsidR="00C236A3" w:rsidRDefault="00C236A3">
      <w:pPr>
        <w:pStyle w:val="Zkladntext"/>
        <w:rPr>
          <w:sz w:val="20"/>
        </w:rPr>
      </w:pPr>
    </w:p>
    <w:p w:rsidR="00C236A3" w:rsidRDefault="00C236A3">
      <w:pPr>
        <w:pStyle w:val="Zkladntext"/>
        <w:spacing w:before="1"/>
        <w:rPr>
          <w:sz w:val="17"/>
        </w:rPr>
      </w:pPr>
    </w:p>
    <w:p w:rsidR="00C236A3" w:rsidRDefault="00A10DA1">
      <w:pPr>
        <w:pStyle w:val="Heading1"/>
        <w:spacing w:before="90"/>
        <w:ind w:right="2084"/>
      </w:pPr>
      <w:r>
        <w:t>Čl. I</w:t>
      </w:r>
    </w:p>
    <w:p w:rsidR="00C236A3" w:rsidRDefault="00A10DA1">
      <w:pPr>
        <w:ind w:left="1248" w:right="2086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C236A3" w:rsidRDefault="00C236A3">
      <w:pPr>
        <w:pStyle w:val="Zkladntext"/>
        <w:spacing w:before="6"/>
        <w:rPr>
          <w:b/>
          <w:sz w:val="21"/>
        </w:rPr>
      </w:pPr>
    </w:p>
    <w:p w:rsidR="00C236A3" w:rsidRDefault="00CB15B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 xml:space="preserve">Ego </w:t>
      </w:r>
      <w:proofErr w:type="spellStart"/>
      <w:r>
        <w:rPr>
          <w:sz w:val="24"/>
        </w:rPr>
        <w:t>Repair</w:t>
      </w:r>
      <w:proofErr w:type="spellEnd"/>
      <w:r>
        <w:rPr>
          <w:sz w:val="24"/>
        </w:rPr>
        <w:t xml:space="preserve"> s.r.o., </w:t>
      </w:r>
      <w:proofErr w:type="spellStart"/>
      <w:r>
        <w:rPr>
          <w:sz w:val="24"/>
        </w:rPr>
        <w:t>Jablonková</w:t>
      </w:r>
      <w:proofErr w:type="spellEnd"/>
      <w:r>
        <w:rPr>
          <w:sz w:val="24"/>
        </w:rPr>
        <w:t xml:space="preserve"> 1084/22, 075 01 Trebišov</w:t>
      </w:r>
      <w:r w:rsidR="00A10DA1">
        <w:rPr>
          <w:sz w:val="24"/>
        </w:rPr>
        <w:t>.</w:t>
      </w:r>
    </w:p>
    <w:p w:rsidR="00C236A3" w:rsidRDefault="00C236A3">
      <w:pPr>
        <w:pStyle w:val="Zkladntext"/>
      </w:pP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Priemerný prepočítaný počet</w:t>
      </w:r>
      <w:r>
        <w:rPr>
          <w:spacing w:val="-10"/>
          <w:sz w:val="24"/>
        </w:rPr>
        <w:t xml:space="preserve"> </w:t>
      </w:r>
      <w:r>
        <w:rPr>
          <w:sz w:val="24"/>
        </w:rPr>
        <w:t>zamestnancov</w:t>
      </w:r>
      <w:r w:rsidR="00CB15BE">
        <w:rPr>
          <w:sz w:val="24"/>
        </w:rPr>
        <w:t xml:space="preserve"> -  0</w:t>
      </w:r>
      <w:r>
        <w:rPr>
          <w:sz w:val="24"/>
        </w:rPr>
        <w:t>.</w:t>
      </w:r>
    </w:p>
    <w:p w:rsidR="00C236A3" w:rsidRDefault="00C236A3">
      <w:pPr>
        <w:pStyle w:val="Zkladntext"/>
        <w:spacing w:before="5"/>
      </w:pPr>
    </w:p>
    <w:p w:rsidR="00C236A3" w:rsidRDefault="00A10DA1">
      <w:pPr>
        <w:pStyle w:val="Heading1"/>
        <w:ind w:left="1249" w:right="2086"/>
      </w:pPr>
      <w:r>
        <w:t>Čl. II</w:t>
      </w:r>
    </w:p>
    <w:p w:rsidR="00C236A3" w:rsidRDefault="00A10DA1">
      <w:pPr>
        <w:spacing w:before="1"/>
        <w:ind w:left="1250" w:right="2084"/>
        <w:jc w:val="center"/>
        <w:rPr>
          <w:b/>
          <w:sz w:val="24"/>
        </w:rPr>
      </w:pPr>
      <w:r>
        <w:rPr>
          <w:b/>
          <w:sz w:val="24"/>
        </w:rPr>
        <w:t>Informácie o prijatých postupoch</w:t>
      </w:r>
    </w:p>
    <w:p w:rsidR="00C236A3" w:rsidRDefault="00C236A3">
      <w:pPr>
        <w:pStyle w:val="Zkladntext"/>
        <w:spacing w:before="6"/>
        <w:rPr>
          <w:b/>
          <w:sz w:val="23"/>
        </w:rPr>
      </w:pPr>
    </w:p>
    <w:p w:rsidR="00CB15BE" w:rsidRDefault="00A10DA1">
      <w:pPr>
        <w:pStyle w:val="Odsekzoznamu"/>
        <w:numPr>
          <w:ilvl w:val="0"/>
          <w:numId w:val="2"/>
        </w:numPr>
        <w:tabs>
          <w:tab w:val="left" w:pos="829"/>
        </w:tabs>
        <w:ind w:right="958"/>
        <w:jc w:val="both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</w:t>
      </w:r>
      <w:r>
        <w:rPr>
          <w:spacing w:val="-4"/>
          <w:sz w:val="24"/>
        </w:rPr>
        <w:t xml:space="preserve"> </w:t>
      </w:r>
      <w:r>
        <w:rPr>
          <w:sz w:val="24"/>
        </w:rPr>
        <w:t>činnosti</w:t>
      </w:r>
      <w:r w:rsidR="00CB15BE">
        <w:rPr>
          <w:sz w:val="24"/>
        </w:rPr>
        <w:t xml:space="preserve">  </w:t>
      </w:r>
    </w:p>
    <w:p w:rsidR="00C236A3" w:rsidRDefault="00CB15BE" w:rsidP="00CB15BE">
      <w:pPr>
        <w:pStyle w:val="Odsekzoznamu"/>
        <w:numPr>
          <w:ilvl w:val="0"/>
          <w:numId w:val="4"/>
        </w:numPr>
        <w:tabs>
          <w:tab w:val="left" w:pos="829"/>
        </w:tabs>
        <w:ind w:right="958"/>
        <w:jc w:val="left"/>
        <w:rPr>
          <w:sz w:val="24"/>
        </w:rPr>
      </w:pPr>
      <w:r>
        <w:rPr>
          <w:sz w:val="24"/>
        </w:rPr>
        <w:t>Účtovná jednotka bude nepretržite pokračovať vo svojej činnosti</w:t>
      </w:r>
      <w:r w:rsidR="00A10DA1">
        <w:rPr>
          <w:sz w:val="24"/>
        </w:rPr>
        <w:t>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 xml:space="preserve">dlhodobého nehmotného majetku, dlhodobého hmotného majetku a </w:t>
      </w:r>
      <w:r>
        <w:rPr>
          <w:spacing w:val="-3"/>
          <w:sz w:val="24"/>
        </w:rPr>
        <w:t xml:space="preserve">dlhodobého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4"/>
          <w:sz w:val="24"/>
        </w:rPr>
        <w:t xml:space="preserve"> </w:t>
      </w:r>
      <w:r>
        <w:rPr>
          <w:sz w:val="24"/>
        </w:rPr>
        <w:t>činnosťou,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majetku,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>
        <w:rPr>
          <w:spacing w:val="-2"/>
          <w:sz w:val="24"/>
        </w:rPr>
        <w:t xml:space="preserve"> </w:t>
      </w:r>
      <w:r>
        <w:rPr>
          <w:sz w:val="24"/>
        </w:rPr>
        <w:t>úverov,</w:t>
      </w:r>
    </w:p>
    <w:p w:rsidR="00C236A3" w:rsidRDefault="00A10DA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1"/>
          <w:sz w:val="24"/>
        </w:rPr>
        <w:t xml:space="preserve"> </w:t>
      </w:r>
      <w:r>
        <w:rPr>
          <w:sz w:val="24"/>
        </w:rPr>
        <w:t>operácií.</w:t>
      </w:r>
    </w:p>
    <w:p w:rsidR="00CB15BE" w:rsidRPr="00CB15BE" w:rsidRDefault="00CB15BE" w:rsidP="00CB15BE">
      <w:pPr>
        <w:tabs>
          <w:tab w:val="left" w:pos="1397"/>
          <w:tab w:val="left" w:pos="1398"/>
        </w:tabs>
        <w:spacing w:before="1"/>
        <w:ind w:left="827"/>
        <w:rPr>
          <w:sz w:val="24"/>
        </w:rPr>
      </w:pPr>
      <w:r>
        <w:rPr>
          <w:sz w:val="24"/>
        </w:rPr>
        <w:t xml:space="preserve">Oceňovanie majetku je obstarávacou cenou. 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2"/>
        </w:numPr>
        <w:tabs>
          <w:tab w:val="left" w:pos="829"/>
        </w:tabs>
        <w:ind w:right="956"/>
        <w:jc w:val="both"/>
        <w:rPr>
          <w:sz w:val="24"/>
        </w:rPr>
      </w:pPr>
      <w:r>
        <w:rPr>
          <w:sz w:val="24"/>
        </w:rPr>
        <w:t xml:space="preserve">Spôsob zostavenia odpisového plánu pre jednotlivé druhy dlhodobého hmotného majetku  a dlhodobého nehmotného majetku, pričom sa uvádza doba odpisovania, použité sadzby </w:t>
      </w:r>
      <w:r>
        <w:rPr>
          <w:sz w:val="24"/>
        </w:rPr>
        <w:t>odpisov a odpisové metódy pri určení</w:t>
      </w:r>
      <w:r>
        <w:rPr>
          <w:spacing w:val="-8"/>
          <w:sz w:val="24"/>
        </w:rPr>
        <w:t xml:space="preserve"> </w:t>
      </w:r>
      <w:r w:rsidR="00CB15BE">
        <w:rPr>
          <w:sz w:val="24"/>
        </w:rPr>
        <w:t>odpisov</w:t>
      </w:r>
    </w:p>
    <w:p w:rsidR="00CB15BE" w:rsidRPr="00CB15BE" w:rsidRDefault="00CB15BE" w:rsidP="0090526B">
      <w:pPr>
        <w:pStyle w:val="Odsekzoznamu"/>
        <w:widowControl/>
        <w:autoSpaceDE/>
        <w:autoSpaceDN/>
        <w:ind w:left="828" w:firstLine="0"/>
        <w:rPr>
          <w:sz w:val="24"/>
          <w:szCs w:val="24"/>
          <w:lang w:bidi="ar-SA"/>
        </w:rPr>
      </w:pPr>
      <w:r w:rsidRPr="00CB15BE">
        <w:rPr>
          <w:sz w:val="24"/>
          <w:szCs w:val="24"/>
          <w:lang w:bidi="ar-SA"/>
        </w:rPr>
        <w:t>v 1. odpisovej skupine -   4 roky</w:t>
      </w:r>
    </w:p>
    <w:p w:rsidR="00CB15BE" w:rsidRPr="0090526B" w:rsidRDefault="0090526B" w:rsidP="0090526B">
      <w:pPr>
        <w:widowControl/>
        <w:autoSpaceDE/>
        <w:autoSpaceDN/>
        <w:ind w:firstLine="720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</w:t>
      </w:r>
      <w:r w:rsidR="00CB15BE" w:rsidRPr="0090526B">
        <w:rPr>
          <w:sz w:val="24"/>
          <w:szCs w:val="24"/>
          <w:lang w:bidi="ar-SA"/>
        </w:rPr>
        <w:t>v 2. odpisovej skupine -   6 rokov</w:t>
      </w:r>
    </w:p>
    <w:p w:rsidR="00CB15BE" w:rsidRPr="00CB15BE" w:rsidRDefault="00CB15BE" w:rsidP="0090526B">
      <w:pPr>
        <w:pStyle w:val="Odsekzoznamu"/>
        <w:widowControl/>
        <w:autoSpaceDE/>
        <w:autoSpaceDN/>
        <w:ind w:left="828" w:firstLine="0"/>
        <w:rPr>
          <w:sz w:val="24"/>
          <w:szCs w:val="24"/>
          <w:lang w:bidi="ar-SA"/>
        </w:rPr>
      </w:pPr>
      <w:r w:rsidRPr="00CB15BE">
        <w:rPr>
          <w:sz w:val="24"/>
          <w:szCs w:val="24"/>
          <w:lang w:bidi="ar-SA"/>
        </w:rPr>
        <w:t>v 3. odpisovej skupine -   8 rokov</w:t>
      </w:r>
    </w:p>
    <w:p w:rsidR="00CB15BE" w:rsidRPr="00CB15BE" w:rsidRDefault="00CB15BE" w:rsidP="0090526B">
      <w:pPr>
        <w:pStyle w:val="Odsekzoznamu"/>
        <w:widowControl/>
        <w:autoSpaceDE/>
        <w:autoSpaceDN/>
        <w:ind w:left="828" w:firstLine="0"/>
        <w:rPr>
          <w:sz w:val="24"/>
          <w:szCs w:val="24"/>
          <w:lang w:bidi="ar-SA"/>
        </w:rPr>
      </w:pPr>
      <w:r w:rsidRPr="00CB15BE">
        <w:rPr>
          <w:sz w:val="24"/>
          <w:szCs w:val="24"/>
          <w:lang w:bidi="ar-SA"/>
        </w:rPr>
        <w:t>v 4. odpisovej skupine - 12 rokov</w:t>
      </w:r>
    </w:p>
    <w:p w:rsidR="00CB15BE" w:rsidRPr="00CB15BE" w:rsidRDefault="00CB15BE" w:rsidP="0090526B">
      <w:pPr>
        <w:pStyle w:val="Odsekzoznamu"/>
        <w:widowControl/>
        <w:autoSpaceDE/>
        <w:autoSpaceDN/>
        <w:ind w:left="828" w:firstLine="0"/>
        <w:rPr>
          <w:sz w:val="24"/>
          <w:szCs w:val="24"/>
          <w:lang w:bidi="ar-SA"/>
        </w:rPr>
      </w:pPr>
      <w:r w:rsidRPr="00CB15BE">
        <w:rPr>
          <w:sz w:val="24"/>
          <w:szCs w:val="24"/>
          <w:lang w:bidi="ar-SA"/>
        </w:rPr>
        <w:t>v 5. odpisovej skupine - 20 rokov</w:t>
      </w:r>
    </w:p>
    <w:p w:rsidR="00CB15BE" w:rsidRPr="00CB15BE" w:rsidRDefault="00CB15BE" w:rsidP="0090526B">
      <w:pPr>
        <w:pStyle w:val="Odsekzoznamu"/>
        <w:widowControl/>
        <w:autoSpaceDE/>
        <w:autoSpaceDN/>
        <w:ind w:left="828" w:firstLine="0"/>
        <w:rPr>
          <w:sz w:val="24"/>
          <w:szCs w:val="24"/>
          <w:lang w:bidi="ar-SA"/>
        </w:rPr>
      </w:pPr>
      <w:r w:rsidRPr="00CB15BE">
        <w:rPr>
          <w:sz w:val="24"/>
          <w:szCs w:val="24"/>
          <w:lang w:bidi="ar-SA"/>
        </w:rPr>
        <w:t>v 6. odpisovej skupine - 40 rokov</w:t>
      </w:r>
    </w:p>
    <w:p w:rsidR="00CB15BE" w:rsidRDefault="00CB15BE" w:rsidP="00CB15BE">
      <w:pPr>
        <w:pStyle w:val="Odsekzoznamu"/>
        <w:tabs>
          <w:tab w:val="left" w:pos="829"/>
        </w:tabs>
        <w:ind w:left="828" w:right="956" w:firstLine="0"/>
        <w:jc w:val="left"/>
        <w:rPr>
          <w:sz w:val="24"/>
        </w:rPr>
      </w:pPr>
    </w:p>
    <w:p w:rsidR="00C236A3" w:rsidRDefault="00C236A3">
      <w:pPr>
        <w:pStyle w:val="Zkladntext"/>
        <w:rPr>
          <w:sz w:val="20"/>
        </w:rPr>
      </w:pPr>
    </w:p>
    <w:p w:rsidR="00C236A3" w:rsidRDefault="00C236A3">
      <w:pPr>
        <w:pStyle w:val="Zkladntext"/>
        <w:rPr>
          <w:sz w:val="20"/>
        </w:rPr>
      </w:pPr>
    </w:p>
    <w:p w:rsidR="00C236A3" w:rsidRDefault="00C236A3">
      <w:pPr>
        <w:pStyle w:val="Zkladntext"/>
        <w:rPr>
          <w:sz w:val="20"/>
        </w:rPr>
      </w:pPr>
    </w:p>
    <w:p w:rsidR="00C236A3" w:rsidRDefault="00C236A3">
      <w:pPr>
        <w:pStyle w:val="Zkladntext"/>
        <w:rPr>
          <w:sz w:val="20"/>
        </w:rPr>
      </w:pPr>
    </w:p>
    <w:p w:rsidR="0090526B" w:rsidRDefault="0090526B">
      <w:pPr>
        <w:pStyle w:val="Zkladntext"/>
        <w:rPr>
          <w:sz w:val="20"/>
        </w:rPr>
      </w:pPr>
    </w:p>
    <w:p w:rsidR="0090526B" w:rsidRDefault="0090526B">
      <w:pPr>
        <w:pStyle w:val="Zkladntext"/>
        <w:rPr>
          <w:sz w:val="20"/>
        </w:rPr>
      </w:pPr>
    </w:p>
    <w:p w:rsidR="00C236A3" w:rsidRDefault="00C236A3">
      <w:pPr>
        <w:pStyle w:val="Zkladntext"/>
        <w:spacing w:before="6"/>
        <w:rPr>
          <w:sz w:val="22"/>
        </w:rPr>
      </w:pPr>
      <w:r w:rsidRPr="00C236A3">
        <w:pict>
          <v:shape id="_x0000_s1026" style="position:absolute;margin-left:51pt;margin-top:15.2pt;width:144.05pt;height:.1pt;z-index:-251658240;mso-wrap-distance-left:0;mso-wrap-distance-right:0;mso-position-horizontal-relative:page" coordorigin="1020,304" coordsize="2881,0" path="m1020,304r2880,e" filled="f" strokeweight=".6pt">
            <v:path arrowok="t"/>
            <w10:wrap type="topAndBottom" anchorx="page"/>
          </v:shape>
        </w:pict>
      </w:r>
    </w:p>
    <w:p w:rsidR="00C236A3" w:rsidRDefault="00A10DA1">
      <w:pPr>
        <w:pStyle w:val="Zkladntext"/>
        <w:spacing w:before="58"/>
        <w:ind w:left="120" w:right="955"/>
        <w:jc w:val="both"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 xml:space="preserve">) </w:t>
      </w:r>
      <w:r>
        <w:t>Nariadenie Európskeho parlamentu a Rady (ES) č. 1606/2002 z 19. júla 2002 o uplatňovaní medzinárodných účtovných noriem (Mimoriadne vydanie Ú. v. EÚ, kap. 13/zv. 29) v znení nariadenia Európskeho parlamentu a Rady (ES) č. 297/2008 z 11. marca 2008 (Ú. v. E</w:t>
      </w:r>
      <w:r>
        <w:t>Ú L 97, 9. 4. 2008).</w:t>
      </w:r>
    </w:p>
    <w:p w:rsidR="00C236A3" w:rsidRDefault="00A10DA1">
      <w:pPr>
        <w:pStyle w:val="Zkladntext"/>
        <w:ind w:left="120" w:right="959"/>
        <w:jc w:val="both"/>
      </w:pPr>
      <w: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C236A3" w:rsidRDefault="00C236A3">
      <w:pPr>
        <w:pStyle w:val="Zkladntext"/>
        <w:spacing w:before="1"/>
        <w:rPr>
          <w:sz w:val="18"/>
        </w:rPr>
      </w:pPr>
    </w:p>
    <w:p w:rsidR="00C236A3" w:rsidRDefault="00A10DA1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jc w:val="both"/>
        <w:rPr>
          <w:sz w:val="24"/>
        </w:rPr>
      </w:pPr>
      <w:r>
        <w:rPr>
          <w:sz w:val="24"/>
        </w:rPr>
        <w:lastRenderedPageBreak/>
        <w:t>Zmeny účtovných  zásad  a zmeny  účtovných  metód  s uvedením  dôvodu  týchto  zmien a vyčíslením ich  vplyvu  na  finančnú  hodnotu  majetku,  záväzkov,  základného  imania  a výsledku hospodárenia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 o d</w:t>
      </w:r>
      <w:r>
        <w:rPr>
          <w:sz w:val="24"/>
        </w:rPr>
        <w:t>otáciách a ich oceňovanie v</w:t>
      </w:r>
      <w:r>
        <w:rPr>
          <w:spacing w:val="-7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:rsidR="00C236A3" w:rsidRDefault="00C236A3">
      <w:pPr>
        <w:pStyle w:val="Zkladntext"/>
        <w:spacing w:before="10"/>
        <w:rPr>
          <w:sz w:val="21"/>
        </w:rPr>
      </w:pPr>
    </w:p>
    <w:p w:rsidR="00C236A3" w:rsidRDefault="00A10DA1">
      <w:pPr>
        <w:pStyle w:val="Odsekzoznamu"/>
        <w:numPr>
          <w:ilvl w:val="0"/>
          <w:numId w:val="2"/>
        </w:numPr>
        <w:tabs>
          <w:tab w:val="left" w:pos="829"/>
        </w:tabs>
        <w:ind w:right="952"/>
        <w:jc w:val="both"/>
        <w:rPr>
          <w:sz w:val="24"/>
        </w:rPr>
      </w:pPr>
      <w:r>
        <w:rPr>
          <w:sz w:val="24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</w:t>
      </w:r>
      <w:r>
        <w:rPr>
          <w:sz w:val="24"/>
        </w:rPr>
        <w:t>účtovanie nevýznamných chýb minulých účtovných období v bežnom účtovnom období s uvedením vplyvu na výsledok hospodárenia bežného účtovného</w:t>
      </w:r>
      <w:r>
        <w:rPr>
          <w:spacing w:val="-2"/>
          <w:sz w:val="24"/>
        </w:rPr>
        <w:t xml:space="preserve"> </w:t>
      </w:r>
      <w:r>
        <w:rPr>
          <w:sz w:val="24"/>
        </w:rPr>
        <w:t>obdobia.</w:t>
      </w:r>
    </w:p>
    <w:p w:rsidR="00C236A3" w:rsidRDefault="00C236A3">
      <w:pPr>
        <w:pStyle w:val="Zkladntext"/>
        <w:spacing w:before="6"/>
      </w:pPr>
    </w:p>
    <w:p w:rsidR="00C236A3" w:rsidRDefault="00A10DA1">
      <w:pPr>
        <w:pStyle w:val="Heading1"/>
        <w:ind w:right="2085"/>
      </w:pPr>
      <w:r>
        <w:t>Čl. III</w:t>
      </w:r>
    </w:p>
    <w:p w:rsidR="00C236A3" w:rsidRDefault="00A10DA1">
      <w:pPr>
        <w:ind w:left="1250" w:right="208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 strát</w:t>
      </w:r>
    </w:p>
    <w:p w:rsidR="00C236A3" w:rsidRDefault="00C236A3">
      <w:pPr>
        <w:pStyle w:val="Zkladntext"/>
        <w:spacing w:before="6"/>
        <w:rPr>
          <w:b/>
          <w:sz w:val="23"/>
        </w:rPr>
      </w:pPr>
    </w:p>
    <w:p w:rsidR="00C236A3" w:rsidRDefault="00A10DA1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jc w:val="both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rPr>
          <w:sz w:val="24"/>
        </w:rPr>
        <w:t>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 to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6"/>
          <w:sz w:val="24"/>
        </w:rPr>
        <w:t xml:space="preserve"> </w:t>
      </w:r>
      <w:r>
        <w:rPr>
          <w:sz w:val="24"/>
        </w:rPr>
        <w:t>rokov,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zabezpečených záväzkov, opis a spôsoby zabezpečenia</w:t>
      </w:r>
      <w:r>
        <w:rPr>
          <w:spacing w:val="-8"/>
          <w:sz w:val="24"/>
        </w:rPr>
        <w:t xml:space="preserve"> </w:t>
      </w:r>
      <w:r>
        <w:rPr>
          <w:sz w:val="24"/>
        </w:rPr>
        <w:t>záväzkov.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dôvode nadobudnutia vlas</w:t>
      </w:r>
      <w:r>
        <w:rPr>
          <w:sz w:val="24"/>
        </w:rPr>
        <w:t>tných akcií počas účtovného</w:t>
      </w:r>
      <w:r>
        <w:rPr>
          <w:spacing w:val="-4"/>
          <w:sz w:val="24"/>
        </w:rPr>
        <w:t xml:space="preserve"> </w:t>
      </w:r>
      <w:r>
        <w:rPr>
          <w:sz w:val="24"/>
        </w:rPr>
        <w:t>obdobia,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informáciách, ktorými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jc w:val="both"/>
        <w:rPr>
          <w:sz w:val="24"/>
        </w:rPr>
      </w:pPr>
      <w:r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</w:t>
      </w:r>
      <w:r>
        <w:rPr>
          <w:sz w:val="24"/>
        </w:rPr>
        <w:t>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>imaní,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jc w:val="both"/>
        <w:rPr>
          <w:sz w:val="24"/>
        </w:rPr>
      </w:pPr>
      <w:r>
        <w:rPr>
          <w:sz w:val="24"/>
        </w:rPr>
        <w:t>počet a hodnota, za ktorú sa vlastné akcie počas  účtovného obdobia nadobudli  a počet a hodnota, za ktorú sa vlastné akcie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>osobu,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jc w:val="both"/>
        <w:rPr>
          <w:sz w:val="24"/>
        </w:rPr>
      </w:pPr>
      <w:r>
        <w:rPr>
          <w:sz w:val="24"/>
        </w:rPr>
        <w:t>počte, menovitej hodnote a ho</w:t>
      </w:r>
      <w:r>
        <w:rPr>
          <w:sz w:val="24"/>
        </w:rPr>
        <w:t>dnote, za ktorú sa vlastné akcie nadobudli a ktoré účtovná jednotka má v držbe k poslednému dňu účtovného obdobia;  uvádza  sa aj ich percentuálny podiel na upísanom základnom</w:t>
      </w:r>
      <w:r>
        <w:rPr>
          <w:spacing w:val="-6"/>
          <w:sz w:val="24"/>
        </w:rPr>
        <w:t xml:space="preserve"> </w:t>
      </w:r>
      <w:r>
        <w:rPr>
          <w:sz w:val="24"/>
        </w:rPr>
        <w:t>imaní.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 o orgánoch účtovnej jednotky, a to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4"/>
        <w:jc w:val="both"/>
        <w:rPr>
          <w:sz w:val="24"/>
        </w:rPr>
      </w:pPr>
      <w:r>
        <w:rPr>
          <w:sz w:val="24"/>
        </w:rPr>
        <w:t>výške jednotlivých druhov záruk alebo iných zabezpečení poskytnutých pre členov štatutárneho orgánu,  dozorného  orgánu  a  iného  orgánu  účtovnej  jednotky,  a to  v členení za jednotlivé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3"/>
        <w:jc w:val="both"/>
        <w:rPr>
          <w:sz w:val="24"/>
        </w:rPr>
      </w:pPr>
      <w:r>
        <w:rPr>
          <w:sz w:val="24"/>
        </w:rPr>
        <w:t>pôžičkách poskytnutých členom štatutárneho orgánu, dozorné</w:t>
      </w:r>
      <w:r>
        <w:rPr>
          <w:sz w:val="24"/>
        </w:rPr>
        <w:t>ho orgánu a iného orgánu účtovnej jednotky 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jc w:val="both"/>
        <w:rPr>
          <w:sz w:val="24"/>
        </w:rPr>
      </w:pPr>
      <w:r>
        <w:rPr>
          <w:sz w:val="24"/>
        </w:rPr>
        <w:t>celková suma poskytnutých  pôžičiek  k poslednému  dňu  účtovného  obdobia  v členení za jednotlivé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orgány,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jc w:val="both"/>
        <w:rPr>
          <w:sz w:val="24"/>
        </w:rPr>
      </w:pPr>
      <w:r>
        <w:rPr>
          <w:sz w:val="24"/>
        </w:rPr>
        <w:t>celková  suma  splatených  pôžičiek   k poslednému  dňu  účtovného  obdobia    v členení za jednotli</w:t>
      </w:r>
      <w:r>
        <w:rPr>
          <w:sz w:val="24"/>
        </w:rPr>
        <w:t>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orgány,</w:t>
      </w:r>
    </w:p>
    <w:p w:rsidR="00C236A3" w:rsidRDefault="00C236A3">
      <w:pPr>
        <w:jc w:val="both"/>
        <w:rPr>
          <w:sz w:val="24"/>
        </w:rPr>
        <w:sectPr w:rsidR="00C236A3">
          <w:footerReference w:type="default" r:id="rId7"/>
          <w:pgSz w:w="11910" w:h="16850"/>
          <w:pgMar w:top="1340" w:right="460" w:bottom="840" w:left="900" w:header="0" w:footer="640" w:gutter="0"/>
          <w:pgNumType w:start="8"/>
          <w:cols w:space="708"/>
        </w:sectPr>
      </w:pP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jc w:val="both"/>
        <w:rPr>
          <w:sz w:val="24"/>
        </w:rPr>
      </w:pPr>
      <w:r>
        <w:rPr>
          <w:sz w:val="24"/>
        </w:rPr>
        <w:lastRenderedPageBreak/>
        <w:t>celková suma odpustených pôžičiek a odpísaných pôžičiek k poslednému dňu účtovného obdobia v členení za jednotlivé</w:t>
      </w:r>
      <w:r>
        <w:rPr>
          <w:spacing w:val="-4"/>
          <w:sz w:val="24"/>
        </w:rPr>
        <w:t xml:space="preserve"> </w:t>
      </w:r>
      <w:r>
        <w:rPr>
          <w:sz w:val="24"/>
        </w:rPr>
        <w:t>orgány,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6"/>
        <w:jc w:val="both"/>
        <w:rPr>
          <w:sz w:val="24"/>
        </w:rPr>
      </w:pPr>
      <w:r>
        <w:rPr>
          <w:sz w:val="24"/>
        </w:rPr>
        <w:t>hlavných podmienkach, na základe ktorých im boli záruky alebo iné zabezpečenie a pôžičky poskytnuté; pri pôžičkách sa uvádzajú úrokové</w:t>
      </w:r>
      <w:r>
        <w:rPr>
          <w:spacing w:val="-9"/>
          <w:sz w:val="24"/>
        </w:rPr>
        <w:t xml:space="preserve"> </w:t>
      </w:r>
      <w:r>
        <w:rPr>
          <w:sz w:val="24"/>
        </w:rPr>
        <w:t>sadzby,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</w:t>
      </w:r>
      <w:r>
        <w:rPr>
          <w:sz w:val="24"/>
        </w:rPr>
        <w:t xml:space="preserve"> dozorného orgánu a iného orgánu účtovnej jednotky, ktoré je potrebné</w:t>
      </w:r>
      <w:r>
        <w:rPr>
          <w:spacing w:val="-5"/>
          <w:sz w:val="24"/>
        </w:rPr>
        <w:t xml:space="preserve"> </w:t>
      </w:r>
      <w:r>
        <w:rPr>
          <w:sz w:val="24"/>
        </w:rPr>
        <w:t>vyúčtovať.</w:t>
      </w:r>
    </w:p>
    <w:p w:rsidR="00C236A3" w:rsidRDefault="00C236A3">
      <w:pPr>
        <w:pStyle w:val="Zkladntext"/>
      </w:pPr>
    </w:p>
    <w:p w:rsidR="00C236A3" w:rsidRDefault="00A10DA1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 o povinnostiach účtovnej jednotky,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3"/>
        <w:jc w:val="both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</w:t>
      </w:r>
      <w:r>
        <w:rPr>
          <w:sz w:val="24"/>
        </w:rPr>
        <w:t xml:space="preserve">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</w:t>
      </w:r>
      <w:r>
        <w:rPr>
          <w:sz w:val="24"/>
        </w:rPr>
        <w:t>ku za celé zostávajúce obdobie platnosti</w:t>
      </w:r>
      <w:r>
        <w:rPr>
          <w:spacing w:val="-2"/>
          <w:sz w:val="24"/>
        </w:rPr>
        <w:t xml:space="preserve"> </w:t>
      </w:r>
      <w:r>
        <w:rPr>
          <w:sz w:val="24"/>
        </w:rPr>
        <w:t>zmluvy,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jc w:val="both"/>
        <w:rPr>
          <w:sz w:val="24"/>
        </w:rPr>
      </w:pPr>
      <w:r>
        <w:rPr>
          <w:sz w:val="24"/>
        </w:rPr>
        <w:t>celkovej sume významných podmienených záväzkov, ktorými sa</w:t>
      </w:r>
      <w:r>
        <w:rPr>
          <w:spacing w:val="-5"/>
          <w:sz w:val="24"/>
        </w:rPr>
        <w:t xml:space="preserve"> </w:t>
      </w:r>
      <w:r>
        <w:rPr>
          <w:sz w:val="24"/>
        </w:rPr>
        <w:t>rozumie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jc w:val="both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</w:t>
      </w:r>
      <w:r>
        <w:rPr>
          <w:sz w:val="24"/>
        </w:rPr>
        <w:t xml:space="preserve"> neistých udalostí v budúcnosti, ktorých vznik nezávisí od účtovnej jednotky,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C236A3" w:rsidRDefault="00A10DA1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jc w:val="both"/>
        <w:rPr>
          <w:sz w:val="24"/>
        </w:rPr>
      </w:pPr>
      <w:r>
        <w:rPr>
          <w:sz w:val="24"/>
        </w:rPr>
        <w:t>existujúca povinnosť, ktorá vznikla ako dôsledok minulej udalosti, ale ktorá sa nevykazuje v súvahe,</w:t>
      </w:r>
      <w:r>
        <w:rPr>
          <w:spacing w:val="-1"/>
          <w:sz w:val="24"/>
        </w:rPr>
        <w:t xml:space="preserve"> </w:t>
      </w:r>
      <w:r>
        <w:rPr>
          <w:sz w:val="24"/>
        </w:rPr>
        <w:t>pretože</w:t>
      </w:r>
    </w:p>
    <w:p w:rsidR="00C236A3" w:rsidRDefault="00A10DA1">
      <w:pPr>
        <w:pStyle w:val="Zkladntext"/>
        <w:ind w:left="2246" w:right="960" w:hanging="425"/>
        <w:jc w:val="both"/>
      </w:pPr>
      <w:r>
        <w:t xml:space="preserve">2a. nie je pravdepodobné, že na splnenie tejto povinnosti bude </w:t>
      </w:r>
      <w:r>
        <w:t>potrebný úbytok ekonomických úžitkov, alebo</w:t>
      </w:r>
    </w:p>
    <w:p w:rsidR="00C236A3" w:rsidRDefault="00A10DA1">
      <w:pPr>
        <w:pStyle w:val="Zkladntext"/>
        <w:ind w:left="1822"/>
        <w:jc w:val="both"/>
      </w:pPr>
      <w:r>
        <w:t>2b. výška tejto povinnosti sa nedá spoľahlivo oceniť,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opise významných finančných povinností a významných podmienených</w:t>
      </w:r>
      <w:r>
        <w:rPr>
          <w:spacing w:val="-4"/>
          <w:sz w:val="24"/>
        </w:rPr>
        <w:t xml:space="preserve"> </w:t>
      </w:r>
      <w:r>
        <w:rPr>
          <w:sz w:val="24"/>
        </w:rPr>
        <w:t>záväzkov,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 účtovnej jednotke s podstatným vplyvom,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>
        <w:rPr>
          <w:sz w:val="24"/>
        </w:rPr>
        <w:t>opise významných povinností účtovnej jednotky vyplývajúcich z dôchodkových programov pre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</w:t>
      </w:r>
      <w:r>
        <w:rPr>
          <w:sz w:val="24"/>
        </w:rPr>
        <w:t>ov.</w:t>
      </w:r>
    </w:p>
    <w:p w:rsidR="00C236A3" w:rsidRDefault="00C236A3">
      <w:pPr>
        <w:pStyle w:val="Zkladntext"/>
        <w:spacing w:before="5"/>
      </w:pPr>
    </w:p>
    <w:p w:rsidR="00C236A3" w:rsidRDefault="00A10DA1">
      <w:pPr>
        <w:pStyle w:val="Heading1"/>
        <w:numPr>
          <w:ilvl w:val="0"/>
          <w:numId w:val="1"/>
        </w:numPr>
        <w:tabs>
          <w:tab w:val="left" w:pos="829"/>
        </w:tabs>
        <w:ind w:right="959"/>
        <w:jc w:val="both"/>
      </w:pP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</w:t>
      </w:r>
      <w:r>
        <w:t>ie</w:t>
      </w:r>
      <w:r>
        <w:rPr>
          <w:spacing w:val="-1"/>
        </w:rPr>
        <w:t xml:space="preserve"> </w:t>
      </w:r>
      <w:r>
        <w:t>o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 formách prijatej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náhrady,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 zásadách použitých pri prideľovaní nákladov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výnosov,</w:t>
      </w:r>
    </w:p>
    <w:p w:rsidR="00C236A3" w:rsidRDefault="00A10DA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všetkých druhoch činností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jednotky.</w:t>
      </w:r>
    </w:p>
    <w:sectPr w:rsidR="00C236A3" w:rsidSect="00C236A3"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A1" w:rsidRDefault="00A10DA1" w:rsidP="00C236A3">
      <w:r>
        <w:separator/>
      </w:r>
    </w:p>
  </w:endnote>
  <w:endnote w:type="continuationSeparator" w:id="0">
    <w:p w:rsidR="00A10DA1" w:rsidRDefault="00A10DA1" w:rsidP="00C23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6A3" w:rsidRDefault="00C236A3">
    <w:pPr>
      <w:pStyle w:val="Zkladntext"/>
      <w:spacing w:line="14" w:lineRule="auto"/>
      <w:rPr>
        <w:sz w:val="20"/>
      </w:rPr>
    </w:pPr>
    <w:r w:rsidRPr="00C236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799.05pt;width:43.6pt;height:15.3pt;z-index:-251658752;mso-position-horizontal-relative:page;mso-position-vertical-relative:page" filled="f" stroked="f">
          <v:textbox inset="0,0,0,0">
            <w:txbxContent>
              <w:p w:rsidR="00C236A3" w:rsidRDefault="00C236A3">
                <w:pPr>
                  <w:pStyle w:val="Zkladntext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A1" w:rsidRDefault="00A10DA1" w:rsidP="00C236A3">
      <w:r>
        <w:separator/>
      </w:r>
    </w:p>
  </w:footnote>
  <w:footnote w:type="continuationSeparator" w:id="0">
    <w:p w:rsidR="00A10DA1" w:rsidRDefault="00A10DA1" w:rsidP="00C236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ED3"/>
    <w:multiLevelType w:val="hybridMultilevel"/>
    <w:tmpl w:val="75E2E2E4"/>
    <w:lvl w:ilvl="0" w:tplc="F30EF73C">
      <w:start w:val="2"/>
      <w:numFmt w:val="bullet"/>
      <w:lvlText w:val="-"/>
      <w:lvlJc w:val="left"/>
      <w:pPr>
        <w:ind w:left="11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4C4E0842"/>
    <w:multiLevelType w:val="hybridMultilevel"/>
    <w:tmpl w:val="0F26796E"/>
    <w:lvl w:ilvl="0" w:tplc="F83CC492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1" w:tplc="CC2AE912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2" w:tplc="08283856">
      <w:numFmt w:val="bullet"/>
      <w:lvlText w:val="•"/>
      <w:lvlJc w:val="left"/>
      <w:pPr>
        <w:ind w:left="2416" w:hanging="569"/>
      </w:pPr>
      <w:rPr>
        <w:rFonts w:hint="default"/>
        <w:lang w:val="sk-SK" w:eastAsia="sk-SK" w:bidi="sk-SK"/>
      </w:rPr>
    </w:lvl>
    <w:lvl w:ilvl="3" w:tplc="CBF867AC">
      <w:numFmt w:val="bullet"/>
      <w:lvlText w:val="•"/>
      <w:lvlJc w:val="left"/>
      <w:pPr>
        <w:ind w:left="3432" w:hanging="569"/>
      </w:pPr>
      <w:rPr>
        <w:rFonts w:hint="default"/>
        <w:lang w:val="sk-SK" w:eastAsia="sk-SK" w:bidi="sk-SK"/>
      </w:rPr>
    </w:lvl>
    <w:lvl w:ilvl="4" w:tplc="A5DC5126">
      <w:numFmt w:val="bullet"/>
      <w:lvlText w:val="•"/>
      <w:lvlJc w:val="left"/>
      <w:pPr>
        <w:ind w:left="4448" w:hanging="569"/>
      </w:pPr>
      <w:rPr>
        <w:rFonts w:hint="default"/>
        <w:lang w:val="sk-SK" w:eastAsia="sk-SK" w:bidi="sk-SK"/>
      </w:rPr>
    </w:lvl>
    <w:lvl w:ilvl="5" w:tplc="8ABA6AC6">
      <w:numFmt w:val="bullet"/>
      <w:lvlText w:val="•"/>
      <w:lvlJc w:val="left"/>
      <w:pPr>
        <w:ind w:left="5465" w:hanging="569"/>
      </w:pPr>
      <w:rPr>
        <w:rFonts w:hint="default"/>
        <w:lang w:val="sk-SK" w:eastAsia="sk-SK" w:bidi="sk-SK"/>
      </w:rPr>
    </w:lvl>
    <w:lvl w:ilvl="6" w:tplc="AD680300">
      <w:numFmt w:val="bullet"/>
      <w:lvlText w:val="•"/>
      <w:lvlJc w:val="left"/>
      <w:pPr>
        <w:ind w:left="6481" w:hanging="569"/>
      </w:pPr>
      <w:rPr>
        <w:rFonts w:hint="default"/>
        <w:lang w:val="sk-SK" w:eastAsia="sk-SK" w:bidi="sk-SK"/>
      </w:rPr>
    </w:lvl>
    <w:lvl w:ilvl="7" w:tplc="790675B6">
      <w:numFmt w:val="bullet"/>
      <w:lvlText w:val="•"/>
      <w:lvlJc w:val="left"/>
      <w:pPr>
        <w:ind w:left="7497" w:hanging="569"/>
      </w:pPr>
      <w:rPr>
        <w:rFonts w:hint="default"/>
        <w:lang w:val="sk-SK" w:eastAsia="sk-SK" w:bidi="sk-SK"/>
      </w:rPr>
    </w:lvl>
    <w:lvl w:ilvl="8" w:tplc="57F81D70">
      <w:numFmt w:val="bullet"/>
      <w:lvlText w:val="•"/>
      <w:lvlJc w:val="left"/>
      <w:pPr>
        <w:ind w:left="8513" w:hanging="569"/>
      </w:pPr>
      <w:rPr>
        <w:rFonts w:hint="default"/>
        <w:lang w:val="sk-SK" w:eastAsia="sk-SK" w:bidi="sk-SK"/>
      </w:rPr>
    </w:lvl>
  </w:abstractNum>
  <w:abstractNum w:abstractNumId="2">
    <w:nsid w:val="4D200AA1"/>
    <w:multiLevelType w:val="hybridMultilevel"/>
    <w:tmpl w:val="2AD22A9A"/>
    <w:lvl w:ilvl="0" w:tplc="BF408C04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sk-SK" w:bidi="sk-SK"/>
      </w:rPr>
    </w:lvl>
    <w:lvl w:ilvl="1" w:tplc="DBB088EA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b/>
        <w:bCs/>
        <w:spacing w:val="-4"/>
        <w:w w:val="99"/>
        <w:lang w:val="sk-SK" w:eastAsia="sk-SK" w:bidi="sk-SK"/>
      </w:rPr>
    </w:lvl>
    <w:lvl w:ilvl="2" w:tplc="22DEFBE4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sk-SK" w:bidi="sk-SK"/>
      </w:rPr>
    </w:lvl>
    <w:lvl w:ilvl="3" w:tplc="E8E41C02">
      <w:numFmt w:val="bullet"/>
      <w:lvlText w:val="•"/>
      <w:lvlJc w:val="left"/>
      <w:pPr>
        <w:ind w:left="2910" w:hanging="569"/>
      </w:pPr>
      <w:rPr>
        <w:rFonts w:hint="default"/>
        <w:lang w:val="sk-SK" w:eastAsia="sk-SK" w:bidi="sk-SK"/>
      </w:rPr>
    </w:lvl>
    <w:lvl w:ilvl="4" w:tplc="CAE2B52E">
      <w:numFmt w:val="bullet"/>
      <w:lvlText w:val="•"/>
      <w:lvlJc w:val="left"/>
      <w:pPr>
        <w:ind w:left="4001" w:hanging="569"/>
      </w:pPr>
      <w:rPr>
        <w:rFonts w:hint="default"/>
        <w:lang w:val="sk-SK" w:eastAsia="sk-SK" w:bidi="sk-SK"/>
      </w:rPr>
    </w:lvl>
    <w:lvl w:ilvl="5" w:tplc="46FA5A82">
      <w:numFmt w:val="bullet"/>
      <w:lvlText w:val="•"/>
      <w:lvlJc w:val="left"/>
      <w:pPr>
        <w:ind w:left="5092" w:hanging="569"/>
      </w:pPr>
      <w:rPr>
        <w:rFonts w:hint="default"/>
        <w:lang w:val="sk-SK" w:eastAsia="sk-SK" w:bidi="sk-SK"/>
      </w:rPr>
    </w:lvl>
    <w:lvl w:ilvl="6" w:tplc="9962D29C">
      <w:numFmt w:val="bullet"/>
      <w:lvlText w:val="•"/>
      <w:lvlJc w:val="left"/>
      <w:pPr>
        <w:ind w:left="6183" w:hanging="569"/>
      </w:pPr>
      <w:rPr>
        <w:rFonts w:hint="default"/>
        <w:lang w:val="sk-SK" w:eastAsia="sk-SK" w:bidi="sk-SK"/>
      </w:rPr>
    </w:lvl>
    <w:lvl w:ilvl="7" w:tplc="3EA6E754">
      <w:numFmt w:val="bullet"/>
      <w:lvlText w:val="•"/>
      <w:lvlJc w:val="left"/>
      <w:pPr>
        <w:ind w:left="7274" w:hanging="569"/>
      </w:pPr>
      <w:rPr>
        <w:rFonts w:hint="default"/>
        <w:lang w:val="sk-SK" w:eastAsia="sk-SK" w:bidi="sk-SK"/>
      </w:rPr>
    </w:lvl>
    <w:lvl w:ilvl="8" w:tplc="46E42C80">
      <w:numFmt w:val="bullet"/>
      <w:lvlText w:val="•"/>
      <w:lvlJc w:val="left"/>
      <w:pPr>
        <w:ind w:left="8364" w:hanging="569"/>
      </w:pPr>
      <w:rPr>
        <w:rFonts w:hint="default"/>
        <w:lang w:val="sk-SK" w:eastAsia="sk-SK" w:bidi="sk-SK"/>
      </w:rPr>
    </w:lvl>
  </w:abstractNum>
  <w:abstractNum w:abstractNumId="3">
    <w:nsid w:val="5E035B77"/>
    <w:multiLevelType w:val="hybridMultilevel"/>
    <w:tmpl w:val="7874622E"/>
    <w:lvl w:ilvl="0" w:tplc="0256F478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1" w:tplc="277C16F8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sk-SK" w:bidi="sk-SK"/>
      </w:rPr>
    </w:lvl>
    <w:lvl w:ilvl="2" w:tplc="82A0C172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3" w:tplc="C54EEB90">
      <w:numFmt w:val="bullet"/>
      <w:lvlText w:val="•"/>
      <w:lvlJc w:val="left"/>
      <w:pPr>
        <w:ind w:left="2910" w:hanging="425"/>
      </w:pPr>
      <w:rPr>
        <w:rFonts w:hint="default"/>
        <w:lang w:val="sk-SK" w:eastAsia="sk-SK" w:bidi="sk-SK"/>
      </w:rPr>
    </w:lvl>
    <w:lvl w:ilvl="4" w:tplc="7488E038">
      <w:numFmt w:val="bullet"/>
      <w:lvlText w:val="•"/>
      <w:lvlJc w:val="left"/>
      <w:pPr>
        <w:ind w:left="4001" w:hanging="425"/>
      </w:pPr>
      <w:rPr>
        <w:rFonts w:hint="default"/>
        <w:lang w:val="sk-SK" w:eastAsia="sk-SK" w:bidi="sk-SK"/>
      </w:rPr>
    </w:lvl>
    <w:lvl w:ilvl="5" w:tplc="7E2A7CE2">
      <w:numFmt w:val="bullet"/>
      <w:lvlText w:val="•"/>
      <w:lvlJc w:val="left"/>
      <w:pPr>
        <w:ind w:left="5092" w:hanging="425"/>
      </w:pPr>
      <w:rPr>
        <w:rFonts w:hint="default"/>
        <w:lang w:val="sk-SK" w:eastAsia="sk-SK" w:bidi="sk-SK"/>
      </w:rPr>
    </w:lvl>
    <w:lvl w:ilvl="6" w:tplc="805A651E">
      <w:numFmt w:val="bullet"/>
      <w:lvlText w:val="•"/>
      <w:lvlJc w:val="left"/>
      <w:pPr>
        <w:ind w:left="6183" w:hanging="425"/>
      </w:pPr>
      <w:rPr>
        <w:rFonts w:hint="default"/>
        <w:lang w:val="sk-SK" w:eastAsia="sk-SK" w:bidi="sk-SK"/>
      </w:rPr>
    </w:lvl>
    <w:lvl w:ilvl="7" w:tplc="C84EDC58">
      <w:numFmt w:val="bullet"/>
      <w:lvlText w:val="•"/>
      <w:lvlJc w:val="left"/>
      <w:pPr>
        <w:ind w:left="7274" w:hanging="425"/>
      </w:pPr>
      <w:rPr>
        <w:rFonts w:hint="default"/>
        <w:lang w:val="sk-SK" w:eastAsia="sk-SK" w:bidi="sk-SK"/>
      </w:rPr>
    </w:lvl>
    <w:lvl w:ilvl="8" w:tplc="A1907D10">
      <w:numFmt w:val="bullet"/>
      <w:lvlText w:val="•"/>
      <w:lvlJc w:val="left"/>
      <w:pPr>
        <w:ind w:left="8364" w:hanging="425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236A3"/>
    <w:rsid w:val="0090526B"/>
    <w:rsid w:val="00A10DA1"/>
    <w:rsid w:val="00C236A3"/>
    <w:rsid w:val="00CB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236A3"/>
    <w:rPr>
      <w:rFonts w:ascii="Times New Roman" w:eastAsia="Times New Roman" w:hAnsi="Times New Roman" w:cs="Times New Roman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6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236A3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C236A3"/>
    <w:pPr>
      <w:ind w:left="1250"/>
      <w:jc w:val="center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C236A3"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C236A3"/>
  </w:style>
  <w:style w:type="paragraph" w:styleId="Hlavika">
    <w:name w:val="header"/>
    <w:basedOn w:val="Normlny"/>
    <w:link w:val="HlavikaChar"/>
    <w:uiPriority w:val="99"/>
    <w:semiHidden/>
    <w:unhideWhenUsed/>
    <w:rsid w:val="009052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0526B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semiHidden/>
    <w:unhideWhenUsed/>
    <w:rsid w:val="009052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0526B"/>
    <w:rPr>
      <w:rFonts w:ascii="Times New Roman" w:eastAsia="Times New Roman" w:hAnsi="Times New Roman" w:cs="Times New Roman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2021-03-18T10:10:00Z</dcterms:created>
  <dcterms:modified xsi:type="dcterms:W3CDTF">2021-03-18T10:24:00Z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2021-03-18T00:00:00Z</vt:filetime>
  </property>
</Properties>
</file>