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B07453" w:rsidRPr="00B04FA2" w:rsidRDefault="00B07453">
      <w:pPr>
        <w:widowControl w:val="0"/>
        <w:pBdr>
          <w:top w:val="nil"/>
          <w:left w:val="nil"/>
          <w:bottom w:val="nil"/>
          <w:right w:val="nil"/>
          <w:between w:val="nil"/>
        </w:pBdr>
        <w:spacing w:line="276" w:lineRule="auto"/>
        <w:jc w:val="left"/>
        <w:rPr>
          <w:lang w:val="en-US"/>
        </w:rPr>
      </w:pPr>
    </w:p>
    <w:p w14:paraId="00000002" w14:textId="77777777" w:rsidR="00B07453" w:rsidRDefault="0023601B">
      <w:pPr>
        <w:rPr>
          <w:u w:val="single"/>
        </w:rPr>
      </w:pPr>
      <w:r>
        <w:rPr>
          <w:u w:val="single"/>
        </w:rPr>
        <w:t>Poznámka:</w:t>
      </w:r>
    </w:p>
    <w:p w14:paraId="00000003" w14:textId="77777777" w:rsidR="00B07453" w:rsidRDefault="00B07453">
      <w:pPr>
        <w:rPr>
          <w:sz w:val="14"/>
          <w:szCs w:val="14"/>
        </w:rPr>
      </w:pPr>
    </w:p>
    <w:p w14:paraId="00000004" w14:textId="77777777" w:rsidR="00B07453" w:rsidRDefault="0023601B">
      <w:r>
        <w:t xml:space="preserve">V poznámkach sa uvádzajú informácie ustanovené opatrením o obsahu poznámok k individuálnej účtovnej závierke, pre ktoré má účtovná jednotka obsahovú náplň. Všetky údaje a informácie uvedené v týchto poznámkach vychádzajú z účtovníctva a nadväzujú na individuálne účtovné výkazy. Hodnotové údaje sú uvedené v celých eurách (pokiaľ nie je uvedené inak). </w:t>
      </w:r>
    </w:p>
    <w:p w14:paraId="00000005" w14:textId="77777777" w:rsidR="00B07453" w:rsidRDefault="00B07453">
      <w:pPr>
        <w:rPr>
          <w:sz w:val="14"/>
          <w:szCs w:val="14"/>
        </w:rPr>
      </w:pPr>
    </w:p>
    <w:p w14:paraId="00000006" w14:textId="77777777" w:rsidR="00B07453" w:rsidRDefault="00B07453">
      <w:pPr>
        <w:rPr>
          <w:sz w:val="14"/>
          <w:szCs w:val="14"/>
        </w:rPr>
      </w:pPr>
    </w:p>
    <w:p w14:paraId="00000007" w14:textId="77777777" w:rsidR="00B07453" w:rsidRDefault="0023601B">
      <w:pPr>
        <w:pStyle w:val="Nadpis1"/>
        <w:numPr>
          <w:ilvl w:val="0"/>
          <w:numId w:val="11"/>
        </w:numPr>
      </w:pPr>
      <w:r>
        <w:t>VŠEOBECNÉ INFORMÁCIE</w:t>
      </w:r>
    </w:p>
    <w:p w14:paraId="00000008" w14:textId="77777777" w:rsidR="00B07453" w:rsidRDefault="00B07453">
      <w:pPr>
        <w:rPr>
          <w:b/>
          <w:sz w:val="14"/>
          <w:szCs w:val="14"/>
          <w:u w:val="single"/>
        </w:rPr>
      </w:pPr>
    </w:p>
    <w:p w14:paraId="00000009" w14:textId="77777777" w:rsidR="00B07453" w:rsidRDefault="0023601B">
      <w:pPr>
        <w:pStyle w:val="Nadpis2"/>
        <w:numPr>
          <w:ilvl w:val="1"/>
          <w:numId w:val="11"/>
        </w:numPr>
      </w:pPr>
      <w:r>
        <w:t>Základné údaje o spoločnosti</w:t>
      </w:r>
    </w:p>
    <w:p w14:paraId="0000000A" w14:textId="77777777" w:rsidR="00B07453" w:rsidRDefault="00B07453">
      <w:pPr>
        <w:rPr>
          <w:b/>
          <w:sz w:val="14"/>
          <w:szCs w:val="14"/>
          <w:u w:val="single"/>
        </w:rPr>
      </w:pPr>
    </w:p>
    <w:tbl>
      <w:tblPr>
        <w:tblStyle w:val="a"/>
        <w:tblW w:w="9072" w:type="dxa"/>
        <w:tblInd w:w="108" w:type="dxa"/>
        <w:tblBorders>
          <w:top w:val="single" w:sz="8" w:space="0" w:color="000000"/>
          <w:bottom w:val="single" w:sz="8" w:space="0" w:color="000000"/>
        </w:tblBorders>
        <w:tblLayout w:type="fixed"/>
        <w:tblLook w:val="0000" w:firstRow="0" w:lastRow="0" w:firstColumn="0" w:lastColumn="0" w:noHBand="0" w:noVBand="0"/>
      </w:tblPr>
      <w:tblGrid>
        <w:gridCol w:w="3969"/>
        <w:gridCol w:w="5103"/>
      </w:tblGrid>
      <w:tr w:rsidR="00B07453" w14:paraId="6DB3F478" w14:textId="77777777">
        <w:tc>
          <w:tcPr>
            <w:tcW w:w="3969" w:type="dxa"/>
            <w:tcBorders>
              <w:top w:val="single" w:sz="8" w:space="0" w:color="000000"/>
              <w:bottom w:val="dotted" w:sz="4" w:space="0" w:color="000000"/>
            </w:tcBorders>
          </w:tcPr>
          <w:p w14:paraId="0000000B" w14:textId="77777777" w:rsidR="00B07453" w:rsidRDefault="0023601B">
            <w:pPr>
              <w:rPr>
                <w:b/>
                <w:sz w:val="15"/>
                <w:szCs w:val="15"/>
              </w:rPr>
            </w:pPr>
            <w:r>
              <w:rPr>
                <w:b/>
                <w:sz w:val="15"/>
                <w:szCs w:val="15"/>
              </w:rPr>
              <w:t>Obchodné meno a sídlo</w:t>
            </w:r>
          </w:p>
        </w:tc>
        <w:tc>
          <w:tcPr>
            <w:tcW w:w="5103" w:type="dxa"/>
            <w:tcBorders>
              <w:top w:val="single" w:sz="8" w:space="0" w:color="000000"/>
              <w:bottom w:val="dotted" w:sz="4" w:space="0" w:color="000000"/>
            </w:tcBorders>
          </w:tcPr>
          <w:p w14:paraId="0000000C" w14:textId="77777777" w:rsidR="00B07453" w:rsidRDefault="0023601B">
            <w:bookmarkStart w:id="0" w:name="_heading=h.gjdgxs" w:colFirst="0" w:colLast="0"/>
            <w:bookmarkEnd w:id="0"/>
            <w:r>
              <w:t>CEVA ANIMAL HEALTH SLOVAKIA, s.r.o.</w:t>
            </w:r>
          </w:p>
          <w:p w14:paraId="0000000D" w14:textId="77777777" w:rsidR="00B07453" w:rsidRDefault="0023601B">
            <w:r>
              <w:t>Prievozská 6A</w:t>
            </w:r>
          </w:p>
          <w:p w14:paraId="0000000E" w14:textId="77777777" w:rsidR="00B07453" w:rsidRDefault="0023601B">
            <w:pPr>
              <w:rPr>
                <w:sz w:val="15"/>
                <w:szCs w:val="15"/>
              </w:rPr>
            </w:pPr>
            <w:r>
              <w:t>821 09  Bratislava</w:t>
            </w:r>
            <w:r>
              <w:rPr>
                <w:sz w:val="15"/>
                <w:szCs w:val="15"/>
              </w:rPr>
              <w:t xml:space="preserve"> </w:t>
            </w:r>
          </w:p>
        </w:tc>
      </w:tr>
      <w:tr w:rsidR="00B07453" w14:paraId="2BB6A3FE" w14:textId="77777777">
        <w:tc>
          <w:tcPr>
            <w:tcW w:w="3969" w:type="dxa"/>
            <w:tcBorders>
              <w:top w:val="dotted" w:sz="4" w:space="0" w:color="000000"/>
            </w:tcBorders>
          </w:tcPr>
          <w:p w14:paraId="0000000F" w14:textId="77777777" w:rsidR="00B07453" w:rsidRDefault="0023601B">
            <w:pPr>
              <w:rPr>
                <w:b/>
                <w:sz w:val="15"/>
                <w:szCs w:val="15"/>
              </w:rPr>
            </w:pPr>
            <w:r>
              <w:rPr>
                <w:b/>
                <w:sz w:val="15"/>
                <w:szCs w:val="15"/>
              </w:rPr>
              <w:t>Hospodárska činnosť</w:t>
            </w:r>
          </w:p>
        </w:tc>
        <w:tc>
          <w:tcPr>
            <w:tcW w:w="5103" w:type="dxa"/>
            <w:tcBorders>
              <w:top w:val="dotted" w:sz="4" w:space="0" w:color="000000"/>
            </w:tcBorders>
          </w:tcPr>
          <w:p w14:paraId="00000010" w14:textId="77777777" w:rsidR="00B07453" w:rsidRDefault="0023601B">
            <w:pPr>
              <w:numPr>
                <w:ilvl w:val="0"/>
                <w:numId w:val="12"/>
              </w:numPr>
              <w:ind w:left="243" w:hanging="243"/>
              <w:rPr>
                <w:color w:val="FF0000"/>
                <w:sz w:val="15"/>
                <w:szCs w:val="15"/>
              </w:rPr>
            </w:pPr>
            <w:r>
              <w:t>výkon veterinárnej služby spočívajúcej v zásobovaní veterinárnymi liečivami a prípravkami registrovanými a povolenými v SR</w:t>
            </w:r>
          </w:p>
        </w:tc>
      </w:tr>
    </w:tbl>
    <w:p w14:paraId="00000011" w14:textId="77777777" w:rsidR="00B07453" w:rsidRDefault="00B07453">
      <w:pPr>
        <w:rPr>
          <w:sz w:val="14"/>
          <w:szCs w:val="14"/>
        </w:rPr>
      </w:pPr>
    </w:p>
    <w:p w14:paraId="00000012" w14:textId="77777777" w:rsidR="00B07453" w:rsidRDefault="00B07453">
      <w:pPr>
        <w:rPr>
          <w:sz w:val="14"/>
          <w:szCs w:val="14"/>
        </w:rPr>
      </w:pPr>
    </w:p>
    <w:p w14:paraId="00000013" w14:textId="77777777" w:rsidR="00B07453" w:rsidRDefault="0023601B">
      <w:pPr>
        <w:pStyle w:val="Nadpis2"/>
        <w:numPr>
          <w:ilvl w:val="1"/>
          <w:numId w:val="11"/>
        </w:numPr>
      </w:pPr>
      <w:r>
        <w:t>Zamestnanci</w:t>
      </w:r>
    </w:p>
    <w:p w14:paraId="00000014" w14:textId="77777777" w:rsidR="00B07453" w:rsidRDefault="0023601B">
      <w:pPr>
        <w:rPr>
          <w:sz w:val="14"/>
          <w:szCs w:val="14"/>
        </w:rPr>
      </w:pPr>
      <w:r>
        <w:rPr>
          <w:b/>
          <w:i/>
          <w:sz w:val="15"/>
          <w:szCs w:val="15"/>
        </w:rPr>
        <w:t xml:space="preserve"> </w:t>
      </w:r>
    </w:p>
    <w:tbl>
      <w:tblPr>
        <w:tblStyle w:val="a0"/>
        <w:tblW w:w="9071" w:type="dxa"/>
        <w:tblLayout w:type="fixed"/>
        <w:tblLook w:val="0400" w:firstRow="0" w:lastRow="0" w:firstColumn="0" w:lastColumn="0" w:noHBand="0" w:noVBand="1"/>
      </w:tblPr>
      <w:tblGrid>
        <w:gridCol w:w="6446"/>
        <w:gridCol w:w="1313"/>
        <w:gridCol w:w="1312"/>
      </w:tblGrid>
      <w:tr w:rsidR="00B07453" w14:paraId="18BE1F9E" w14:textId="77777777">
        <w:tc>
          <w:tcPr>
            <w:tcW w:w="6446" w:type="dxa"/>
            <w:tcBorders>
              <w:top w:val="single" w:sz="8" w:space="0" w:color="000000"/>
              <w:left w:val="nil"/>
              <w:bottom w:val="single" w:sz="4" w:space="0" w:color="000000"/>
              <w:right w:val="nil"/>
            </w:tcBorders>
            <w:shd w:val="clear" w:color="auto" w:fill="auto"/>
            <w:vAlign w:val="center"/>
          </w:tcPr>
          <w:p w14:paraId="00000015" w14:textId="77777777" w:rsidR="00B07453" w:rsidRDefault="0023601B">
            <w:pPr>
              <w:jc w:val="left"/>
              <w:rPr>
                <w:b/>
                <w:i/>
                <w:sz w:val="15"/>
                <w:szCs w:val="15"/>
              </w:rPr>
            </w:pPr>
            <w:r>
              <w:rPr>
                <w:b/>
                <w:i/>
                <w:sz w:val="15"/>
                <w:szCs w:val="15"/>
              </w:rPr>
              <w:t xml:space="preserve">Názov položky </w:t>
            </w:r>
          </w:p>
        </w:tc>
        <w:tc>
          <w:tcPr>
            <w:tcW w:w="1313" w:type="dxa"/>
            <w:tcBorders>
              <w:top w:val="single" w:sz="8" w:space="0" w:color="000000"/>
              <w:left w:val="nil"/>
              <w:bottom w:val="single" w:sz="4" w:space="0" w:color="000000"/>
              <w:right w:val="nil"/>
            </w:tcBorders>
            <w:shd w:val="clear" w:color="auto" w:fill="auto"/>
            <w:vAlign w:val="center"/>
          </w:tcPr>
          <w:p w14:paraId="00000016" w14:textId="40B71213" w:rsidR="00B07453" w:rsidRDefault="0023601B">
            <w:pPr>
              <w:jc w:val="center"/>
              <w:rPr>
                <w:b/>
                <w:i/>
                <w:sz w:val="15"/>
                <w:szCs w:val="15"/>
              </w:rPr>
            </w:pPr>
            <w:r>
              <w:rPr>
                <w:b/>
                <w:i/>
                <w:sz w:val="15"/>
                <w:szCs w:val="15"/>
              </w:rPr>
              <w:t>202</w:t>
            </w:r>
            <w:r w:rsidR="006052B4">
              <w:rPr>
                <w:b/>
                <w:i/>
                <w:sz w:val="15"/>
                <w:szCs w:val="15"/>
              </w:rPr>
              <w:t>2</w:t>
            </w:r>
          </w:p>
        </w:tc>
        <w:tc>
          <w:tcPr>
            <w:tcW w:w="1312" w:type="dxa"/>
            <w:tcBorders>
              <w:top w:val="single" w:sz="8" w:space="0" w:color="000000"/>
              <w:left w:val="nil"/>
              <w:bottom w:val="single" w:sz="4" w:space="0" w:color="000000"/>
              <w:right w:val="nil"/>
            </w:tcBorders>
            <w:shd w:val="clear" w:color="auto" w:fill="auto"/>
            <w:vAlign w:val="center"/>
          </w:tcPr>
          <w:p w14:paraId="00000017" w14:textId="7CEE2154" w:rsidR="00B07453" w:rsidRDefault="0023601B">
            <w:pPr>
              <w:jc w:val="center"/>
              <w:rPr>
                <w:b/>
                <w:i/>
                <w:sz w:val="15"/>
                <w:szCs w:val="15"/>
              </w:rPr>
            </w:pPr>
            <w:r>
              <w:rPr>
                <w:b/>
                <w:i/>
                <w:sz w:val="15"/>
                <w:szCs w:val="15"/>
              </w:rPr>
              <w:t>20</w:t>
            </w:r>
            <w:r w:rsidR="00CA639B">
              <w:rPr>
                <w:b/>
                <w:i/>
                <w:sz w:val="15"/>
                <w:szCs w:val="15"/>
              </w:rPr>
              <w:t>2</w:t>
            </w:r>
            <w:r w:rsidR="006052B4">
              <w:rPr>
                <w:b/>
                <w:i/>
                <w:sz w:val="15"/>
                <w:szCs w:val="15"/>
              </w:rPr>
              <w:t>1</w:t>
            </w:r>
          </w:p>
        </w:tc>
      </w:tr>
      <w:tr w:rsidR="00B07453" w14:paraId="50CFA9CB" w14:textId="77777777">
        <w:tc>
          <w:tcPr>
            <w:tcW w:w="6446" w:type="dxa"/>
            <w:tcBorders>
              <w:top w:val="single" w:sz="4" w:space="0" w:color="000000"/>
              <w:left w:val="nil"/>
              <w:bottom w:val="single" w:sz="8" w:space="0" w:color="000000"/>
              <w:right w:val="nil"/>
            </w:tcBorders>
            <w:shd w:val="clear" w:color="auto" w:fill="auto"/>
            <w:vAlign w:val="center"/>
          </w:tcPr>
          <w:p w14:paraId="00000018" w14:textId="77777777" w:rsidR="00B07453" w:rsidRDefault="0023601B">
            <w:pPr>
              <w:jc w:val="left"/>
              <w:rPr>
                <w:sz w:val="15"/>
                <w:szCs w:val="15"/>
              </w:rPr>
            </w:pPr>
            <w:r>
              <w:rPr>
                <w:sz w:val="15"/>
                <w:szCs w:val="15"/>
              </w:rPr>
              <w:t>Priemerný prepočítaný počet zamestnancov</w:t>
            </w:r>
          </w:p>
        </w:tc>
        <w:tc>
          <w:tcPr>
            <w:tcW w:w="1313" w:type="dxa"/>
            <w:tcBorders>
              <w:top w:val="single" w:sz="4" w:space="0" w:color="000000"/>
              <w:left w:val="nil"/>
              <w:bottom w:val="single" w:sz="8" w:space="0" w:color="000000"/>
              <w:right w:val="nil"/>
            </w:tcBorders>
            <w:shd w:val="clear" w:color="auto" w:fill="auto"/>
            <w:vAlign w:val="bottom"/>
          </w:tcPr>
          <w:p w14:paraId="00000019" w14:textId="75427E45" w:rsidR="00B07453" w:rsidRPr="00600797" w:rsidRDefault="00264C84">
            <w:pPr>
              <w:jc w:val="right"/>
              <w:rPr>
                <w:sz w:val="15"/>
                <w:szCs w:val="15"/>
              </w:rPr>
            </w:pPr>
            <w:r w:rsidRPr="00600797">
              <w:rPr>
                <w:sz w:val="15"/>
                <w:szCs w:val="15"/>
              </w:rPr>
              <w:t>7</w:t>
            </w:r>
            <w:r w:rsidR="004C6CEF">
              <w:rPr>
                <w:sz w:val="15"/>
                <w:szCs w:val="15"/>
              </w:rPr>
              <w:t>,</w:t>
            </w:r>
            <w:r w:rsidRPr="00600797">
              <w:rPr>
                <w:sz w:val="15"/>
                <w:szCs w:val="15"/>
              </w:rPr>
              <w:t>6</w:t>
            </w:r>
          </w:p>
        </w:tc>
        <w:tc>
          <w:tcPr>
            <w:tcW w:w="1312" w:type="dxa"/>
            <w:tcBorders>
              <w:top w:val="single" w:sz="4" w:space="0" w:color="000000"/>
              <w:left w:val="nil"/>
              <w:bottom w:val="single" w:sz="8" w:space="0" w:color="000000"/>
              <w:right w:val="nil"/>
            </w:tcBorders>
            <w:shd w:val="clear" w:color="auto" w:fill="auto"/>
            <w:vAlign w:val="bottom"/>
          </w:tcPr>
          <w:p w14:paraId="0000001A" w14:textId="0F7262F6" w:rsidR="00B07453" w:rsidRPr="00600797" w:rsidRDefault="006052B4">
            <w:pPr>
              <w:jc w:val="right"/>
              <w:rPr>
                <w:sz w:val="15"/>
                <w:szCs w:val="15"/>
              </w:rPr>
            </w:pPr>
            <w:r w:rsidRPr="00600797">
              <w:rPr>
                <w:sz w:val="15"/>
                <w:szCs w:val="15"/>
              </w:rPr>
              <w:t>4</w:t>
            </w:r>
            <w:r w:rsidR="004C6CEF">
              <w:rPr>
                <w:sz w:val="15"/>
                <w:szCs w:val="15"/>
              </w:rPr>
              <w:t>,</w:t>
            </w:r>
            <w:r w:rsidRPr="00600797">
              <w:rPr>
                <w:sz w:val="15"/>
                <w:szCs w:val="15"/>
              </w:rPr>
              <w:t>75</w:t>
            </w:r>
          </w:p>
        </w:tc>
      </w:tr>
    </w:tbl>
    <w:p w14:paraId="0000001B" w14:textId="77777777" w:rsidR="00B07453" w:rsidRDefault="00B07453">
      <w:pPr>
        <w:rPr>
          <w:sz w:val="14"/>
          <w:szCs w:val="14"/>
        </w:rPr>
      </w:pPr>
    </w:p>
    <w:p w14:paraId="0000001C" w14:textId="77777777" w:rsidR="00B07453" w:rsidRDefault="00B07453">
      <w:pPr>
        <w:rPr>
          <w:sz w:val="14"/>
          <w:szCs w:val="14"/>
        </w:rPr>
      </w:pPr>
    </w:p>
    <w:p w14:paraId="0000001D" w14:textId="77777777" w:rsidR="00B07453" w:rsidRDefault="0023601B">
      <w:pPr>
        <w:pStyle w:val="Nadpis2"/>
        <w:numPr>
          <w:ilvl w:val="1"/>
          <w:numId w:val="11"/>
        </w:numPr>
      </w:pPr>
      <w:r>
        <w:t>Právny dôvod zostavenia účtovnej závierky</w:t>
      </w:r>
    </w:p>
    <w:p w14:paraId="0000001E" w14:textId="77777777" w:rsidR="00B07453" w:rsidRDefault="00B07453">
      <w:pPr>
        <w:rPr>
          <w:sz w:val="14"/>
          <w:szCs w:val="14"/>
        </w:rPr>
      </w:pPr>
    </w:p>
    <w:p w14:paraId="0000001F" w14:textId="324B2A78" w:rsidR="00B07453" w:rsidRDefault="0023601B">
      <w:r>
        <w:t>Táto účtovná závierka je riadna individuálna účtovná závierka spoločnosti CEVA ANIMAL HEALTH  SLOVAKIA, s.r.o. Bola zostavená za účtovné obdobie od 1. januára 202</w:t>
      </w:r>
      <w:r w:rsidR="006052B4">
        <w:t>2</w:t>
      </w:r>
      <w:r>
        <w:t xml:space="preserve"> do 31. decembra 202</w:t>
      </w:r>
      <w:r w:rsidR="006052B4">
        <w:t>2</w:t>
      </w:r>
      <w:r>
        <w:t xml:space="preserve"> podľa slovenských právnych predpisov, a to zákona o účtovníctve a postupov účtovania pre podnikateľov. </w:t>
      </w:r>
    </w:p>
    <w:p w14:paraId="00000020" w14:textId="77777777" w:rsidR="00B07453" w:rsidRDefault="00B07453">
      <w:pPr>
        <w:rPr>
          <w:sz w:val="14"/>
          <w:szCs w:val="14"/>
        </w:rPr>
      </w:pPr>
    </w:p>
    <w:p w14:paraId="00000021" w14:textId="77777777" w:rsidR="00B07453" w:rsidRDefault="00B07453">
      <w:pPr>
        <w:rPr>
          <w:sz w:val="14"/>
          <w:szCs w:val="14"/>
        </w:rPr>
      </w:pPr>
    </w:p>
    <w:p w14:paraId="00000022" w14:textId="2420F5A6" w:rsidR="00B07453" w:rsidRDefault="0023601B">
      <w:pPr>
        <w:pStyle w:val="Nadpis2"/>
        <w:numPr>
          <w:ilvl w:val="1"/>
          <w:numId w:val="11"/>
        </w:numPr>
      </w:pPr>
      <w:r>
        <w:t>Schválenie účtovnej závierky za rok 20</w:t>
      </w:r>
      <w:r w:rsidR="00CA639B">
        <w:t>2</w:t>
      </w:r>
      <w:r w:rsidR="006052B4">
        <w:t>1</w:t>
      </w:r>
    </w:p>
    <w:p w14:paraId="00000023" w14:textId="77777777" w:rsidR="00B07453" w:rsidRDefault="00B07453">
      <w:pPr>
        <w:rPr>
          <w:sz w:val="14"/>
          <w:szCs w:val="14"/>
        </w:rPr>
      </w:pPr>
    </w:p>
    <w:p w14:paraId="00000024" w14:textId="1C396FBB" w:rsidR="00B07453" w:rsidRDefault="0023601B">
      <w:bookmarkStart w:id="1" w:name="_heading=h.30j0zll" w:colFirst="0" w:colLast="0"/>
      <w:bookmarkEnd w:id="1"/>
      <w:r>
        <w:t>Účtovná závierka spoločnosti CEVA ANIMAL HEALTH SLOVAKIA, s.r.o., ktorá bola zostavená k 31. decembru 20</w:t>
      </w:r>
      <w:r w:rsidR="00CA639B">
        <w:t>2</w:t>
      </w:r>
      <w:r w:rsidR="006052B4">
        <w:t>1</w:t>
      </w:r>
      <w:r>
        <w:t>, za bezprostredne predchádzajúce obdobie, bola schválená rozhodnutím jediného spoločníka dňa 30. júna 202</w:t>
      </w:r>
      <w:r w:rsidR="006052B4">
        <w:t>2</w:t>
      </w:r>
      <w:r>
        <w:t xml:space="preserve">. </w:t>
      </w:r>
    </w:p>
    <w:p w14:paraId="00000025" w14:textId="77777777" w:rsidR="00B07453" w:rsidRDefault="00B07453">
      <w:pPr>
        <w:rPr>
          <w:sz w:val="14"/>
          <w:szCs w:val="14"/>
        </w:rPr>
      </w:pPr>
    </w:p>
    <w:p w14:paraId="00000026" w14:textId="77777777" w:rsidR="00B07453" w:rsidRDefault="00B07453">
      <w:pPr>
        <w:rPr>
          <w:sz w:val="14"/>
          <w:szCs w:val="14"/>
        </w:rPr>
      </w:pPr>
    </w:p>
    <w:p w14:paraId="00000027" w14:textId="77777777" w:rsidR="00B07453" w:rsidRDefault="0023601B">
      <w:pPr>
        <w:pStyle w:val="Nadpis2"/>
        <w:numPr>
          <w:ilvl w:val="1"/>
          <w:numId w:val="11"/>
        </w:numPr>
      </w:pPr>
      <w:r>
        <w:t>Konsolidovaná účtovná závierka</w:t>
      </w:r>
    </w:p>
    <w:p w14:paraId="00000028" w14:textId="77777777" w:rsidR="00B07453" w:rsidRDefault="00B07453">
      <w:pPr>
        <w:rPr>
          <w:sz w:val="10"/>
          <w:szCs w:val="10"/>
        </w:rPr>
      </w:pPr>
    </w:p>
    <w:p w14:paraId="00000029" w14:textId="77777777" w:rsidR="00B07453" w:rsidRDefault="0023601B">
      <w:bookmarkStart w:id="2" w:name="_heading=h.1fob9te" w:colFirst="0" w:colLast="0"/>
      <w:bookmarkEnd w:id="2"/>
      <w:r>
        <w:t>Spoločnosť sa zahrňuje do konsolidovanej účtovnej závierky spoločníka CEVA SANTE ANIMALE, S.A., Zone Industrielle de la Ballastiere, 335 00 Libourne, Francúzsko. Konsolidovanú účtovnú závierku zostavuje spoločnosť CEVA SANTE ANIMALE, S.A.. Túto konsolidovanú účtovnú závierku je možné získať priamo v sídle uvedenej spoločnosti.</w:t>
      </w:r>
    </w:p>
    <w:p w14:paraId="0000002A" w14:textId="77777777" w:rsidR="00B07453" w:rsidRDefault="00B07453">
      <w:pPr>
        <w:pBdr>
          <w:top w:val="nil"/>
          <w:left w:val="nil"/>
          <w:bottom w:val="nil"/>
          <w:right w:val="nil"/>
          <w:between w:val="nil"/>
        </w:pBdr>
        <w:ind w:right="-79"/>
        <w:rPr>
          <w:color w:val="000000"/>
        </w:rPr>
      </w:pPr>
    </w:p>
    <w:p w14:paraId="0000002B" w14:textId="77777777" w:rsidR="00B07453" w:rsidRDefault="00B07453">
      <w:pPr>
        <w:rPr>
          <w:i/>
          <w:color w:val="FF0000"/>
        </w:rPr>
      </w:pPr>
    </w:p>
    <w:p w14:paraId="0000002C" w14:textId="77777777" w:rsidR="00B07453" w:rsidRDefault="0023601B">
      <w:pPr>
        <w:pStyle w:val="Nadpis1"/>
        <w:numPr>
          <w:ilvl w:val="0"/>
          <w:numId w:val="11"/>
        </w:numPr>
      </w:pPr>
      <w:r>
        <w:t>INFORMÁCIE O ORGÁNOCH SPOLOčNOSTI</w:t>
      </w:r>
    </w:p>
    <w:p w14:paraId="0000002D" w14:textId="77777777" w:rsidR="00B07453" w:rsidRDefault="00B07453"/>
    <w:p w14:paraId="0000002E" w14:textId="77777777" w:rsidR="00B07453" w:rsidRDefault="0023601B">
      <w:pPr>
        <w:pStyle w:val="Nadpis2"/>
        <w:numPr>
          <w:ilvl w:val="1"/>
          <w:numId w:val="8"/>
        </w:numPr>
      </w:pPr>
      <w:r>
        <w:t>Záruky a iné zabezpečenia poskytnuté členom orgánov spoločnosti</w:t>
      </w:r>
    </w:p>
    <w:p w14:paraId="0000002F" w14:textId="77777777" w:rsidR="00B07453" w:rsidRDefault="0023601B">
      <w:r>
        <w:t>Členom orgánov spoločnosti neboli poskytnuté žiadne záruky a iné zabezpečenia.</w:t>
      </w:r>
    </w:p>
    <w:p w14:paraId="00000030" w14:textId="77777777" w:rsidR="00B07453" w:rsidRDefault="00B07453">
      <w:pPr>
        <w:rPr>
          <w:i/>
          <w:color w:val="FF0000"/>
        </w:rPr>
      </w:pPr>
    </w:p>
    <w:p w14:paraId="00000031" w14:textId="77777777" w:rsidR="00B07453" w:rsidRDefault="0023601B">
      <w:pPr>
        <w:pStyle w:val="Nadpis2"/>
        <w:numPr>
          <w:ilvl w:val="1"/>
          <w:numId w:val="8"/>
        </w:numPr>
      </w:pPr>
      <w:r>
        <w:t>Pôžičky poskytnuté členom orgánov spoločnosti</w:t>
      </w:r>
    </w:p>
    <w:p w14:paraId="00000032" w14:textId="77777777" w:rsidR="00B07453" w:rsidRDefault="0023601B">
      <w:bookmarkStart w:id="3" w:name="_heading=h.3znysh7" w:colFirst="0" w:colLast="0"/>
      <w:bookmarkEnd w:id="3"/>
      <w:r>
        <w:t>Členom orgánov spoločnosti neboli poskytnuté žiadne pôžičky.</w:t>
      </w:r>
    </w:p>
    <w:p w14:paraId="00000033" w14:textId="77777777" w:rsidR="00B07453" w:rsidRDefault="00B07453">
      <w:pPr>
        <w:jc w:val="left"/>
      </w:pPr>
      <w:bookmarkStart w:id="4" w:name="_heading=h.2et92p0" w:colFirst="0" w:colLast="0"/>
      <w:bookmarkEnd w:id="4"/>
    </w:p>
    <w:p w14:paraId="00000034" w14:textId="77777777" w:rsidR="00B07453" w:rsidRDefault="00B07453">
      <w:pPr>
        <w:jc w:val="left"/>
      </w:pPr>
    </w:p>
    <w:p w14:paraId="00000035" w14:textId="77777777" w:rsidR="00B07453" w:rsidRDefault="0023601B">
      <w:pPr>
        <w:pStyle w:val="Nadpis1"/>
        <w:numPr>
          <w:ilvl w:val="0"/>
          <w:numId w:val="8"/>
        </w:numPr>
      </w:pPr>
      <w:r>
        <w:t>informácie o prijatých postupoch</w:t>
      </w:r>
    </w:p>
    <w:p w14:paraId="00000036" w14:textId="77777777" w:rsidR="00B07453" w:rsidRDefault="0023601B">
      <w:pPr>
        <w:jc w:val="left"/>
      </w:pPr>
      <w:r>
        <w:t xml:space="preserve"> </w:t>
      </w:r>
    </w:p>
    <w:p w14:paraId="00000037" w14:textId="77777777" w:rsidR="00B07453" w:rsidRDefault="0023601B">
      <w:pPr>
        <w:numPr>
          <w:ilvl w:val="0"/>
          <w:numId w:val="3"/>
        </w:numPr>
      </w:pPr>
      <w: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14:paraId="00000038" w14:textId="77777777" w:rsidR="00B07453" w:rsidRDefault="00B07453">
      <w:pPr>
        <w:rPr>
          <w:sz w:val="14"/>
          <w:szCs w:val="14"/>
        </w:rPr>
      </w:pPr>
    </w:p>
    <w:p w14:paraId="00000039" w14:textId="34F6E8CC" w:rsidR="00B07453" w:rsidRDefault="0023601B">
      <w:pPr>
        <w:numPr>
          <w:ilvl w:val="0"/>
          <w:numId w:val="3"/>
        </w:numPr>
      </w:pPr>
      <w:r>
        <w:t>Účtovná závierka za rok 202</w:t>
      </w:r>
      <w:r w:rsidR="006052B4">
        <w:t>2</w:t>
      </w:r>
      <w:r>
        <w:t xml:space="preserve"> bola zostavená za predpokladu nepretržitého pokračovania činnosti (going concern). </w:t>
      </w:r>
      <w:r w:rsidR="00600797" w:rsidRPr="00600797">
        <w:t>V súvislosti s prebiehajúcim vojnovým konfliktom na Ukrajine vedenie Spoločnosti na základe informácií, ktoré boli k dispozícii ku dňu zostavenia účtovnej závierky, posúdilo možné účinky a následky na Spoločnosť a dospelo k názoru, že v súčasnosti nemajú významné nepriaznivé dopady na finančnú a ekonomickú situáciu Spoločnosti (okrem rastúcich cien vstupov). Vedenie Spoločnosti nepredpokladá významné ohrozenie predpokladu nepretržitého pokračovania v činnosti v blízkej budúcnosti (t.j. počas nasledujúcich 12 mesiacov od dátumu zostavenie účtovnej závierky).</w:t>
      </w:r>
    </w:p>
    <w:p w14:paraId="0000003A" w14:textId="77777777" w:rsidR="00B07453" w:rsidRDefault="00B07453">
      <w:pPr>
        <w:ind w:left="540" w:hanging="540"/>
        <w:rPr>
          <w:sz w:val="14"/>
          <w:szCs w:val="14"/>
        </w:rPr>
      </w:pPr>
    </w:p>
    <w:p w14:paraId="0000003B" w14:textId="77777777" w:rsidR="00B07453" w:rsidRDefault="0023601B">
      <w:pPr>
        <w:numPr>
          <w:ilvl w:val="0"/>
          <w:numId w:val="3"/>
        </w:numPr>
      </w:pPr>
      <w:r>
        <w:t>Účtovníctvo sa vedie na základe dodržania časovej a vecnej súvislosti nákladov a výnosov. Za základ sa berú všetky náklady a výnosy, ktoré sa vzťahujú na účtovné obdobie bez ohľadu na dátum ich platenia. Časovo sa nerozlišujú nevýznamné opakujúce náklady a príjmy týkajúce sa posledného a prvého mesiaca účtovného obdobia.</w:t>
      </w:r>
    </w:p>
    <w:p w14:paraId="0000003C" w14:textId="77777777" w:rsidR="00B07453" w:rsidRDefault="00B07453">
      <w:pPr>
        <w:ind w:left="540" w:hanging="540"/>
        <w:rPr>
          <w:sz w:val="14"/>
          <w:szCs w:val="14"/>
        </w:rPr>
      </w:pPr>
    </w:p>
    <w:p w14:paraId="0000003D" w14:textId="77777777" w:rsidR="00B07453" w:rsidRDefault="0023601B">
      <w:pPr>
        <w:numPr>
          <w:ilvl w:val="0"/>
          <w:numId w:val="3"/>
        </w:numPr>
      </w:pPr>
      <w:r>
        <w:t>Pri oceňovaní majetku a záväzkov sa uplatňuje zásada opatrnosti, t. j. berú sa za základ všetky riziká, straty a zníženia hodnoty, ktoré sa týkajú majetku a záväzkov a ktoré sú známe ku dňu, ku ktorému sa zostavuje účtovná závierka.</w:t>
      </w:r>
    </w:p>
    <w:p w14:paraId="0000003E" w14:textId="77777777" w:rsidR="00B07453" w:rsidRDefault="00B07453">
      <w:pPr>
        <w:ind w:left="540" w:hanging="540"/>
        <w:rPr>
          <w:sz w:val="14"/>
          <w:szCs w:val="14"/>
        </w:rPr>
      </w:pPr>
    </w:p>
    <w:p w14:paraId="0000003F" w14:textId="77777777" w:rsidR="00B07453" w:rsidRDefault="0023601B">
      <w:pPr>
        <w:numPr>
          <w:ilvl w:val="0"/>
          <w:numId w:val="3"/>
        </w:numPr>
      </w:pPr>
      <w:r>
        <w:t>Moment zaúčtovania výnosov – výnosy sa účtujú pri splnení dodacích podmienok, nakoľko v tomto okamihu prechádzajú na odberateľa významné riziká a vlastnícke práva.</w:t>
      </w:r>
    </w:p>
    <w:p w14:paraId="00000040" w14:textId="77777777" w:rsidR="00B07453" w:rsidRDefault="00B07453">
      <w:pPr>
        <w:ind w:left="540" w:hanging="540"/>
        <w:rPr>
          <w:sz w:val="14"/>
          <w:szCs w:val="14"/>
        </w:rPr>
      </w:pPr>
    </w:p>
    <w:p w14:paraId="00000041" w14:textId="77777777" w:rsidR="00B07453" w:rsidRDefault="0023601B">
      <w:pPr>
        <w:numPr>
          <w:ilvl w:val="0"/>
          <w:numId w:val="3"/>
        </w:numPr>
      </w:pPr>
      <w: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00000042" w14:textId="77777777" w:rsidR="00B07453" w:rsidRDefault="00B07453">
      <w:pPr>
        <w:ind w:left="540" w:hanging="540"/>
        <w:rPr>
          <w:sz w:val="14"/>
          <w:szCs w:val="14"/>
        </w:rPr>
      </w:pPr>
    </w:p>
    <w:p w14:paraId="00000043" w14:textId="77777777" w:rsidR="00B07453" w:rsidRDefault="0023601B">
      <w:pPr>
        <w:numPr>
          <w:ilvl w:val="0"/>
          <w:numId w:val="3"/>
        </w:numPr>
      </w:pPr>
      <w: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00000044" w14:textId="77777777" w:rsidR="00B07453" w:rsidRDefault="00B07453">
      <w:pPr>
        <w:jc w:val="left"/>
      </w:pPr>
    </w:p>
    <w:p w14:paraId="00000045" w14:textId="77777777" w:rsidR="00B07453" w:rsidRDefault="0023601B">
      <w:pPr>
        <w:ind w:left="539"/>
      </w:pPr>
      <w: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00000046" w14:textId="77777777" w:rsidR="00B07453" w:rsidRDefault="00B07453">
      <w:pPr>
        <w:ind w:left="539"/>
      </w:pPr>
    </w:p>
    <w:p w14:paraId="00000047" w14:textId="6DFA5A87" w:rsidR="00B07453" w:rsidRDefault="0023601B">
      <w:pPr>
        <w:ind w:left="539"/>
      </w:pPr>
      <w:r w:rsidRPr="00A802A3">
        <w:t>Spoločnosť eviduje k 31.</w:t>
      </w:r>
      <w:r w:rsidRPr="00600797">
        <w:t>12.202</w:t>
      </w:r>
      <w:r w:rsidR="006052B4" w:rsidRPr="00600797">
        <w:t>2</w:t>
      </w:r>
      <w:r w:rsidRPr="00600797">
        <w:t xml:space="preserve"> rezervu na bonusy, rabaty a „free goods“ vyplývajúce zo svojej obchodnej politiky vo výške </w:t>
      </w:r>
      <w:r w:rsidR="00600797" w:rsidRPr="00600797">
        <w:t>560 572</w:t>
      </w:r>
      <w:r w:rsidR="00A802A3" w:rsidRPr="00600797">
        <w:t xml:space="preserve"> </w:t>
      </w:r>
      <w:r w:rsidRPr="00600797">
        <w:t xml:space="preserve">EUR. </w:t>
      </w:r>
    </w:p>
    <w:p w14:paraId="00000048" w14:textId="77777777" w:rsidR="00B07453" w:rsidRDefault="00B07453">
      <w:pPr>
        <w:jc w:val="left"/>
      </w:pPr>
    </w:p>
    <w:p w14:paraId="00000049" w14:textId="77777777" w:rsidR="00B07453" w:rsidRDefault="0023601B">
      <w:pPr>
        <w:numPr>
          <w:ilvl w:val="0"/>
          <w:numId w:val="3"/>
        </w:numPr>
      </w:pPr>
      <w:r>
        <w:t xml:space="preserve">Porovnateľné údaje - 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0000004A" w14:textId="77777777" w:rsidR="00B07453" w:rsidRDefault="00B07453">
      <w:pPr>
        <w:ind w:firstLine="539"/>
        <w:jc w:val="left"/>
      </w:pPr>
    </w:p>
    <w:p w14:paraId="0000004B" w14:textId="77777777" w:rsidR="00B07453" w:rsidRDefault="0023601B">
      <w:pPr>
        <w:pStyle w:val="Nadpis2"/>
      </w:pPr>
      <w:bookmarkStart w:id="5" w:name="_heading=h.tyjcwt" w:colFirst="0" w:colLast="0"/>
      <w:bookmarkEnd w:id="5"/>
      <w:r>
        <w:t>Spôsob ocenenia jednotlivých zložiek majetku a záväzkov – prvé ocenenie</w:t>
      </w:r>
    </w:p>
    <w:p w14:paraId="0000004C" w14:textId="77777777" w:rsidR="00B07453" w:rsidRDefault="00B07453">
      <w:pPr>
        <w:rPr>
          <w:sz w:val="16"/>
          <w:szCs w:val="16"/>
        </w:rPr>
      </w:pPr>
    </w:p>
    <w:p w14:paraId="0000004D" w14:textId="77777777" w:rsidR="00B07453" w:rsidRDefault="0023601B">
      <w:r>
        <w:t>Pri obstaraní majetku sa uplatňuje princíp obstarávacích cien. Ocenenie jednotlivých položiek majetku a záväzkov je nasledovné:</w:t>
      </w:r>
    </w:p>
    <w:p w14:paraId="0000004E" w14:textId="77777777" w:rsidR="00B07453" w:rsidRDefault="00B07453">
      <w:pPr>
        <w:rPr>
          <w:sz w:val="16"/>
          <w:szCs w:val="16"/>
        </w:rPr>
      </w:pPr>
    </w:p>
    <w:p w14:paraId="0000004F" w14:textId="77777777" w:rsidR="00B07453" w:rsidRDefault="0023601B">
      <w:pPr>
        <w:numPr>
          <w:ilvl w:val="0"/>
          <w:numId w:val="2"/>
        </w:numPr>
      </w:pPr>
      <w:r>
        <w:t>Dlhodobý hmotný a nehmotný majetok obstaraný kúpou – obstarávacou cenou. Obstarávacia cena je cena, za ktorú sa majetok obstaral a náklady súvisiace s jeho obstaraním (napr. prepravné, montáž, ...).</w:t>
      </w:r>
    </w:p>
    <w:p w14:paraId="00000050" w14:textId="77777777" w:rsidR="00B07453" w:rsidRDefault="00B07453"/>
    <w:p w14:paraId="00000051" w14:textId="77777777" w:rsidR="00B07453" w:rsidRDefault="0023601B">
      <w:pPr>
        <w:numPr>
          <w:ilvl w:val="0"/>
          <w:numId w:val="2"/>
        </w:numPr>
      </w:pPr>
      <w:r>
        <w:t>Zásoby obstarané kúpou:</w:t>
      </w:r>
    </w:p>
    <w:p w14:paraId="00000052" w14:textId="77777777" w:rsidR="00B07453" w:rsidRDefault="0023601B">
      <w:pPr>
        <w:numPr>
          <w:ilvl w:val="0"/>
          <w:numId w:val="4"/>
        </w:numPr>
      </w:pPr>
      <w:r>
        <w:t xml:space="preserve">Nakupovaný materiál– obstarávacou cenou. Táto cena obsahuje cenu obstarania a náklady súvisiace s obstaraním. Spoločnosť nakupovaný spotrebný materiál účtuje do spotreby. </w:t>
      </w:r>
    </w:p>
    <w:p w14:paraId="00000053" w14:textId="77777777" w:rsidR="00B07453" w:rsidRDefault="0023601B">
      <w:pPr>
        <w:numPr>
          <w:ilvl w:val="0"/>
          <w:numId w:val="4"/>
        </w:numPr>
      </w:pPr>
      <w:r>
        <w:t>Nakupovaný tovar – obstarávacou cenou ktorá obsahuje cenu obstarania a náklady súvisiace s obstaraním (napr. prepravné, skonto a pod.). Úbytok zásob sa účtuje na základe šarže tovaru v skladových cenách, pričom odchýlky sa rozpúšťajú. Spoločnosť zásoby skladuje a tiež realizuje priame dodávky k distribútorom prípadne priamo k zákazníkom.</w:t>
      </w:r>
    </w:p>
    <w:p w14:paraId="00000054" w14:textId="77777777" w:rsidR="00B07453" w:rsidRDefault="00B07453">
      <w:pPr>
        <w:ind w:left="851"/>
      </w:pPr>
    </w:p>
    <w:p w14:paraId="00000055" w14:textId="77777777" w:rsidR="00B07453" w:rsidRDefault="0023601B">
      <w:pPr>
        <w:ind w:left="851"/>
      </w:pPr>
      <w:r>
        <w:t>Zníženie úžitkovej hodnoty zásob tovaru bolo zohľadnené vytvorením opravnej položky. Úžitková hodnota zásob sa znížila predovšetkým posúdením exspirácie. Zásoby sú kryté skupinovým poistením.</w:t>
      </w:r>
    </w:p>
    <w:p w14:paraId="00000056" w14:textId="77777777" w:rsidR="00B07453" w:rsidRDefault="00B07453">
      <w:pPr>
        <w:ind w:left="851"/>
      </w:pPr>
    </w:p>
    <w:p w14:paraId="00000057" w14:textId="77777777" w:rsidR="00B07453" w:rsidRDefault="0023601B">
      <w:pPr>
        <w:numPr>
          <w:ilvl w:val="0"/>
          <w:numId w:val="2"/>
        </w:numPr>
      </w:pPr>
      <w:r>
        <w:t>Pohľadávky:</w:t>
      </w:r>
    </w:p>
    <w:p w14:paraId="00000058" w14:textId="77777777" w:rsidR="00B07453" w:rsidRDefault="0023601B">
      <w:pPr>
        <w:numPr>
          <w:ilvl w:val="0"/>
          <w:numId w:val="6"/>
        </w:numPr>
      </w:pPr>
      <w:r>
        <w:t>pri ich vzniku alebo bezodplatnom nadobudnutí – menovitou hodnotou,</w:t>
      </w:r>
    </w:p>
    <w:p w14:paraId="00000059" w14:textId="77777777" w:rsidR="00B07453" w:rsidRDefault="0023601B">
      <w:pPr>
        <w:numPr>
          <w:ilvl w:val="0"/>
          <w:numId w:val="6"/>
        </w:numPr>
      </w:pPr>
      <w:r>
        <w:t>pri odplatnom nadobudnutí (postúpení) alebo nadobudnutí vkladom do základného imania – obstarávacou cenou.</w:t>
      </w:r>
    </w:p>
    <w:p w14:paraId="0000005A" w14:textId="77777777" w:rsidR="00B07453" w:rsidRDefault="00B07453">
      <w:pPr>
        <w:ind w:left="851"/>
      </w:pPr>
    </w:p>
    <w:p w14:paraId="0000005B" w14:textId="77777777" w:rsidR="00B07453" w:rsidRDefault="0023601B">
      <w:pPr>
        <w:numPr>
          <w:ilvl w:val="0"/>
          <w:numId w:val="2"/>
        </w:numPr>
      </w:pPr>
      <w:r>
        <w:t>Peňažné prostriedky a ceniny sa oceňujú ich menovitou hodnotou.</w:t>
      </w:r>
    </w:p>
    <w:p w14:paraId="0000005C" w14:textId="77777777" w:rsidR="00B07453" w:rsidRDefault="00B07453"/>
    <w:p w14:paraId="0000005D" w14:textId="77777777" w:rsidR="00B07453" w:rsidRDefault="0023601B">
      <w:pPr>
        <w:numPr>
          <w:ilvl w:val="0"/>
          <w:numId w:val="2"/>
        </w:numPr>
      </w:pPr>
      <w:r>
        <w:t>Časové rozlíšenie na strane aktív súvahy – očakávanou menovitou hodnotou.</w:t>
      </w:r>
    </w:p>
    <w:p w14:paraId="0000005E" w14:textId="77777777" w:rsidR="00B07453" w:rsidRDefault="00B07453"/>
    <w:p w14:paraId="0000005F" w14:textId="77777777" w:rsidR="00B07453" w:rsidRDefault="0023601B">
      <w:pPr>
        <w:numPr>
          <w:ilvl w:val="0"/>
          <w:numId w:val="2"/>
        </w:numPr>
      </w:pPr>
      <w:r>
        <w:t>Záväzky:</w:t>
      </w:r>
    </w:p>
    <w:p w14:paraId="00000060" w14:textId="77777777" w:rsidR="00B07453" w:rsidRDefault="0023601B">
      <w:pPr>
        <w:numPr>
          <w:ilvl w:val="0"/>
          <w:numId w:val="5"/>
        </w:numPr>
      </w:pPr>
      <w:r>
        <w:t>pri ich vzniku – menovitou hodnotou,</w:t>
      </w:r>
    </w:p>
    <w:p w14:paraId="00000061" w14:textId="77777777" w:rsidR="00B07453" w:rsidRDefault="0023601B">
      <w:pPr>
        <w:numPr>
          <w:ilvl w:val="0"/>
          <w:numId w:val="5"/>
        </w:numPr>
      </w:pPr>
      <w:r>
        <w:t>pri prevzatí – obstarávacou cenou.</w:t>
      </w:r>
    </w:p>
    <w:p w14:paraId="00000062" w14:textId="77777777" w:rsidR="00B07453" w:rsidRDefault="00B07453"/>
    <w:p w14:paraId="00000063" w14:textId="77777777" w:rsidR="00B07453" w:rsidRDefault="0023601B">
      <w:pPr>
        <w:numPr>
          <w:ilvl w:val="0"/>
          <w:numId w:val="2"/>
        </w:numPr>
      </w:pPr>
      <w:r>
        <w:t>Rezervy – v očakávanej výške záväzku alebo poistnomatematickými metódami.</w:t>
      </w:r>
    </w:p>
    <w:p w14:paraId="00000064" w14:textId="77777777" w:rsidR="00B07453" w:rsidRDefault="00B07453"/>
    <w:p w14:paraId="00000065" w14:textId="77777777" w:rsidR="00B07453" w:rsidRDefault="0023601B">
      <w:pPr>
        <w:numPr>
          <w:ilvl w:val="0"/>
          <w:numId w:val="2"/>
        </w:numPr>
      </w:pPr>
      <w:r>
        <w:t>Časové rozlíšenie na strane pasív súvahy – očakávanou menovitou hodnotou.</w:t>
      </w:r>
    </w:p>
    <w:p w14:paraId="00000066" w14:textId="77777777" w:rsidR="00B07453" w:rsidRDefault="00B07453"/>
    <w:p w14:paraId="00000067" w14:textId="77777777" w:rsidR="00B07453" w:rsidRDefault="0023601B">
      <w:pPr>
        <w:numPr>
          <w:ilvl w:val="0"/>
          <w:numId w:val="2"/>
        </w:numPr>
      </w:pPr>
      <w:r>
        <w:t>Daň z príjmov splatná – podľa slovenského zákona o dani z príjmov sa splatné dane z príjmov určujú z účtovného zisku pred zdanením pri sadzbe 21 % po úpravách o niektoré položky na daňové účely.</w:t>
      </w:r>
    </w:p>
    <w:p w14:paraId="00000068" w14:textId="77777777" w:rsidR="00B07453" w:rsidRDefault="00B07453"/>
    <w:p w14:paraId="0000006B" w14:textId="7CD3DBE1" w:rsidR="00B07453" w:rsidRDefault="0023601B" w:rsidP="00600797">
      <w:pPr>
        <w:numPr>
          <w:ilvl w:val="0"/>
          <w:numId w:val="2"/>
        </w:numPr>
      </w:pPr>
      <w:r>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používa sadzba dane z príjmov platná v </w:t>
      </w:r>
      <w:r w:rsidRPr="00A802A3">
        <w:t xml:space="preserve">nasledujúcom účtovnom období, t. j. 21 %. </w:t>
      </w:r>
      <w:r w:rsidR="00600797">
        <w:t xml:space="preserve"> </w:t>
      </w:r>
      <w:r>
        <w:t>Výpočet odloženej daňovej pohľadávky:</w:t>
      </w:r>
    </w:p>
    <w:bookmarkStart w:id="6" w:name="_heading=h.3dy6vkm" w:colFirst="0" w:colLast="0"/>
    <w:bookmarkEnd w:id="6"/>
    <w:bookmarkStart w:id="7" w:name="_MON_1690632051"/>
    <w:bookmarkEnd w:id="7"/>
    <w:p w14:paraId="0000006C" w14:textId="774E159C" w:rsidR="00B07453" w:rsidRDefault="004C6CEF">
      <w:pPr>
        <w:ind w:left="539"/>
      </w:pPr>
      <w:r>
        <w:object w:dxaOrig="8417" w:dyaOrig="2373" w14:anchorId="6407555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420.6pt;height:118.2pt" o:ole="">
            <v:imagedata r:id="rId8" o:title=""/>
          </v:shape>
          <o:OLEObject Type="Embed" ProgID="Excel.Sheet.12" ShapeID="_x0000_i1032" DrawAspect="Content" ObjectID="_1738579548" r:id="rId9"/>
        </w:object>
      </w:r>
    </w:p>
    <w:p w14:paraId="0000006D" w14:textId="0DF5FF01" w:rsidR="00B07453" w:rsidRDefault="00B07453">
      <w:pPr>
        <w:ind w:left="539"/>
      </w:pPr>
    </w:p>
    <w:p w14:paraId="3144713A" w14:textId="167ED3BE" w:rsidR="00600797" w:rsidRDefault="00600797">
      <w:pPr>
        <w:ind w:left="539"/>
      </w:pPr>
      <w:r>
        <w:t xml:space="preserve">V roku 2022 sa </w:t>
      </w:r>
      <w:r w:rsidRPr="00600797">
        <w:t>Spoločnosť z dôvodu opatrnosti rozhodla neúčtovať o odloženej daňovej pohľadávke.</w:t>
      </w:r>
    </w:p>
    <w:p w14:paraId="278C2FA2" w14:textId="77777777" w:rsidR="00600797" w:rsidRDefault="00600797">
      <w:pPr>
        <w:ind w:left="539"/>
      </w:pPr>
    </w:p>
    <w:p w14:paraId="0000006E" w14:textId="77777777" w:rsidR="00B07453" w:rsidRDefault="0023601B">
      <w:pPr>
        <w:pStyle w:val="Nadpis2"/>
      </w:pPr>
      <w:bookmarkStart w:id="8" w:name="_heading=h.1t3h5sf" w:colFirst="0" w:colLast="0"/>
      <w:bookmarkEnd w:id="8"/>
      <w:r>
        <w:t>Spôsob ocenenia jednotlivých zložiek majetku a záväzkov – nasledujúce ocenenie</w:t>
      </w:r>
    </w:p>
    <w:p w14:paraId="0000006F" w14:textId="77777777" w:rsidR="00B07453" w:rsidRDefault="00B07453"/>
    <w:p w14:paraId="00000070" w14:textId="77777777" w:rsidR="00B07453" w:rsidRDefault="0023601B">
      <w:pPr>
        <w:numPr>
          <w:ilvl w:val="0"/>
          <w:numId w:val="14"/>
        </w:numPr>
      </w:pPr>
      <w:bookmarkStart w:id="9" w:name="_heading=h.4d34og8" w:colFirst="0" w:colLast="0"/>
      <w:bookmarkEnd w:id="9"/>
      <w:r>
        <w:t xml:space="preserve">Predpokladané riziká, straty a zníženia hodnoty, ktoré sa týkajú majetku a záväzkov, sa vyjadrujú prostredníctvom rezerv, opravných položiek a odpisov. </w:t>
      </w:r>
    </w:p>
    <w:p w14:paraId="00000071" w14:textId="77777777" w:rsidR="00B07453" w:rsidRDefault="00B07453"/>
    <w:p w14:paraId="00000072" w14:textId="77777777" w:rsidR="00B07453" w:rsidRDefault="0023601B">
      <w:pPr>
        <w:numPr>
          <w:ilvl w:val="0"/>
          <w:numId w:val="7"/>
        </w:numPr>
        <w:ind w:left="900" w:hanging="360"/>
      </w:pPr>
      <w:r>
        <w:rPr>
          <w:u w:val="single"/>
        </w:rPr>
        <w:t>Rezervy</w:t>
      </w:r>
      <w:r>
        <w:t xml:space="preserve"> – účtujú sa v očakávanej výške záväzku. Ku dňu, ku ktorému sa zostavuje účtovná závierka, sa posudzuje ich výška a odôvodnenosť. </w:t>
      </w:r>
    </w:p>
    <w:p w14:paraId="00000073" w14:textId="77777777" w:rsidR="00B07453" w:rsidRDefault="00B07453">
      <w:pPr>
        <w:ind w:left="539"/>
      </w:pPr>
    </w:p>
    <w:p w14:paraId="00000074" w14:textId="77777777" w:rsidR="00B07453" w:rsidRDefault="0023601B">
      <w:pPr>
        <w:numPr>
          <w:ilvl w:val="0"/>
          <w:numId w:val="9"/>
        </w:numPr>
        <w:ind w:left="900" w:hanging="360"/>
      </w:pPr>
      <w:r>
        <w:rPr>
          <w:u w:val="single"/>
        </w:rPr>
        <w:t>Opravné položky</w:t>
      </w:r>
      <w:r>
        <w:t xml:space="preserve"> – účtujú sa v sume opodstatneného predpokladu zníženia hodnoty majetku oproti jeho oceneniu v účtovníctve, a to:</w:t>
      </w:r>
    </w:p>
    <w:p w14:paraId="00000075" w14:textId="77777777" w:rsidR="00B07453" w:rsidRDefault="0023601B">
      <w:pPr>
        <w:numPr>
          <w:ilvl w:val="1"/>
          <w:numId w:val="13"/>
        </w:numPr>
        <w:ind w:left="1260" w:hanging="360"/>
      </w:pPr>
      <w:bookmarkStart w:id="10" w:name="_heading=h.2s8eyo1" w:colFirst="0" w:colLast="0"/>
      <w:bookmarkEnd w:id="10"/>
      <w:r>
        <w:t xml:space="preserve">k tovaru podľa posúdenia exspiráciou tovaru podľa skupinových pravidiel a na základe posúdenia v rámci fyzickej inventúry, </w:t>
      </w:r>
    </w:p>
    <w:p w14:paraId="00000076" w14:textId="77777777" w:rsidR="00B07453" w:rsidRDefault="0023601B">
      <w:pPr>
        <w:numPr>
          <w:ilvl w:val="1"/>
          <w:numId w:val="13"/>
        </w:numPr>
        <w:ind w:left="1260" w:hanging="360"/>
      </w:pPr>
      <w:r>
        <w:t>k pohľadávkam po lehote splatnosti na základe skupinových pravidiel a tiež individuálneho posúdenia.</w:t>
      </w:r>
    </w:p>
    <w:p w14:paraId="00000077" w14:textId="77777777" w:rsidR="00B07453" w:rsidRDefault="00B07453">
      <w:pPr>
        <w:ind w:left="1260"/>
      </w:pPr>
    </w:p>
    <w:p w14:paraId="00000078" w14:textId="77777777" w:rsidR="00B07453" w:rsidRDefault="0023601B">
      <w:pPr>
        <w:ind w:left="900"/>
      </w:pPr>
      <w:bookmarkStart w:id="11" w:name="_heading=h.17dp8vu" w:colFirst="0" w:colLast="0"/>
      <w:bookmarkEnd w:id="11"/>
      <w:r>
        <w:t>Opravná položka sa účtuje v sume opodstatneného predpokladu zníženia hodnoty majetku oproti jeho oceneniu v účtovníctve. Opravné položky sa zrušia alebo zmení sa ich výška, ak nastane zmena predpokladu zníženia hodnoty.</w:t>
      </w:r>
    </w:p>
    <w:p w14:paraId="00000079" w14:textId="77777777" w:rsidR="00B07453" w:rsidRDefault="00B07453">
      <w:pPr>
        <w:ind w:left="900"/>
      </w:pPr>
    </w:p>
    <w:tbl>
      <w:tblPr>
        <w:tblStyle w:val="a1"/>
        <w:tblW w:w="8079" w:type="dxa"/>
        <w:tblInd w:w="10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409"/>
        <w:gridCol w:w="3119"/>
        <w:gridCol w:w="2551"/>
      </w:tblGrid>
      <w:tr w:rsidR="00B07453" w14:paraId="1070BE55" w14:textId="77777777">
        <w:trPr>
          <w:trHeight w:val="116"/>
        </w:trPr>
        <w:tc>
          <w:tcPr>
            <w:tcW w:w="2409" w:type="dxa"/>
            <w:shd w:val="clear" w:color="auto" w:fill="auto"/>
            <w:vAlign w:val="center"/>
          </w:tcPr>
          <w:p w14:paraId="0000007A" w14:textId="77777777" w:rsidR="00B07453" w:rsidRDefault="0023601B">
            <w:r>
              <w:t>Charakteristika majetku</w:t>
            </w:r>
          </w:p>
        </w:tc>
        <w:tc>
          <w:tcPr>
            <w:tcW w:w="3119" w:type="dxa"/>
            <w:shd w:val="clear" w:color="auto" w:fill="auto"/>
            <w:vAlign w:val="center"/>
          </w:tcPr>
          <w:p w14:paraId="0000007B" w14:textId="77777777" w:rsidR="00B07453" w:rsidRDefault="0023601B">
            <w:r>
              <w:t>Odhad zníženia hodnoty majetku</w:t>
            </w:r>
          </w:p>
        </w:tc>
        <w:tc>
          <w:tcPr>
            <w:tcW w:w="2551" w:type="dxa"/>
            <w:shd w:val="clear" w:color="auto" w:fill="auto"/>
            <w:vAlign w:val="center"/>
          </w:tcPr>
          <w:p w14:paraId="0000007C" w14:textId="77777777" w:rsidR="00B07453" w:rsidRDefault="0023601B">
            <w:r>
              <w:t>Vytvorená opravná položka</w:t>
            </w:r>
          </w:p>
        </w:tc>
      </w:tr>
      <w:tr w:rsidR="00B07453" w:rsidRPr="00654131" w14:paraId="5042729C" w14:textId="77777777">
        <w:trPr>
          <w:trHeight w:val="93"/>
        </w:trPr>
        <w:tc>
          <w:tcPr>
            <w:tcW w:w="2409" w:type="dxa"/>
            <w:shd w:val="clear" w:color="auto" w:fill="auto"/>
            <w:vAlign w:val="bottom"/>
          </w:tcPr>
          <w:p w14:paraId="0000007D" w14:textId="77777777" w:rsidR="00B07453" w:rsidRPr="00654131" w:rsidRDefault="0023601B">
            <w:pPr>
              <w:ind w:firstLine="170"/>
            </w:pPr>
            <w:r w:rsidRPr="00654131">
              <w:t>Zásoby</w:t>
            </w:r>
          </w:p>
        </w:tc>
        <w:tc>
          <w:tcPr>
            <w:tcW w:w="3119" w:type="dxa"/>
            <w:shd w:val="clear" w:color="auto" w:fill="auto"/>
            <w:vAlign w:val="bottom"/>
          </w:tcPr>
          <w:p w14:paraId="0000007E" w14:textId="408CB6F0" w:rsidR="00B07453" w:rsidRPr="00A15727" w:rsidRDefault="00A15727">
            <w:pPr>
              <w:ind w:firstLine="510"/>
              <w:jc w:val="right"/>
            </w:pPr>
            <w:r w:rsidRPr="00A15727">
              <w:t>95 288</w:t>
            </w:r>
          </w:p>
        </w:tc>
        <w:tc>
          <w:tcPr>
            <w:tcW w:w="2551" w:type="dxa"/>
            <w:shd w:val="clear" w:color="auto" w:fill="auto"/>
            <w:vAlign w:val="bottom"/>
          </w:tcPr>
          <w:p w14:paraId="0000007F" w14:textId="043F7C6B" w:rsidR="00B07453" w:rsidRPr="00A15727" w:rsidRDefault="00A15727">
            <w:pPr>
              <w:ind w:firstLine="510"/>
              <w:jc w:val="right"/>
            </w:pPr>
            <w:r w:rsidRPr="00A15727">
              <w:t>95 288</w:t>
            </w:r>
          </w:p>
        </w:tc>
      </w:tr>
      <w:tr w:rsidR="00654131" w14:paraId="20339933" w14:textId="77777777">
        <w:trPr>
          <w:trHeight w:val="93"/>
        </w:trPr>
        <w:tc>
          <w:tcPr>
            <w:tcW w:w="2409" w:type="dxa"/>
            <w:shd w:val="clear" w:color="auto" w:fill="auto"/>
            <w:vAlign w:val="bottom"/>
          </w:tcPr>
          <w:p w14:paraId="00000080" w14:textId="77777777" w:rsidR="00654131" w:rsidRPr="00654131" w:rsidRDefault="00654131" w:rsidP="00654131">
            <w:pPr>
              <w:ind w:firstLine="170"/>
            </w:pPr>
            <w:r w:rsidRPr="00654131">
              <w:t> Pohľadávky</w:t>
            </w:r>
          </w:p>
        </w:tc>
        <w:tc>
          <w:tcPr>
            <w:tcW w:w="3119" w:type="dxa"/>
            <w:shd w:val="clear" w:color="auto" w:fill="auto"/>
            <w:vAlign w:val="bottom"/>
          </w:tcPr>
          <w:p w14:paraId="00000081" w14:textId="4441CCEF" w:rsidR="00654131" w:rsidRPr="00A15727" w:rsidRDefault="00600797" w:rsidP="00654131">
            <w:pPr>
              <w:ind w:firstLine="510"/>
              <w:jc w:val="right"/>
            </w:pPr>
            <w:r w:rsidRPr="00A15727">
              <w:t>8 688</w:t>
            </w:r>
          </w:p>
        </w:tc>
        <w:tc>
          <w:tcPr>
            <w:tcW w:w="2551" w:type="dxa"/>
            <w:shd w:val="clear" w:color="auto" w:fill="auto"/>
            <w:vAlign w:val="bottom"/>
          </w:tcPr>
          <w:p w14:paraId="00000082" w14:textId="070DBD6C" w:rsidR="00654131" w:rsidRPr="00A15727" w:rsidRDefault="00A15727" w:rsidP="00654131">
            <w:pPr>
              <w:ind w:firstLine="510"/>
              <w:jc w:val="right"/>
            </w:pPr>
            <w:r w:rsidRPr="00A15727">
              <w:t>8 688</w:t>
            </w:r>
          </w:p>
        </w:tc>
      </w:tr>
    </w:tbl>
    <w:p w14:paraId="00000083" w14:textId="77777777" w:rsidR="00B07453" w:rsidRDefault="00B07453">
      <w:pPr>
        <w:ind w:left="900"/>
      </w:pPr>
    </w:p>
    <w:p w14:paraId="00000084" w14:textId="77777777" w:rsidR="00B07453" w:rsidRDefault="0023601B">
      <w:pPr>
        <w:numPr>
          <w:ilvl w:val="0"/>
          <w:numId w:val="10"/>
        </w:numPr>
        <w:ind w:left="900" w:hanging="360"/>
      </w:pPr>
      <w:r>
        <w:rPr>
          <w:u w:val="single"/>
        </w:rPr>
        <w:t xml:space="preserve">Plán odpisov </w:t>
      </w:r>
    </w:p>
    <w:p w14:paraId="00000085" w14:textId="77777777" w:rsidR="00B07453" w:rsidRDefault="00B07453">
      <w:pPr>
        <w:ind w:left="900"/>
      </w:pPr>
    </w:p>
    <w:p w14:paraId="00000086" w14:textId="6DA21CD3" w:rsidR="00B07453" w:rsidRDefault="0023601B">
      <w:pPr>
        <w:ind w:left="900"/>
      </w:pPr>
      <w:r>
        <w:t xml:space="preserve">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Majetok sa začína odpisovať v mesiaci zaradenia do používania. </w:t>
      </w:r>
    </w:p>
    <w:p w14:paraId="00000087" w14:textId="77777777" w:rsidR="00B07453" w:rsidRDefault="00B07453">
      <w:pPr>
        <w:ind w:left="900"/>
      </w:pPr>
    </w:p>
    <w:p w14:paraId="00000088" w14:textId="77777777" w:rsidR="00B07453" w:rsidRDefault="0023601B">
      <w:pPr>
        <w:ind w:left="900"/>
      </w:pPr>
      <w:r>
        <w:t>Priemerné životnosti podľa plánu odpisov sú:</w:t>
      </w:r>
    </w:p>
    <w:p w14:paraId="00000089" w14:textId="77777777" w:rsidR="00B07453" w:rsidRDefault="00B07453">
      <w:pPr>
        <w:ind w:left="900"/>
        <w:rPr>
          <w:b/>
        </w:rPr>
      </w:pPr>
    </w:p>
    <w:tbl>
      <w:tblPr>
        <w:tblStyle w:val="a2"/>
        <w:tblW w:w="8172" w:type="dxa"/>
        <w:tblInd w:w="970" w:type="dxa"/>
        <w:tblLayout w:type="fixed"/>
        <w:tblLook w:val="0000" w:firstRow="0" w:lastRow="0" w:firstColumn="0" w:lastColumn="0" w:noHBand="0" w:noVBand="0"/>
      </w:tblPr>
      <w:tblGrid>
        <w:gridCol w:w="3211"/>
        <w:gridCol w:w="2268"/>
        <w:gridCol w:w="2693"/>
      </w:tblGrid>
      <w:tr w:rsidR="00B07453" w14:paraId="7688FAC9" w14:textId="77777777">
        <w:tc>
          <w:tcPr>
            <w:tcW w:w="3211" w:type="dxa"/>
            <w:tcBorders>
              <w:top w:val="single" w:sz="8" w:space="0" w:color="000000"/>
              <w:bottom w:val="single" w:sz="4" w:space="0" w:color="000000"/>
            </w:tcBorders>
          </w:tcPr>
          <w:p w14:paraId="0000008A" w14:textId="77777777" w:rsidR="00B07453" w:rsidRDefault="0023601B">
            <w:pPr>
              <w:jc w:val="left"/>
              <w:rPr>
                <w:b/>
                <w:i/>
                <w:sz w:val="15"/>
                <w:szCs w:val="15"/>
              </w:rPr>
            </w:pPr>
            <w:r>
              <w:rPr>
                <w:b/>
                <w:i/>
                <w:sz w:val="15"/>
                <w:szCs w:val="15"/>
              </w:rPr>
              <w:t>Druh majetku</w:t>
            </w:r>
          </w:p>
        </w:tc>
        <w:tc>
          <w:tcPr>
            <w:tcW w:w="2268" w:type="dxa"/>
            <w:tcBorders>
              <w:top w:val="single" w:sz="8" w:space="0" w:color="000000"/>
              <w:bottom w:val="single" w:sz="4" w:space="0" w:color="000000"/>
            </w:tcBorders>
          </w:tcPr>
          <w:p w14:paraId="0000008B" w14:textId="77777777" w:rsidR="00B07453" w:rsidRDefault="0023601B">
            <w:pPr>
              <w:jc w:val="center"/>
              <w:rPr>
                <w:b/>
                <w:i/>
                <w:sz w:val="15"/>
                <w:szCs w:val="15"/>
              </w:rPr>
            </w:pPr>
            <w:r>
              <w:rPr>
                <w:b/>
                <w:i/>
                <w:sz w:val="15"/>
                <w:szCs w:val="15"/>
              </w:rPr>
              <w:t>Životnosť</w:t>
            </w:r>
          </w:p>
        </w:tc>
        <w:tc>
          <w:tcPr>
            <w:tcW w:w="2693" w:type="dxa"/>
            <w:tcBorders>
              <w:top w:val="single" w:sz="8" w:space="0" w:color="000000"/>
              <w:bottom w:val="single" w:sz="4" w:space="0" w:color="000000"/>
            </w:tcBorders>
          </w:tcPr>
          <w:p w14:paraId="0000008C" w14:textId="77777777" w:rsidR="00B07453" w:rsidRDefault="0023601B">
            <w:pPr>
              <w:jc w:val="center"/>
              <w:rPr>
                <w:b/>
                <w:i/>
                <w:sz w:val="15"/>
                <w:szCs w:val="15"/>
              </w:rPr>
            </w:pPr>
            <w:r>
              <w:rPr>
                <w:b/>
                <w:i/>
                <w:sz w:val="15"/>
                <w:szCs w:val="15"/>
              </w:rPr>
              <w:t>Ročná sadzba odpisov</w:t>
            </w:r>
          </w:p>
        </w:tc>
      </w:tr>
      <w:tr w:rsidR="00B07453" w14:paraId="0009F93E" w14:textId="77777777">
        <w:tc>
          <w:tcPr>
            <w:tcW w:w="3211" w:type="dxa"/>
          </w:tcPr>
          <w:p w14:paraId="0000008D" w14:textId="77777777" w:rsidR="00B07453" w:rsidRDefault="0023601B">
            <w:pPr>
              <w:tabs>
                <w:tab w:val="left" w:pos="1920"/>
              </w:tabs>
              <w:rPr>
                <w:sz w:val="15"/>
                <w:szCs w:val="15"/>
              </w:rPr>
            </w:pPr>
            <w:r>
              <w:rPr>
                <w:sz w:val="15"/>
                <w:szCs w:val="15"/>
              </w:rPr>
              <w:t>Technické zhodnotenie prenajatých nehnuteľnosti</w:t>
            </w:r>
          </w:p>
        </w:tc>
        <w:tc>
          <w:tcPr>
            <w:tcW w:w="2268" w:type="dxa"/>
          </w:tcPr>
          <w:p w14:paraId="0000008E" w14:textId="77777777" w:rsidR="00B07453" w:rsidRDefault="0023601B">
            <w:pPr>
              <w:jc w:val="center"/>
              <w:rPr>
                <w:sz w:val="15"/>
                <w:szCs w:val="15"/>
              </w:rPr>
            </w:pPr>
            <w:r>
              <w:rPr>
                <w:sz w:val="15"/>
                <w:szCs w:val="15"/>
              </w:rPr>
              <w:t>počas doby nájmu</w:t>
            </w:r>
          </w:p>
        </w:tc>
        <w:tc>
          <w:tcPr>
            <w:tcW w:w="2693" w:type="dxa"/>
          </w:tcPr>
          <w:p w14:paraId="0000008F" w14:textId="77777777" w:rsidR="00B07453" w:rsidRDefault="00B07453">
            <w:pPr>
              <w:jc w:val="center"/>
              <w:rPr>
                <w:sz w:val="15"/>
                <w:szCs w:val="15"/>
              </w:rPr>
            </w:pPr>
          </w:p>
        </w:tc>
      </w:tr>
      <w:tr w:rsidR="00B07453" w14:paraId="19AB7BB2" w14:textId="77777777">
        <w:tc>
          <w:tcPr>
            <w:tcW w:w="3211" w:type="dxa"/>
          </w:tcPr>
          <w:p w14:paraId="00000090" w14:textId="77777777" w:rsidR="00B07453" w:rsidRDefault="0023601B">
            <w:pPr>
              <w:tabs>
                <w:tab w:val="left" w:pos="1920"/>
              </w:tabs>
              <w:rPr>
                <w:b/>
                <w:sz w:val="15"/>
                <w:szCs w:val="15"/>
              </w:rPr>
            </w:pPr>
            <w:r>
              <w:rPr>
                <w:sz w:val="15"/>
                <w:szCs w:val="15"/>
              </w:rPr>
              <w:t>Stroje a zariadenia</w:t>
            </w:r>
          </w:p>
        </w:tc>
        <w:tc>
          <w:tcPr>
            <w:tcW w:w="2268" w:type="dxa"/>
          </w:tcPr>
          <w:p w14:paraId="00000091" w14:textId="77777777" w:rsidR="00B07453" w:rsidRDefault="0023601B">
            <w:pPr>
              <w:jc w:val="center"/>
              <w:rPr>
                <w:sz w:val="15"/>
                <w:szCs w:val="15"/>
              </w:rPr>
            </w:pPr>
            <w:r>
              <w:rPr>
                <w:sz w:val="15"/>
                <w:szCs w:val="15"/>
              </w:rPr>
              <w:t>4 až 6 rokov</w:t>
            </w:r>
          </w:p>
        </w:tc>
        <w:tc>
          <w:tcPr>
            <w:tcW w:w="2693" w:type="dxa"/>
          </w:tcPr>
          <w:p w14:paraId="00000092" w14:textId="77777777" w:rsidR="00B07453" w:rsidRDefault="0023601B">
            <w:pPr>
              <w:jc w:val="center"/>
              <w:rPr>
                <w:sz w:val="15"/>
                <w:szCs w:val="15"/>
              </w:rPr>
            </w:pPr>
            <w:r>
              <w:rPr>
                <w:sz w:val="15"/>
                <w:szCs w:val="15"/>
              </w:rPr>
              <w:t>25% - 16,67%</w:t>
            </w:r>
          </w:p>
        </w:tc>
      </w:tr>
      <w:tr w:rsidR="00B07453" w14:paraId="62B509AB" w14:textId="77777777">
        <w:tc>
          <w:tcPr>
            <w:tcW w:w="3211" w:type="dxa"/>
          </w:tcPr>
          <w:p w14:paraId="00000093" w14:textId="77777777" w:rsidR="00B07453" w:rsidRDefault="0023601B">
            <w:pPr>
              <w:rPr>
                <w:b/>
                <w:sz w:val="15"/>
                <w:szCs w:val="15"/>
              </w:rPr>
            </w:pPr>
            <w:r>
              <w:rPr>
                <w:sz w:val="15"/>
                <w:szCs w:val="15"/>
              </w:rPr>
              <w:t>Inventár</w:t>
            </w:r>
          </w:p>
        </w:tc>
        <w:tc>
          <w:tcPr>
            <w:tcW w:w="2268" w:type="dxa"/>
          </w:tcPr>
          <w:p w14:paraId="00000094" w14:textId="77777777" w:rsidR="00B07453" w:rsidRDefault="0023601B">
            <w:pPr>
              <w:jc w:val="center"/>
              <w:rPr>
                <w:sz w:val="15"/>
                <w:szCs w:val="15"/>
              </w:rPr>
            </w:pPr>
            <w:r>
              <w:rPr>
                <w:sz w:val="15"/>
                <w:szCs w:val="15"/>
              </w:rPr>
              <w:t>6 rokov</w:t>
            </w:r>
          </w:p>
        </w:tc>
        <w:tc>
          <w:tcPr>
            <w:tcW w:w="2693" w:type="dxa"/>
          </w:tcPr>
          <w:p w14:paraId="00000095" w14:textId="77777777" w:rsidR="00B07453" w:rsidRDefault="0023601B">
            <w:pPr>
              <w:jc w:val="center"/>
              <w:rPr>
                <w:sz w:val="15"/>
                <w:szCs w:val="15"/>
                <w:vertAlign w:val="subscript"/>
              </w:rPr>
            </w:pPr>
            <w:r>
              <w:rPr>
                <w:sz w:val="15"/>
                <w:szCs w:val="15"/>
              </w:rPr>
              <w:t>16,67%</w:t>
            </w:r>
          </w:p>
        </w:tc>
      </w:tr>
      <w:tr w:rsidR="00B07453" w14:paraId="5640E0D8" w14:textId="77777777">
        <w:trPr>
          <w:trHeight w:val="55"/>
        </w:trPr>
        <w:tc>
          <w:tcPr>
            <w:tcW w:w="3211" w:type="dxa"/>
            <w:tcBorders>
              <w:bottom w:val="single" w:sz="8" w:space="0" w:color="000000"/>
            </w:tcBorders>
          </w:tcPr>
          <w:p w14:paraId="00000096" w14:textId="77777777" w:rsidR="00B07453" w:rsidRDefault="00B07453">
            <w:pPr>
              <w:rPr>
                <w:sz w:val="15"/>
                <w:szCs w:val="15"/>
              </w:rPr>
            </w:pPr>
          </w:p>
        </w:tc>
        <w:tc>
          <w:tcPr>
            <w:tcW w:w="2268" w:type="dxa"/>
            <w:tcBorders>
              <w:bottom w:val="single" w:sz="8" w:space="0" w:color="000000"/>
            </w:tcBorders>
          </w:tcPr>
          <w:p w14:paraId="00000097" w14:textId="77777777" w:rsidR="00B07453" w:rsidRDefault="00B07453">
            <w:pPr>
              <w:jc w:val="center"/>
              <w:rPr>
                <w:sz w:val="15"/>
                <w:szCs w:val="15"/>
              </w:rPr>
            </w:pPr>
          </w:p>
        </w:tc>
        <w:tc>
          <w:tcPr>
            <w:tcW w:w="2693" w:type="dxa"/>
            <w:tcBorders>
              <w:bottom w:val="single" w:sz="8" w:space="0" w:color="000000"/>
            </w:tcBorders>
          </w:tcPr>
          <w:p w14:paraId="00000098" w14:textId="77777777" w:rsidR="00B07453" w:rsidRDefault="00B07453">
            <w:pPr>
              <w:jc w:val="center"/>
              <w:rPr>
                <w:sz w:val="15"/>
                <w:szCs w:val="15"/>
              </w:rPr>
            </w:pPr>
          </w:p>
        </w:tc>
      </w:tr>
    </w:tbl>
    <w:p w14:paraId="00000099" w14:textId="77777777" w:rsidR="00B07453" w:rsidRDefault="00B07453">
      <w:pPr>
        <w:ind w:left="900"/>
      </w:pPr>
    </w:p>
    <w:p w14:paraId="0000009A" w14:textId="77777777" w:rsidR="00B07453" w:rsidRDefault="0023601B">
      <w:pPr>
        <w:ind w:left="900"/>
      </w:pPr>
      <w:bookmarkStart w:id="12" w:name="_heading=h.3rdcrjn" w:colFirst="0" w:colLast="0"/>
      <w:bookmarkEnd w:id="12"/>
      <w:r>
        <w:t xml:space="preserve">Daňové odpisy sa uplatňujú podľa sadzieb uvedených v zákone o dani z príjmov platných pre rovnomerné odpisovanie. Metódy odpisovania, doby použiteľnosti a zostatkové hodnoty sa </w:t>
      </w:r>
      <w:r>
        <w:lastRenderedPageBreak/>
        <w:t xml:space="preserve">prehodnocujú ku dňu, ku ktorému sa zostavuje účtovná závierka, a ak je to potrebné, urobia sa úpravy. </w:t>
      </w:r>
    </w:p>
    <w:p w14:paraId="0000009B" w14:textId="77777777" w:rsidR="00B07453" w:rsidRDefault="00B07453"/>
    <w:p w14:paraId="0000009C" w14:textId="77777777" w:rsidR="00B07453" w:rsidRDefault="0023601B">
      <w:pPr>
        <w:pStyle w:val="Nadpis2"/>
      </w:pPr>
      <w:r>
        <w:t>Prepočet údajov v cudzích menách na slovenskú menu</w:t>
      </w:r>
    </w:p>
    <w:p w14:paraId="0000009D" w14:textId="77777777" w:rsidR="00B07453" w:rsidRDefault="00B07453"/>
    <w:p w14:paraId="0000009E" w14:textId="77777777" w:rsidR="00B07453" w:rsidRDefault="0023601B">
      <w: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Prijaté a poskytnuté preddavky v cudzej mene sa ku dňu, ku ktorému sa zostavuje účtovná závierka, neprepočítavajú. Pri kúpe a predaji cudzej meny za menu euro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0000009F" w14:textId="77777777" w:rsidR="00B07453" w:rsidRDefault="00B07453">
      <w:pPr>
        <w:ind w:left="567"/>
        <w:rPr>
          <w:sz w:val="14"/>
          <w:szCs w:val="14"/>
        </w:rPr>
      </w:pPr>
    </w:p>
    <w:p w14:paraId="000000A0" w14:textId="77777777" w:rsidR="00B07453" w:rsidRDefault="0023601B">
      <w:pPr>
        <w:pStyle w:val="Nadpis2"/>
      </w:pPr>
      <w:r>
        <w:t xml:space="preserve">Zmeny účtovných zásad a účtovných metód </w:t>
      </w:r>
    </w:p>
    <w:p w14:paraId="000000A1" w14:textId="77777777" w:rsidR="00B07453" w:rsidRDefault="00B07453">
      <w:pPr>
        <w:rPr>
          <w:sz w:val="14"/>
          <w:szCs w:val="14"/>
        </w:rPr>
      </w:pPr>
    </w:p>
    <w:p w14:paraId="000000A2" w14:textId="77777777" w:rsidR="00B07453" w:rsidRDefault="0023601B">
      <w:r>
        <w:t>Účtovné metódy a všeobecné účtovné zásady boli spoločnosťou konzistentne aplikované.</w:t>
      </w:r>
    </w:p>
    <w:p w14:paraId="000000A3" w14:textId="77777777" w:rsidR="00B07453" w:rsidRDefault="00B07453"/>
    <w:p w14:paraId="000000A4" w14:textId="77777777" w:rsidR="00B07453" w:rsidRDefault="0023601B">
      <w:pPr>
        <w:pStyle w:val="Nadpis2"/>
      </w:pPr>
      <w:r>
        <w:t>Oprava významných chýb minulých období</w:t>
      </w:r>
    </w:p>
    <w:p w14:paraId="000000A5" w14:textId="77777777" w:rsidR="00B07453" w:rsidRDefault="00B07453"/>
    <w:p w14:paraId="000000A6" w14:textId="77777777" w:rsidR="00B07453" w:rsidRDefault="0023601B">
      <w: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000000A7" w14:textId="77777777" w:rsidR="00B07453" w:rsidRDefault="00B07453"/>
    <w:p w14:paraId="000000A8" w14:textId="0DE77D34" w:rsidR="00B07453" w:rsidRDefault="0023601B">
      <w:r>
        <w:t>V </w:t>
      </w:r>
      <w:r w:rsidR="00654131">
        <w:t>roku</w:t>
      </w:r>
      <w:r>
        <w:t xml:space="preserve"> 202</w:t>
      </w:r>
      <w:r w:rsidR="00A15727">
        <w:t>2</w:t>
      </w:r>
      <w:r>
        <w:t xml:space="preserve"> neboli vykonané žiadne opravy významných chýb minulých účtovných období.</w:t>
      </w:r>
    </w:p>
    <w:p w14:paraId="000000A9" w14:textId="77777777" w:rsidR="00B07453" w:rsidRDefault="00B07453">
      <w:pPr>
        <w:rPr>
          <w:i/>
          <w:color w:val="FF0000"/>
        </w:rPr>
      </w:pPr>
    </w:p>
    <w:p w14:paraId="000000AA" w14:textId="77777777" w:rsidR="00B07453" w:rsidRDefault="00B07453"/>
    <w:p w14:paraId="000000AB" w14:textId="77777777" w:rsidR="00B07453" w:rsidRDefault="0023601B">
      <w:pPr>
        <w:pStyle w:val="Nadpis1"/>
      </w:pPr>
      <w:r>
        <w:t>INFORMáCIE, KTORé VYSVETĽUJú A DOPĹňAJú SúVAHU A VýKAZ ZISKOV A STRáT</w:t>
      </w:r>
    </w:p>
    <w:p w14:paraId="000000AC" w14:textId="77777777" w:rsidR="00B07453" w:rsidRDefault="00B07453">
      <w:pPr>
        <w:rPr>
          <w:b/>
          <w:u w:val="single"/>
        </w:rPr>
      </w:pPr>
    </w:p>
    <w:p w14:paraId="000000AE" w14:textId="77777777" w:rsidR="00B07453" w:rsidRDefault="0023601B">
      <w:pPr>
        <w:pStyle w:val="Nadpis2"/>
      </w:pPr>
      <w:r>
        <w:t xml:space="preserve">Záväzky </w:t>
      </w:r>
    </w:p>
    <w:p w14:paraId="000000AF" w14:textId="77777777" w:rsidR="00B07453" w:rsidRDefault="00B07453"/>
    <w:p w14:paraId="000000B0" w14:textId="77777777" w:rsidR="00B07453" w:rsidRDefault="0023601B">
      <w:pPr>
        <w:pStyle w:val="Nadpis3"/>
      </w:pPr>
      <w:r>
        <w:t>Záväzky podľa zostatkovej doby splatnosti</w:t>
      </w:r>
    </w:p>
    <w:p w14:paraId="000000B1" w14:textId="77777777" w:rsidR="00B07453" w:rsidRDefault="00B07453">
      <w:pPr>
        <w:tabs>
          <w:tab w:val="center" w:pos="4535"/>
        </w:tabs>
      </w:pPr>
      <w:bookmarkStart w:id="13" w:name="bookmark=id.26in1rg" w:colFirst="0" w:colLast="0"/>
      <w:bookmarkEnd w:id="13"/>
    </w:p>
    <w:tbl>
      <w:tblPr>
        <w:tblStyle w:val="a3"/>
        <w:tblW w:w="9066" w:type="dxa"/>
        <w:tblLayout w:type="fixed"/>
        <w:tblLook w:val="0400" w:firstRow="0" w:lastRow="0" w:firstColumn="0" w:lastColumn="0" w:noHBand="0" w:noVBand="1"/>
      </w:tblPr>
      <w:tblGrid>
        <w:gridCol w:w="5681"/>
        <w:gridCol w:w="794"/>
        <w:gridCol w:w="1293"/>
        <w:gridCol w:w="1298"/>
      </w:tblGrid>
      <w:tr w:rsidR="00B07453" w14:paraId="11FEB289" w14:textId="77777777">
        <w:tc>
          <w:tcPr>
            <w:tcW w:w="5681" w:type="dxa"/>
            <w:tcBorders>
              <w:top w:val="single" w:sz="8" w:space="0" w:color="000000"/>
              <w:left w:val="nil"/>
              <w:bottom w:val="nil"/>
              <w:right w:val="nil"/>
            </w:tcBorders>
            <w:shd w:val="clear" w:color="auto" w:fill="auto"/>
            <w:vAlign w:val="center"/>
          </w:tcPr>
          <w:p w14:paraId="000000B2" w14:textId="77777777" w:rsidR="00B07453" w:rsidRDefault="0023601B">
            <w:pPr>
              <w:jc w:val="left"/>
              <w:rPr>
                <w:b/>
                <w:i/>
                <w:sz w:val="15"/>
                <w:szCs w:val="15"/>
              </w:rPr>
            </w:pPr>
            <w:bookmarkStart w:id="14" w:name="bookmark=id.lnxbz9" w:colFirst="0" w:colLast="0"/>
            <w:bookmarkEnd w:id="14"/>
            <w:r>
              <w:rPr>
                <w:b/>
                <w:i/>
                <w:sz w:val="15"/>
                <w:szCs w:val="15"/>
              </w:rPr>
              <w:t>Položka</w:t>
            </w:r>
          </w:p>
        </w:tc>
        <w:tc>
          <w:tcPr>
            <w:tcW w:w="794" w:type="dxa"/>
            <w:tcBorders>
              <w:top w:val="single" w:sz="8" w:space="0" w:color="000000"/>
              <w:left w:val="nil"/>
              <w:bottom w:val="nil"/>
              <w:right w:val="nil"/>
            </w:tcBorders>
            <w:shd w:val="clear" w:color="auto" w:fill="auto"/>
            <w:vAlign w:val="center"/>
          </w:tcPr>
          <w:p w14:paraId="000000B3" w14:textId="77777777" w:rsidR="00B07453" w:rsidRDefault="00B07453">
            <w:pPr>
              <w:jc w:val="left"/>
              <w:rPr>
                <w:b/>
                <w:i/>
                <w:sz w:val="15"/>
                <w:szCs w:val="15"/>
              </w:rPr>
            </w:pPr>
          </w:p>
        </w:tc>
        <w:tc>
          <w:tcPr>
            <w:tcW w:w="1293" w:type="dxa"/>
            <w:tcBorders>
              <w:top w:val="single" w:sz="8" w:space="0" w:color="000000"/>
              <w:left w:val="nil"/>
              <w:bottom w:val="nil"/>
              <w:right w:val="nil"/>
            </w:tcBorders>
            <w:shd w:val="clear" w:color="auto" w:fill="auto"/>
          </w:tcPr>
          <w:p w14:paraId="000000B4" w14:textId="61BFCCD9" w:rsidR="00B07453" w:rsidRDefault="0023601B">
            <w:pPr>
              <w:jc w:val="center"/>
            </w:pPr>
            <w:r>
              <w:rPr>
                <w:b/>
                <w:i/>
                <w:sz w:val="15"/>
                <w:szCs w:val="15"/>
              </w:rPr>
              <w:t>31. 12. 202</w:t>
            </w:r>
            <w:r w:rsidR="006052B4">
              <w:rPr>
                <w:b/>
                <w:i/>
                <w:sz w:val="15"/>
                <w:szCs w:val="15"/>
              </w:rPr>
              <w:t>2</w:t>
            </w:r>
          </w:p>
        </w:tc>
        <w:tc>
          <w:tcPr>
            <w:tcW w:w="1298" w:type="dxa"/>
            <w:tcBorders>
              <w:top w:val="single" w:sz="8" w:space="0" w:color="000000"/>
              <w:left w:val="nil"/>
              <w:bottom w:val="nil"/>
              <w:right w:val="nil"/>
            </w:tcBorders>
            <w:shd w:val="clear" w:color="auto" w:fill="auto"/>
          </w:tcPr>
          <w:p w14:paraId="000000B5" w14:textId="208F630C" w:rsidR="00B07453" w:rsidRDefault="0023601B">
            <w:pPr>
              <w:jc w:val="center"/>
            </w:pPr>
            <w:r>
              <w:rPr>
                <w:b/>
                <w:i/>
                <w:sz w:val="15"/>
                <w:szCs w:val="15"/>
              </w:rPr>
              <w:t>31. 12. 20</w:t>
            </w:r>
            <w:r w:rsidR="00CA639B">
              <w:rPr>
                <w:b/>
                <w:i/>
                <w:sz w:val="15"/>
                <w:szCs w:val="15"/>
              </w:rPr>
              <w:t>2</w:t>
            </w:r>
            <w:r w:rsidR="006052B4">
              <w:rPr>
                <w:b/>
                <w:i/>
                <w:sz w:val="15"/>
                <w:szCs w:val="15"/>
              </w:rPr>
              <w:t>1</w:t>
            </w:r>
          </w:p>
        </w:tc>
      </w:tr>
      <w:tr w:rsidR="00B07453" w14:paraId="7313F31B" w14:textId="77777777">
        <w:tc>
          <w:tcPr>
            <w:tcW w:w="5681" w:type="dxa"/>
            <w:tcBorders>
              <w:top w:val="single" w:sz="4" w:space="0" w:color="000000"/>
              <w:left w:val="nil"/>
              <w:bottom w:val="nil"/>
              <w:right w:val="nil"/>
            </w:tcBorders>
            <w:shd w:val="clear" w:color="auto" w:fill="auto"/>
            <w:vAlign w:val="center"/>
          </w:tcPr>
          <w:p w14:paraId="000000B6" w14:textId="77777777" w:rsidR="00B07453" w:rsidRDefault="0023601B">
            <w:pPr>
              <w:rPr>
                <w:b/>
                <w:i/>
                <w:sz w:val="15"/>
                <w:szCs w:val="15"/>
              </w:rPr>
            </w:pPr>
            <w:r>
              <w:rPr>
                <w:b/>
                <w:i/>
                <w:sz w:val="15"/>
                <w:szCs w:val="15"/>
              </w:rPr>
              <w:t>Dlhodobé záväzky:</w:t>
            </w:r>
          </w:p>
        </w:tc>
        <w:tc>
          <w:tcPr>
            <w:tcW w:w="794" w:type="dxa"/>
            <w:tcBorders>
              <w:top w:val="single" w:sz="4" w:space="0" w:color="000000"/>
              <w:left w:val="nil"/>
              <w:bottom w:val="nil"/>
              <w:right w:val="nil"/>
            </w:tcBorders>
            <w:shd w:val="clear" w:color="auto" w:fill="auto"/>
            <w:vAlign w:val="center"/>
          </w:tcPr>
          <w:p w14:paraId="000000B7" w14:textId="77777777" w:rsidR="00B07453" w:rsidRDefault="00B07453">
            <w:pPr>
              <w:jc w:val="center"/>
              <w:rPr>
                <w:i/>
                <w:sz w:val="15"/>
                <w:szCs w:val="15"/>
              </w:rPr>
            </w:pPr>
          </w:p>
        </w:tc>
        <w:tc>
          <w:tcPr>
            <w:tcW w:w="1293" w:type="dxa"/>
            <w:tcBorders>
              <w:top w:val="single" w:sz="4" w:space="0" w:color="000000"/>
              <w:left w:val="nil"/>
              <w:bottom w:val="nil"/>
              <w:right w:val="nil"/>
            </w:tcBorders>
            <w:shd w:val="clear" w:color="auto" w:fill="auto"/>
            <w:vAlign w:val="bottom"/>
          </w:tcPr>
          <w:p w14:paraId="000000B8" w14:textId="77777777" w:rsidR="00B07453" w:rsidRDefault="00B07453">
            <w:pPr>
              <w:jc w:val="right"/>
              <w:rPr>
                <w:sz w:val="15"/>
                <w:szCs w:val="15"/>
              </w:rPr>
            </w:pPr>
          </w:p>
        </w:tc>
        <w:tc>
          <w:tcPr>
            <w:tcW w:w="1298" w:type="dxa"/>
            <w:tcBorders>
              <w:top w:val="single" w:sz="4" w:space="0" w:color="000000"/>
              <w:left w:val="nil"/>
              <w:bottom w:val="nil"/>
              <w:right w:val="nil"/>
            </w:tcBorders>
            <w:shd w:val="clear" w:color="auto" w:fill="auto"/>
            <w:vAlign w:val="bottom"/>
          </w:tcPr>
          <w:p w14:paraId="000000B9" w14:textId="77777777" w:rsidR="00B07453" w:rsidRDefault="00B07453">
            <w:pPr>
              <w:jc w:val="right"/>
              <w:rPr>
                <w:sz w:val="15"/>
                <w:szCs w:val="15"/>
              </w:rPr>
            </w:pPr>
          </w:p>
        </w:tc>
      </w:tr>
      <w:tr w:rsidR="006052B4" w14:paraId="5F623BA2" w14:textId="77777777">
        <w:tc>
          <w:tcPr>
            <w:tcW w:w="5681" w:type="dxa"/>
            <w:tcBorders>
              <w:top w:val="nil"/>
              <w:left w:val="nil"/>
              <w:bottom w:val="nil"/>
              <w:right w:val="nil"/>
            </w:tcBorders>
            <w:shd w:val="clear" w:color="auto" w:fill="auto"/>
            <w:vAlign w:val="center"/>
          </w:tcPr>
          <w:p w14:paraId="000000BA" w14:textId="77777777" w:rsidR="006052B4" w:rsidRDefault="006052B4" w:rsidP="006052B4">
            <w:pPr>
              <w:jc w:val="left"/>
              <w:rPr>
                <w:sz w:val="15"/>
                <w:szCs w:val="15"/>
              </w:rPr>
            </w:pPr>
            <w:r>
              <w:rPr>
                <w:sz w:val="15"/>
                <w:szCs w:val="15"/>
              </w:rPr>
              <w:t>Záväzky so zostatkovou dobou splatnosti jeden rok až päť rokov</w:t>
            </w:r>
          </w:p>
        </w:tc>
        <w:tc>
          <w:tcPr>
            <w:tcW w:w="794" w:type="dxa"/>
            <w:tcBorders>
              <w:top w:val="nil"/>
              <w:left w:val="nil"/>
              <w:bottom w:val="nil"/>
              <w:right w:val="nil"/>
            </w:tcBorders>
            <w:shd w:val="clear" w:color="auto" w:fill="auto"/>
            <w:vAlign w:val="center"/>
          </w:tcPr>
          <w:p w14:paraId="000000BB" w14:textId="77777777" w:rsidR="006052B4" w:rsidRDefault="006052B4" w:rsidP="006052B4">
            <w:pPr>
              <w:jc w:val="center"/>
              <w:rPr>
                <w:i/>
                <w:sz w:val="15"/>
                <w:szCs w:val="15"/>
              </w:rPr>
            </w:pPr>
          </w:p>
        </w:tc>
        <w:tc>
          <w:tcPr>
            <w:tcW w:w="1293" w:type="dxa"/>
            <w:tcBorders>
              <w:top w:val="nil"/>
              <w:left w:val="nil"/>
              <w:bottom w:val="nil"/>
              <w:right w:val="nil"/>
            </w:tcBorders>
            <w:shd w:val="clear" w:color="auto" w:fill="auto"/>
            <w:vAlign w:val="bottom"/>
          </w:tcPr>
          <w:p w14:paraId="000000BC" w14:textId="2E83FCCA" w:rsidR="006052B4" w:rsidRDefault="006052B4" w:rsidP="006052B4">
            <w:pPr>
              <w:jc w:val="right"/>
              <w:rPr>
                <w:sz w:val="15"/>
                <w:szCs w:val="15"/>
              </w:rPr>
            </w:pPr>
            <w:r>
              <w:rPr>
                <w:sz w:val="15"/>
                <w:szCs w:val="15"/>
              </w:rPr>
              <w:t xml:space="preserve">2 </w:t>
            </w:r>
            <w:r w:rsidR="00A15727">
              <w:rPr>
                <w:sz w:val="15"/>
                <w:szCs w:val="15"/>
              </w:rPr>
              <w:t>553</w:t>
            </w:r>
          </w:p>
        </w:tc>
        <w:tc>
          <w:tcPr>
            <w:tcW w:w="1298" w:type="dxa"/>
            <w:tcBorders>
              <w:top w:val="nil"/>
              <w:left w:val="nil"/>
              <w:bottom w:val="nil"/>
              <w:right w:val="nil"/>
            </w:tcBorders>
            <w:shd w:val="clear" w:color="auto" w:fill="auto"/>
            <w:vAlign w:val="bottom"/>
          </w:tcPr>
          <w:p w14:paraId="000000BD" w14:textId="668A9749" w:rsidR="006052B4" w:rsidRDefault="006052B4" w:rsidP="006052B4">
            <w:pPr>
              <w:jc w:val="right"/>
              <w:rPr>
                <w:sz w:val="15"/>
                <w:szCs w:val="15"/>
              </w:rPr>
            </w:pPr>
            <w:r>
              <w:rPr>
                <w:sz w:val="15"/>
                <w:szCs w:val="15"/>
              </w:rPr>
              <w:t>2 738</w:t>
            </w:r>
          </w:p>
        </w:tc>
      </w:tr>
      <w:tr w:rsidR="006052B4" w14:paraId="5696942F" w14:textId="77777777">
        <w:tc>
          <w:tcPr>
            <w:tcW w:w="5681" w:type="dxa"/>
            <w:tcBorders>
              <w:top w:val="nil"/>
              <w:left w:val="nil"/>
              <w:bottom w:val="nil"/>
              <w:right w:val="nil"/>
            </w:tcBorders>
            <w:shd w:val="clear" w:color="auto" w:fill="auto"/>
            <w:vAlign w:val="center"/>
          </w:tcPr>
          <w:p w14:paraId="000000BE" w14:textId="77777777" w:rsidR="006052B4" w:rsidRDefault="006052B4" w:rsidP="006052B4">
            <w:pPr>
              <w:jc w:val="left"/>
              <w:rPr>
                <w:sz w:val="15"/>
                <w:szCs w:val="15"/>
              </w:rPr>
            </w:pPr>
            <w:r>
              <w:rPr>
                <w:sz w:val="15"/>
                <w:szCs w:val="15"/>
              </w:rPr>
              <w:t>Záväzky so zostatkovou dobou splatnosti nad päť rokov</w:t>
            </w:r>
          </w:p>
        </w:tc>
        <w:tc>
          <w:tcPr>
            <w:tcW w:w="794" w:type="dxa"/>
            <w:tcBorders>
              <w:top w:val="nil"/>
              <w:left w:val="nil"/>
              <w:bottom w:val="nil"/>
              <w:right w:val="nil"/>
            </w:tcBorders>
            <w:shd w:val="clear" w:color="auto" w:fill="auto"/>
            <w:vAlign w:val="center"/>
          </w:tcPr>
          <w:p w14:paraId="000000BF" w14:textId="77777777" w:rsidR="006052B4" w:rsidRDefault="006052B4" w:rsidP="006052B4">
            <w:pPr>
              <w:jc w:val="center"/>
              <w:rPr>
                <w:i/>
                <w:sz w:val="15"/>
                <w:szCs w:val="15"/>
              </w:rPr>
            </w:pPr>
          </w:p>
        </w:tc>
        <w:tc>
          <w:tcPr>
            <w:tcW w:w="1293" w:type="dxa"/>
            <w:tcBorders>
              <w:top w:val="nil"/>
              <w:left w:val="nil"/>
              <w:bottom w:val="single" w:sz="4" w:space="0" w:color="000000"/>
              <w:right w:val="nil"/>
            </w:tcBorders>
            <w:shd w:val="clear" w:color="auto" w:fill="auto"/>
            <w:vAlign w:val="bottom"/>
          </w:tcPr>
          <w:p w14:paraId="000000C0" w14:textId="77777777" w:rsidR="006052B4" w:rsidRDefault="006052B4" w:rsidP="006052B4">
            <w:pPr>
              <w:jc w:val="right"/>
              <w:rPr>
                <w:sz w:val="15"/>
                <w:szCs w:val="15"/>
              </w:rPr>
            </w:pPr>
            <w:r>
              <w:rPr>
                <w:sz w:val="15"/>
                <w:szCs w:val="15"/>
              </w:rPr>
              <w:t>-</w:t>
            </w:r>
          </w:p>
        </w:tc>
        <w:tc>
          <w:tcPr>
            <w:tcW w:w="1298" w:type="dxa"/>
            <w:tcBorders>
              <w:top w:val="nil"/>
              <w:left w:val="nil"/>
              <w:bottom w:val="single" w:sz="4" w:space="0" w:color="000000"/>
              <w:right w:val="nil"/>
            </w:tcBorders>
            <w:shd w:val="clear" w:color="auto" w:fill="auto"/>
            <w:vAlign w:val="bottom"/>
          </w:tcPr>
          <w:p w14:paraId="000000C1" w14:textId="7B4B0675" w:rsidR="006052B4" w:rsidRDefault="006052B4" w:rsidP="006052B4">
            <w:pPr>
              <w:jc w:val="right"/>
              <w:rPr>
                <w:sz w:val="15"/>
                <w:szCs w:val="15"/>
              </w:rPr>
            </w:pPr>
            <w:r>
              <w:rPr>
                <w:sz w:val="15"/>
                <w:szCs w:val="15"/>
              </w:rPr>
              <w:t>-</w:t>
            </w:r>
          </w:p>
        </w:tc>
      </w:tr>
      <w:tr w:rsidR="006052B4" w14:paraId="69BFC336" w14:textId="77777777">
        <w:tc>
          <w:tcPr>
            <w:tcW w:w="5681" w:type="dxa"/>
            <w:tcBorders>
              <w:top w:val="nil"/>
              <w:left w:val="nil"/>
              <w:bottom w:val="single" w:sz="8" w:space="0" w:color="000000"/>
              <w:right w:val="nil"/>
            </w:tcBorders>
            <w:shd w:val="clear" w:color="auto" w:fill="auto"/>
            <w:vAlign w:val="center"/>
          </w:tcPr>
          <w:p w14:paraId="000000C2" w14:textId="77777777" w:rsidR="006052B4" w:rsidRDefault="006052B4" w:rsidP="006052B4">
            <w:pPr>
              <w:rPr>
                <w:b/>
                <w:sz w:val="15"/>
                <w:szCs w:val="15"/>
              </w:rPr>
            </w:pPr>
            <w:r>
              <w:rPr>
                <w:b/>
                <w:sz w:val="15"/>
                <w:szCs w:val="15"/>
              </w:rPr>
              <w:t>Spolu dlhodobé záväzky</w:t>
            </w:r>
          </w:p>
        </w:tc>
        <w:tc>
          <w:tcPr>
            <w:tcW w:w="794" w:type="dxa"/>
            <w:tcBorders>
              <w:top w:val="nil"/>
              <w:left w:val="nil"/>
              <w:bottom w:val="single" w:sz="8" w:space="0" w:color="000000"/>
              <w:right w:val="nil"/>
            </w:tcBorders>
            <w:shd w:val="clear" w:color="auto" w:fill="auto"/>
            <w:vAlign w:val="center"/>
          </w:tcPr>
          <w:p w14:paraId="000000C3" w14:textId="77777777" w:rsidR="006052B4" w:rsidRDefault="006052B4" w:rsidP="006052B4">
            <w:pPr>
              <w:jc w:val="center"/>
              <w:rPr>
                <w:b/>
                <w:sz w:val="15"/>
                <w:szCs w:val="15"/>
              </w:rPr>
            </w:pPr>
          </w:p>
        </w:tc>
        <w:tc>
          <w:tcPr>
            <w:tcW w:w="1293" w:type="dxa"/>
            <w:tcBorders>
              <w:top w:val="nil"/>
              <w:left w:val="nil"/>
              <w:bottom w:val="single" w:sz="8" w:space="0" w:color="000000"/>
              <w:right w:val="nil"/>
            </w:tcBorders>
            <w:shd w:val="clear" w:color="auto" w:fill="auto"/>
            <w:vAlign w:val="center"/>
          </w:tcPr>
          <w:p w14:paraId="000000C4" w14:textId="33138762" w:rsidR="006052B4" w:rsidRDefault="006052B4" w:rsidP="006052B4">
            <w:pPr>
              <w:jc w:val="right"/>
              <w:rPr>
                <w:b/>
                <w:sz w:val="15"/>
                <w:szCs w:val="15"/>
              </w:rPr>
            </w:pPr>
            <w:r>
              <w:rPr>
                <w:b/>
                <w:sz w:val="15"/>
                <w:szCs w:val="15"/>
              </w:rPr>
              <w:t xml:space="preserve">2 </w:t>
            </w:r>
            <w:r w:rsidR="00A15727">
              <w:rPr>
                <w:b/>
                <w:sz w:val="15"/>
                <w:szCs w:val="15"/>
              </w:rPr>
              <w:t>553</w:t>
            </w:r>
          </w:p>
        </w:tc>
        <w:tc>
          <w:tcPr>
            <w:tcW w:w="1298" w:type="dxa"/>
            <w:tcBorders>
              <w:top w:val="nil"/>
              <w:left w:val="nil"/>
              <w:bottom w:val="single" w:sz="8" w:space="0" w:color="000000"/>
              <w:right w:val="nil"/>
            </w:tcBorders>
            <w:shd w:val="clear" w:color="auto" w:fill="auto"/>
            <w:vAlign w:val="center"/>
          </w:tcPr>
          <w:p w14:paraId="000000C5" w14:textId="27386159" w:rsidR="006052B4" w:rsidRDefault="006052B4" w:rsidP="006052B4">
            <w:pPr>
              <w:jc w:val="right"/>
              <w:rPr>
                <w:b/>
                <w:sz w:val="15"/>
                <w:szCs w:val="15"/>
              </w:rPr>
            </w:pPr>
            <w:r>
              <w:rPr>
                <w:b/>
                <w:sz w:val="15"/>
                <w:szCs w:val="15"/>
              </w:rPr>
              <w:t>2 738</w:t>
            </w:r>
          </w:p>
        </w:tc>
      </w:tr>
    </w:tbl>
    <w:p w14:paraId="000000C7" w14:textId="77777777" w:rsidR="00B07453" w:rsidRDefault="00B07453"/>
    <w:p w14:paraId="000000C8" w14:textId="77777777" w:rsidR="00B07453" w:rsidRDefault="0023601B">
      <w:pPr>
        <w:pStyle w:val="Nadpis3"/>
      </w:pPr>
      <w:r>
        <w:t>Záväzky zabezpečené záložným právom alebo inou formou zabezpečenia</w:t>
      </w:r>
    </w:p>
    <w:p w14:paraId="000000C9" w14:textId="77777777" w:rsidR="00B07453" w:rsidRDefault="00B07453"/>
    <w:p w14:paraId="000000CA" w14:textId="77777777" w:rsidR="00B07453" w:rsidRDefault="0023601B">
      <w:r>
        <w:t>Záväzky nie sú zabezpečené záložným právom alebo inou formou zabezpečenia.</w:t>
      </w:r>
    </w:p>
    <w:p w14:paraId="000000CB" w14:textId="77777777" w:rsidR="00B07453" w:rsidRDefault="00B07453">
      <w:pPr>
        <w:jc w:val="left"/>
      </w:pPr>
    </w:p>
    <w:p w14:paraId="000000CC" w14:textId="77777777" w:rsidR="00B07453" w:rsidRDefault="0023601B">
      <w:pPr>
        <w:pStyle w:val="Nadpis1"/>
      </w:pPr>
      <w:r>
        <w:t>INÉ AKTÍVA A INÉ PASÍVA</w:t>
      </w:r>
    </w:p>
    <w:p w14:paraId="000000CD" w14:textId="77777777" w:rsidR="00B07453" w:rsidRDefault="00B07453"/>
    <w:p w14:paraId="000000CE" w14:textId="77777777" w:rsidR="00B07453" w:rsidRDefault="0023601B">
      <w:pPr>
        <w:pStyle w:val="Nadpis2"/>
      </w:pPr>
      <w:r>
        <w:t>Podmienené záväzky</w:t>
      </w:r>
    </w:p>
    <w:p w14:paraId="000000CF" w14:textId="77777777" w:rsidR="00B07453" w:rsidRDefault="00B07453"/>
    <w:p w14:paraId="000000D0" w14:textId="77777777" w:rsidR="00B07453" w:rsidRDefault="0023601B">
      <w:bookmarkStart w:id="15" w:name="_heading=h.35nkun2" w:colFirst="0" w:colLast="0"/>
      <w:bookmarkEnd w:id="15"/>
      <w:r>
        <w:t>Spoločnosť nemá podmienené záväzky, ktoré sa nesledujú v bežnom účtovníctve a neuvádzajú sa v súvahe.</w:t>
      </w:r>
    </w:p>
    <w:p w14:paraId="000000D1" w14:textId="77777777" w:rsidR="00B07453" w:rsidRDefault="00B07453">
      <w:pPr>
        <w:pBdr>
          <w:top w:val="nil"/>
          <w:left w:val="nil"/>
          <w:bottom w:val="nil"/>
          <w:right w:val="nil"/>
          <w:between w:val="nil"/>
        </w:pBdr>
        <w:rPr>
          <w:color w:val="000000"/>
        </w:rPr>
      </w:pPr>
    </w:p>
    <w:p w14:paraId="000000D2" w14:textId="77777777" w:rsidR="00B07453" w:rsidRDefault="0023601B">
      <w:pPr>
        <w:pBdr>
          <w:top w:val="nil"/>
          <w:left w:val="nil"/>
          <w:bottom w:val="nil"/>
          <w:right w:val="nil"/>
          <w:between w:val="nil"/>
        </w:pBdr>
        <w:rPr>
          <w:color w:val="000000"/>
        </w:rPr>
      </w:pPr>
      <w:r>
        <w:rPr>
          <w:color w:val="000000"/>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000000D3" w14:textId="77777777" w:rsidR="00B07453" w:rsidRDefault="00B07453"/>
    <w:p w14:paraId="000000D4" w14:textId="77777777" w:rsidR="00B07453" w:rsidRDefault="0023601B">
      <w:pPr>
        <w:pStyle w:val="Nadpis2"/>
      </w:pPr>
      <w:r>
        <w:t xml:space="preserve">Podmienený majetok </w:t>
      </w:r>
      <w:r>
        <w:rPr>
          <w:b w:val="0"/>
        </w:rPr>
        <w:t>- žiadny</w:t>
      </w:r>
    </w:p>
    <w:p w14:paraId="000000D5" w14:textId="77777777" w:rsidR="00B07453" w:rsidRDefault="0023601B">
      <w:pPr>
        <w:rPr>
          <w:b/>
          <w:i/>
          <w:sz w:val="15"/>
          <w:szCs w:val="15"/>
        </w:rPr>
      </w:pPr>
      <w:bookmarkStart w:id="16" w:name="bookmark=id.1ksv4uv" w:colFirst="0" w:colLast="0"/>
      <w:bookmarkEnd w:id="16"/>
      <w:r>
        <w:rPr>
          <w:b/>
          <w:i/>
          <w:sz w:val="15"/>
          <w:szCs w:val="15"/>
        </w:rPr>
        <w:t xml:space="preserve"> </w:t>
      </w:r>
    </w:p>
    <w:p w14:paraId="000000D6" w14:textId="77777777" w:rsidR="00B07453" w:rsidRDefault="0023601B">
      <w:pPr>
        <w:pStyle w:val="Nadpis2"/>
        <w:rPr>
          <w:b w:val="0"/>
        </w:rPr>
      </w:pPr>
      <w:bookmarkStart w:id="17" w:name="_heading=h.44sinio" w:colFirst="0" w:colLast="0"/>
      <w:bookmarkEnd w:id="17"/>
      <w:r>
        <w:t>Ostatné finančné povinnosti</w:t>
      </w:r>
      <w:r>
        <w:rPr>
          <w:b w:val="0"/>
          <w:smallCaps/>
        </w:rPr>
        <w:t xml:space="preserve"> - </w:t>
      </w:r>
      <w:r>
        <w:rPr>
          <w:b w:val="0"/>
        </w:rPr>
        <w:t>nie sú</w:t>
      </w:r>
    </w:p>
    <w:p w14:paraId="000000D7" w14:textId="77777777" w:rsidR="00B07453" w:rsidRDefault="00B07453">
      <w:pPr>
        <w:rPr>
          <w:color w:val="000000"/>
        </w:rPr>
      </w:pPr>
      <w:bookmarkStart w:id="18" w:name="bookmark=id.2jxsxqh" w:colFirst="0" w:colLast="0"/>
      <w:bookmarkEnd w:id="18"/>
    </w:p>
    <w:p w14:paraId="000000D8" w14:textId="77777777" w:rsidR="00B07453" w:rsidRDefault="0023601B">
      <w:pPr>
        <w:pStyle w:val="Nadpis2"/>
      </w:pPr>
      <w:r>
        <w:t>Najatý majetok</w:t>
      </w:r>
    </w:p>
    <w:p w14:paraId="000000D9" w14:textId="77777777" w:rsidR="00B07453" w:rsidRDefault="00B07453">
      <w:pPr>
        <w:pBdr>
          <w:top w:val="nil"/>
          <w:left w:val="nil"/>
          <w:bottom w:val="nil"/>
          <w:right w:val="nil"/>
          <w:between w:val="nil"/>
        </w:pBdr>
        <w:rPr>
          <w:color w:val="000000"/>
        </w:rPr>
      </w:pPr>
    </w:p>
    <w:p w14:paraId="000000DA" w14:textId="77777777" w:rsidR="00B07453" w:rsidRDefault="0023601B">
      <w:pPr>
        <w:pBdr>
          <w:top w:val="nil"/>
          <w:left w:val="nil"/>
          <w:bottom w:val="nil"/>
          <w:right w:val="nil"/>
          <w:between w:val="nil"/>
        </w:pBdr>
        <w:rPr>
          <w:color w:val="000000"/>
        </w:rPr>
      </w:pPr>
      <w:r>
        <w:rPr>
          <w:color w:val="000000"/>
        </w:rPr>
        <w:t xml:space="preserve">Spoločnosť má v nájme kancelárske priestory a sklad od tretích osôb. Nájomná zmluva na kancelárske priestory je uzatvorená do 1.5.2025. </w:t>
      </w:r>
    </w:p>
    <w:p w14:paraId="000000DB" w14:textId="77777777" w:rsidR="00B07453" w:rsidRDefault="00B07453">
      <w:pPr>
        <w:pBdr>
          <w:top w:val="nil"/>
          <w:left w:val="nil"/>
          <w:bottom w:val="nil"/>
          <w:right w:val="nil"/>
          <w:between w:val="nil"/>
        </w:pBdr>
        <w:rPr>
          <w:color w:val="000000"/>
        </w:rPr>
      </w:pPr>
    </w:p>
    <w:p w14:paraId="000000DC" w14:textId="789FB0A2" w:rsidR="00B07453" w:rsidRDefault="0023601B">
      <w:r w:rsidRPr="00A15727">
        <w:lastRenderedPageBreak/>
        <w:t>Spoločnosť má uzatvorenú zmluvu na operatívny leasing motorových vozidiel a služieb súvisiacich s prevádzkou vozidiel od tretích osôb. Dohodnutá doba nájmu je 42 – 66 mesiacov a počet prenajatých vozidiel k 31.12.202</w:t>
      </w:r>
      <w:r w:rsidR="006052B4" w:rsidRPr="00A15727">
        <w:t>2</w:t>
      </w:r>
      <w:r w:rsidRPr="00A15727">
        <w:t xml:space="preserve"> je </w:t>
      </w:r>
      <w:r w:rsidR="004C6CEF">
        <w:t>2</w:t>
      </w:r>
      <w:r w:rsidR="008748EB" w:rsidRPr="00A15727">
        <w:t xml:space="preserve"> </w:t>
      </w:r>
      <w:r w:rsidRPr="00A15727">
        <w:t>ks.</w:t>
      </w:r>
    </w:p>
    <w:p w14:paraId="000000DD" w14:textId="77777777" w:rsidR="00B07453" w:rsidRDefault="00B07453">
      <w:pPr>
        <w:pBdr>
          <w:top w:val="nil"/>
          <w:left w:val="nil"/>
          <w:bottom w:val="nil"/>
          <w:right w:val="nil"/>
          <w:between w:val="nil"/>
        </w:pBdr>
        <w:rPr>
          <w:color w:val="000000"/>
        </w:rPr>
      </w:pPr>
    </w:p>
    <w:p w14:paraId="000000DE" w14:textId="77777777" w:rsidR="00B07453" w:rsidRDefault="0023601B">
      <w:pPr>
        <w:pStyle w:val="Nadpis2"/>
        <w:rPr>
          <w:b w:val="0"/>
        </w:rPr>
      </w:pPr>
      <w:r>
        <w:t>Prenajatý majetok</w:t>
      </w:r>
      <w:r>
        <w:rPr>
          <w:smallCaps/>
        </w:rPr>
        <w:t xml:space="preserve"> - </w:t>
      </w:r>
      <w:r>
        <w:rPr>
          <w:b w:val="0"/>
        </w:rPr>
        <w:t>Nie je</w:t>
      </w:r>
    </w:p>
    <w:p w14:paraId="000000DF" w14:textId="77777777" w:rsidR="00B07453" w:rsidRDefault="00B07453"/>
    <w:p w14:paraId="000000E0" w14:textId="77777777" w:rsidR="00B07453" w:rsidRDefault="00B07453"/>
    <w:p w14:paraId="000000E1" w14:textId="77777777" w:rsidR="00B07453" w:rsidRDefault="0023601B">
      <w:pPr>
        <w:pStyle w:val="Nadpis1"/>
      </w:pPr>
      <w:r>
        <w:t>SKUTOČNOSTI, KTORÉ NASTALI PO DNI, KU KTORÉMU SA ZOSTAVUJE ÚČTOVNÁ ZÁVIERKA, A DO DŇA ZOSTAVENIA ÚČTOVNEJ ZÁVIERKY</w:t>
      </w:r>
    </w:p>
    <w:p w14:paraId="000000E2" w14:textId="77777777" w:rsidR="00B07453" w:rsidRDefault="00B07453">
      <w:pPr>
        <w:rPr>
          <w:u w:val="single"/>
        </w:rPr>
      </w:pPr>
    </w:p>
    <w:p w14:paraId="000000E3" w14:textId="5E11AF3F" w:rsidR="00B07453" w:rsidRDefault="0023601B">
      <w:r>
        <w:t>Po 31. decembri 202</w:t>
      </w:r>
      <w:r w:rsidR="006052B4">
        <w:t>2</w:t>
      </w:r>
      <w:r>
        <w:t xml:space="preserve"> a do dňa zostavenia účtovnej závierky nenastali žiadne také udalosti, ktoré by významným spôsobom ovplyvnili aktíva, pasíva alebo výsledky hospodárenia spoločnosti.</w:t>
      </w:r>
    </w:p>
    <w:sectPr w:rsidR="00B07453">
      <w:headerReference w:type="default" r:id="rId10"/>
      <w:footerReference w:type="default" r:id="rId11"/>
      <w:pgSz w:w="11907" w:h="16840"/>
      <w:pgMar w:top="1418" w:right="1418" w:bottom="992" w:left="1418" w:header="567" w:footer="680"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00C5E5" w14:textId="77777777" w:rsidR="000D4FA1" w:rsidRDefault="000D4FA1">
      <w:r>
        <w:separator/>
      </w:r>
    </w:p>
  </w:endnote>
  <w:endnote w:type="continuationSeparator" w:id="0">
    <w:p w14:paraId="4857CFE4" w14:textId="77777777" w:rsidR="000D4FA1" w:rsidRDefault="000D4F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panose1 w:val="00000000000000000000"/>
    <w:charset w:val="00"/>
    <w:family w:val="roman"/>
    <w:notTrueType/>
    <w:pitch w:val="default"/>
    <w:sig w:usb0="07F40003" w:usb1="BD261F6E" w:usb2="0587883E" w:usb3="2FB602FC" w:csb0="0000016F" w:csb1="016F1A1F"/>
  </w:font>
  <w:font w:name="Georgia">
    <w:panose1 w:val="020405020504050203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0EB" w14:textId="0065356D" w:rsidR="00B07453" w:rsidRDefault="0023601B">
    <w:pPr>
      <w:pBdr>
        <w:top w:val="single" w:sz="4" w:space="1" w:color="000000"/>
        <w:left w:val="nil"/>
        <w:bottom w:val="nil"/>
        <w:right w:val="nil"/>
        <w:between w:val="nil"/>
      </w:pBdr>
      <w:tabs>
        <w:tab w:val="center" w:pos="4703"/>
        <w:tab w:val="right" w:pos="9406"/>
      </w:tabs>
      <w:jc w:val="right"/>
      <w:rPr>
        <w:color w:val="000000"/>
      </w:rPr>
    </w:pPr>
    <w:r>
      <w:rPr>
        <w:color w:val="000000"/>
      </w:rPr>
      <w:fldChar w:fldCharType="begin"/>
    </w:r>
    <w:r>
      <w:rPr>
        <w:color w:val="000000"/>
      </w:rPr>
      <w:instrText>PAGE</w:instrText>
    </w:r>
    <w:r>
      <w:rPr>
        <w:color w:val="000000"/>
      </w:rPr>
      <w:fldChar w:fldCharType="separate"/>
    </w:r>
    <w:r w:rsidR="00CA639B">
      <w:rPr>
        <w:noProof/>
        <w:color w:val="000000"/>
      </w:rPr>
      <w:t>1</w:t>
    </w:r>
    <w:r>
      <w:rPr>
        <w:color w:val="00000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5BCD45" w14:textId="77777777" w:rsidR="000D4FA1" w:rsidRDefault="000D4FA1">
      <w:r>
        <w:separator/>
      </w:r>
    </w:p>
  </w:footnote>
  <w:footnote w:type="continuationSeparator" w:id="0">
    <w:p w14:paraId="705212B1" w14:textId="77777777" w:rsidR="000D4FA1" w:rsidRDefault="000D4FA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0E6" w14:textId="77777777" w:rsidR="00B07453" w:rsidRDefault="0023601B">
    <w:pPr>
      <w:pBdr>
        <w:top w:val="single" w:sz="4" w:space="1" w:color="000000"/>
        <w:left w:val="single" w:sz="4" w:space="4" w:color="000000"/>
        <w:bottom w:val="single" w:sz="4" w:space="1" w:color="000000"/>
        <w:right w:val="single" w:sz="4" w:space="4" w:color="000000"/>
        <w:between w:val="nil"/>
      </w:pBdr>
      <w:tabs>
        <w:tab w:val="center" w:pos="4536"/>
        <w:tab w:val="right" w:pos="9072"/>
        <w:tab w:val="left" w:pos="4111"/>
        <w:tab w:val="left" w:pos="6663"/>
      </w:tabs>
      <w:rPr>
        <w:b/>
        <w:color w:val="000000"/>
      </w:rPr>
    </w:pPr>
    <w:r>
      <w:rPr>
        <w:b/>
        <w:color w:val="000000"/>
      </w:rPr>
      <w:t>Poznámky Úč PODV 3-01</w:t>
    </w:r>
    <w:r>
      <w:rPr>
        <w:b/>
        <w:color w:val="000000"/>
      </w:rPr>
      <w:tab/>
      <w:t>IČO: 35685824</w:t>
    </w:r>
    <w:r>
      <w:rPr>
        <w:b/>
        <w:color w:val="000000"/>
      </w:rPr>
      <w:tab/>
      <w:t>DIČ: 2020339596</w:t>
    </w:r>
  </w:p>
  <w:p w14:paraId="000000E7" w14:textId="77777777" w:rsidR="00B07453" w:rsidRDefault="00B07453">
    <w:pPr>
      <w:pBdr>
        <w:top w:val="nil"/>
        <w:left w:val="nil"/>
        <w:bottom w:val="nil"/>
        <w:right w:val="nil"/>
        <w:between w:val="nil"/>
      </w:pBdr>
      <w:tabs>
        <w:tab w:val="center" w:pos="4536"/>
        <w:tab w:val="right" w:pos="9072"/>
      </w:tabs>
      <w:rPr>
        <w:b/>
        <w:color w:val="000000"/>
      </w:rPr>
    </w:pPr>
    <w:bookmarkStart w:id="19" w:name="bookmark=id.3j2qqm3" w:colFirst="0" w:colLast="0"/>
    <w:bookmarkEnd w:id="19"/>
  </w:p>
  <w:p w14:paraId="000000E8" w14:textId="77777777" w:rsidR="00B07453" w:rsidRDefault="0023601B">
    <w:pPr>
      <w:pBdr>
        <w:top w:val="nil"/>
        <w:left w:val="nil"/>
        <w:bottom w:val="nil"/>
        <w:right w:val="nil"/>
        <w:between w:val="nil"/>
      </w:pBdr>
      <w:tabs>
        <w:tab w:val="center" w:pos="4536"/>
        <w:tab w:val="right" w:pos="9072"/>
      </w:tabs>
      <w:rPr>
        <w:b/>
        <w:color w:val="000000"/>
      </w:rPr>
    </w:pPr>
    <w:r>
      <w:rPr>
        <w:b/>
        <w:color w:val="000000"/>
      </w:rPr>
      <w:t>Poznámky individuálnej účtovnej závierky</w:t>
    </w:r>
  </w:p>
  <w:p w14:paraId="000000E9" w14:textId="15C791D6" w:rsidR="00B07453" w:rsidRDefault="0023601B">
    <w:pPr>
      <w:pBdr>
        <w:top w:val="nil"/>
        <w:left w:val="nil"/>
        <w:bottom w:val="nil"/>
        <w:right w:val="nil"/>
        <w:between w:val="nil"/>
      </w:pBdr>
      <w:tabs>
        <w:tab w:val="center" w:pos="4536"/>
        <w:tab w:val="right" w:pos="9072"/>
      </w:tabs>
      <w:rPr>
        <w:b/>
        <w:color w:val="000000"/>
      </w:rPr>
    </w:pPr>
    <w:r>
      <w:rPr>
        <w:b/>
        <w:color w:val="000000"/>
      </w:rPr>
      <w:t>Zostavenej k 31. decembru 202</w:t>
    </w:r>
    <w:r w:rsidR="006052B4">
      <w:rPr>
        <w:b/>
        <w:color w:val="000000"/>
      </w:rPr>
      <w:t>2</w:t>
    </w:r>
  </w:p>
  <w:p w14:paraId="000000EA" w14:textId="77777777" w:rsidR="00B07453" w:rsidRDefault="00B07453">
    <w:pPr>
      <w:pBdr>
        <w:top w:val="nil"/>
        <w:left w:val="nil"/>
        <w:bottom w:val="nil"/>
        <w:right w:val="nil"/>
        <w:between w:val="nil"/>
      </w:pBdr>
      <w:tabs>
        <w:tab w:val="center" w:pos="4536"/>
        <w:tab w:val="right" w:pos="9072"/>
      </w:tabs>
      <w:rPr>
        <w:b/>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8217F4"/>
    <w:multiLevelType w:val="multilevel"/>
    <w:tmpl w:val="2B443542"/>
    <w:lvl w:ilvl="0">
      <w:start w:val="1"/>
      <w:numFmt w:val="upperRoman"/>
      <w:lvlText w:val="%1."/>
      <w:lvlJc w:val="left"/>
      <w:pPr>
        <w:ind w:left="539" w:hanging="539"/>
      </w:pPr>
    </w:lvl>
    <w:lvl w:ilvl="1">
      <w:start w:val="1"/>
      <w:numFmt w:val="decimal"/>
      <w:lvlText w:val="%2."/>
      <w:lvlJc w:val="left"/>
      <w:pPr>
        <w:ind w:left="539" w:hanging="539"/>
      </w:pPr>
      <w:rPr>
        <w:b/>
        <w:i w:val="0"/>
      </w:rPr>
    </w:lvl>
    <w:lvl w:ilvl="2">
      <w:start w:val="1"/>
      <w:numFmt w:val="decimal"/>
      <w:lvlText w:val="%2.%3."/>
      <w:lvlJc w:val="left"/>
      <w:pPr>
        <w:ind w:left="539" w:hanging="539"/>
      </w:pPr>
    </w:lvl>
    <w:lvl w:ilvl="3">
      <w:start w:val="1"/>
      <w:numFmt w:val="decimal"/>
      <w:lvlText w:val="%2.%3.%4"/>
      <w:lvlJc w:val="left"/>
      <w:pPr>
        <w:ind w:left="539" w:hanging="539"/>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 w15:restartNumberingAfterBreak="0">
    <w:nsid w:val="1395773C"/>
    <w:multiLevelType w:val="multilevel"/>
    <w:tmpl w:val="287ED6F6"/>
    <w:lvl w:ilvl="0">
      <w:start w:val="1"/>
      <w:numFmt w:val="bullet"/>
      <w:lvlText w:val="●"/>
      <w:lvlJc w:val="left"/>
      <w:pPr>
        <w:ind w:left="539" w:hanging="539"/>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EA13354"/>
    <w:multiLevelType w:val="multilevel"/>
    <w:tmpl w:val="CEC2A0EA"/>
    <w:lvl w:ilvl="0">
      <w:start w:val="1"/>
      <w:numFmt w:val="bullet"/>
      <w:lvlText w:val="●"/>
      <w:lvlJc w:val="left"/>
      <w:pPr>
        <w:ind w:left="567" w:hanging="567"/>
      </w:pPr>
      <w:rPr>
        <w:rFonts w:ascii="Noto Sans Symbols" w:eastAsia="Noto Sans Symbols" w:hAnsi="Noto Sans Symbols" w:cs="Noto Sans Symbols"/>
      </w:rPr>
    </w:lvl>
    <w:lvl w:ilvl="1">
      <w:start w:val="1"/>
      <w:numFmt w:val="bullet"/>
      <w:lvlText w:val="−"/>
      <w:lvlJc w:val="left"/>
      <w:pPr>
        <w:ind w:left="851" w:hanging="312"/>
      </w:pPr>
      <w:rPr>
        <w:rFonts w:ascii="Noto Sans Symbols" w:eastAsia="Noto Sans Symbols" w:hAnsi="Noto Sans Symbols" w:cs="Noto Sans Symbols"/>
        <w:color w:val="000000"/>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30C70BB9"/>
    <w:multiLevelType w:val="multilevel"/>
    <w:tmpl w:val="DDCA2488"/>
    <w:lvl w:ilvl="0">
      <w:start w:val="2"/>
      <w:numFmt w:val="upperRoman"/>
      <w:pStyle w:val="Nadpis1"/>
      <w:lvlText w:val="%1."/>
      <w:lvlJc w:val="left"/>
      <w:pPr>
        <w:ind w:left="539" w:hanging="539"/>
      </w:pPr>
    </w:lvl>
    <w:lvl w:ilvl="1">
      <w:start w:val="9"/>
      <w:numFmt w:val="decimal"/>
      <w:pStyle w:val="Nadpis2"/>
      <w:lvlText w:val="%2."/>
      <w:lvlJc w:val="left"/>
      <w:pPr>
        <w:ind w:left="539" w:hanging="539"/>
      </w:pPr>
      <w:rPr>
        <w:b/>
        <w:i w:val="0"/>
      </w:rPr>
    </w:lvl>
    <w:lvl w:ilvl="2">
      <w:start w:val="1"/>
      <w:numFmt w:val="decimal"/>
      <w:pStyle w:val="Nadpis3"/>
      <w:lvlText w:val="%2.%3."/>
      <w:lvlJc w:val="left"/>
      <w:pPr>
        <w:ind w:left="539" w:hanging="539"/>
      </w:pPr>
    </w:lvl>
    <w:lvl w:ilvl="3">
      <w:start w:val="1"/>
      <w:numFmt w:val="decimal"/>
      <w:pStyle w:val="Nadpis4"/>
      <w:lvlText w:val="%2.%3.%4"/>
      <w:lvlJc w:val="left"/>
      <w:pPr>
        <w:ind w:left="539" w:hanging="539"/>
      </w:pPr>
    </w:lvl>
    <w:lvl w:ilvl="4">
      <w:start w:val="1"/>
      <w:numFmt w:val="decimal"/>
      <w:pStyle w:val="Nadpis5"/>
      <w:lvlText w:val="%1.%2.%3.%4.%5"/>
      <w:lvlJc w:val="left"/>
      <w:pPr>
        <w:ind w:left="1008" w:hanging="1008"/>
      </w:pPr>
    </w:lvl>
    <w:lvl w:ilvl="5">
      <w:start w:val="1"/>
      <w:numFmt w:val="decimal"/>
      <w:pStyle w:val="Nadpis6"/>
      <w:lvlText w:val="%1.%2.%3.%4.%5.%6"/>
      <w:lvlJc w:val="left"/>
      <w:pPr>
        <w:ind w:left="1152" w:hanging="1152"/>
      </w:pPr>
    </w:lvl>
    <w:lvl w:ilvl="6">
      <w:start w:val="1"/>
      <w:numFmt w:val="decimal"/>
      <w:pStyle w:val="Nadpis7"/>
      <w:lvlText w:val="%1.%2.%3.%4.%5.%6.%7"/>
      <w:lvlJc w:val="left"/>
      <w:pPr>
        <w:ind w:left="1296" w:hanging="1296"/>
      </w:pPr>
    </w:lvl>
    <w:lvl w:ilvl="7">
      <w:start w:val="1"/>
      <w:numFmt w:val="decimal"/>
      <w:pStyle w:val="Nadpis8"/>
      <w:lvlText w:val="%1.%2.%3.%4.%5.%6.%7.%8"/>
      <w:lvlJc w:val="left"/>
      <w:pPr>
        <w:ind w:left="1440" w:hanging="1440"/>
      </w:pPr>
    </w:lvl>
    <w:lvl w:ilvl="8">
      <w:start w:val="1"/>
      <w:numFmt w:val="decimal"/>
      <w:pStyle w:val="Nadpis9"/>
      <w:lvlText w:val="%1.%2.%3.%4.%5.%6.%7.%8.%9"/>
      <w:lvlJc w:val="left"/>
      <w:pPr>
        <w:ind w:left="1584" w:hanging="1584"/>
      </w:pPr>
    </w:lvl>
  </w:abstractNum>
  <w:abstractNum w:abstractNumId="4" w15:restartNumberingAfterBreak="0">
    <w:nsid w:val="48A05471"/>
    <w:multiLevelType w:val="multilevel"/>
    <w:tmpl w:val="7354E050"/>
    <w:lvl w:ilvl="0">
      <w:start w:val="1"/>
      <w:numFmt w:val="decimal"/>
      <w:lvlText w:val="%1."/>
      <w:lvlJc w:val="left"/>
      <w:pPr>
        <w:ind w:left="539" w:hanging="539"/>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49DB13E0"/>
    <w:multiLevelType w:val="multilevel"/>
    <w:tmpl w:val="36AA8D3C"/>
    <w:lvl w:ilvl="0">
      <w:start w:val="1"/>
      <w:numFmt w:val="bullet"/>
      <w:lvlText w:val="●"/>
      <w:lvlJc w:val="left"/>
      <w:pPr>
        <w:ind w:left="539" w:hanging="539"/>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4F1D446D"/>
    <w:multiLevelType w:val="multilevel"/>
    <w:tmpl w:val="BA54B076"/>
    <w:lvl w:ilvl="0">
      <w:start w:val="1"/>
      <w:numFmt w:val="bullet"/>
      <w:lvlText w:val="●"/>
      <w:lvlJc w:val="left"/>
      <w:pPr>
        <w:ind w:left="851" w:hanging="312"/>
      </w:pPr>
      <w:rPr>
        <w:rFonts w:ascii="Noto Sans Symbols" w:eastAsia="Noto Sans Symbols" w:hAnsi="Noto Sans Symbols" w:cs="Noto Sans Symbols"/>
      </w:rPr>
    </w:lvl>
    <w:lvl w:ilvl="1">
      <w:start w:val="1"/>
      <w:numFmt w:val="bullet"/>
      <w:lvlText w:val="●"/>
      <w:lvlJc w:val="left"/>
      <w:pPr>
        <w:ind w:left="851" w:hanging="312"/>
      </w:pPr>
      <w:rPr>
        <w:rFonts w:ascii="Noto Sans Symbols" w:eastAsia="Noto Sans Symbols" w:hAnsi="Noto Sans Symbols" w:cs="Noto Sans Symbol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51212051"/>
    <w:multiLevelType w:val="multilevel"/>
    <w:tmpl w:val="0D18BA36"/>
    <w:lvl w:ilvl="0">
      <w:start w:val="1"/>
      <w:numFmt w:val="bullet"/>
      <w:lvlText w:val="−"/>
      <w:lvlJc w:val="left"/>
      <w:pPr>
        <w:ind w:left="720" w:hanging="360"/>
      </w:pPr>
      <w:rPr>
        <w:rFonts w:ascii="Noto Sans Symbols" w:eastAsia="Noto Sans Symbols" w:hAnsi="Noto Sans Symbols" w:cs="Noto Sans Symbols"/>
        <w:color w:val="00000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54452F1E"/>
    <w:multiLevelType w:val="multilevel"/>
    <w:tmpl w:val="AD54E9B0"/>
    <w:lvl w:ilvl="0">
      <w:start w:val="1"/>
      <w:numFmt w:val="lowerLetter"/>
      <w:lvlText w:val="%1)"/>
      <w:lvlJc w:val="left"/>
      <w:pPr>
        <w:ind w:left="539" w:hanging="539"/>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6C0E3076"/>
    <w:multiLevelType w:val="multilevel"/>
    <w:tmpl w:val="D480B34C"/>
    <w:lvl w:ilvl="0">
      <w:start w:val="1"/>
      <w:numFmt w:val="bullet"/>
      <w:lvlText w:val="●"/>
      <w:lvlJc w:val="left"/>
      <w:pPr>
        <w:ind w:left="539" w:hanging="539"/>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734D2FB7"/>
    <w:multiLevelType w:val="multilevel"/>
    <w:tmpl w:val="902A4792"/>
    <w:lvl w:ilvl="0">
      <w:start w:val="1"/>
      <w:numFmt w:val="bullet"/>
      <w:lvlText w:val="●"/>
      <w:lvlJc w:val="left"/>
      <w:pPr>
        <w:ind w:left="851" w:hanging="312"/>
      </w:pPr>
      <w:rPr>
        <w:rFonts w:ascii="Noto Sans Symbols" w:eastAsia="Noto Sans Symbols" w:hAnsi="Noto Sans Symbols" w:cs="Noto Sans Symbols"/>
      </w:rPr>
    </w:lvl>
    <w:lvl w:ilvl="1">
      <w:start w:val="1"/>
      <w:numFmt w:val="bullet"/>
      <w:lvlText w:val="●"/>
      <w:lvlJc w:val="left"/>
      <w:pPr>
        <w:ind w:left="851" w:hanging="312"/>
      </w:pPr>
      <w:rPr>
        <w:rFonts w:ascii="Noto Sans Symbols" w:eastAsia="Noto Sans Symbols" w:hAnsi="Noto Sans Symbols" w:cs="Noto Sans Symbol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73E0233A"/>
    <w:multiLevelType w:val="multilevel"/>
    <w:tmpl w:val="449097DE"/>
    <w:lvl w:ilvl="0">
      <w:start w:val="1"/>
      <w:numFmt w:val="lowerLetter"/>
      <w:lvlText w:val="%1)"/>
      <w:lvlJc w:val="left"/>
      <w:pPr>
        <w:ind w:left="539" w:hanging="539"/>
      </w:pPr>
    </w:lvl>
    <w:lvl w:ilvl="1">
      <w:start w:val="1"/>
      <w:numFmt w:val="bullet"/>
      <w:lvlText w:val="●"/>
      <w:lvlJc w:val="left"/>
      <w:pPr>
        <w:ind w:left="1364" w:hanging="284"/>
      </w:pPr>
      <w:rPr>
        <w:rFonts w:ascii="Noto Sans Symbols" w:eastAsia="Noto Sans Symbols" w:hAnsi="Noto Sans Symbols" w:cs="Noto Sans Symbol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7E171DC7"/>
    <w:multiLevelType w:val="multilevel"/>
    <w:tmpl w:val="3E48CD68"/>
    <w:lvl w:ilvl="0">
      <w:start w:val="1"/>
      <w:numFmt w:val="upperRoman"/>
      <w:lvlText w:val="%1."/>
      <w:lvlJc w:val="left"/>
      <w:pPr>
        <w:ind w:left="539" w:hanging="539"/>
      </w:pPr>
    </w:lvl>
    <w:lvl w:ilvl="1">
      <w:start w:val="1"/>
      <w:numFmt w:val="decimal"/>
      <w:lvlText w:val="%2."/>
      <w:lvlJc w:val="left"/>
      <w:pPr>
        <w:ind w:left="539" w:hanging="539"/>
      </w:pPr>
      <w:rPr>
        <w:b/>
        <w:i w:val="0"/>
      </w:rPr>
    </w:lvl>
    <w:lvl w:ilvl="2">
      <w:start w:val="1"/>
      <w:numFmt w:val="decimal"/>
      <w:lvlText w:val="%2.%3."/>
      <w:lvlJc w:val="left"/>
      <w:pPr>
        <w:ind w:left="539" w:hanging="539"/>
      </w:pPr>
    </w:lvl>
    <w:lvl w:ilvl="3">
      <w:start w:val="1"/>
      <w:numFmt w:val="decimal"/>
      <w:lvlText w:val="%2.%3.%4"/>
      <w:lvlJc w:val="left"/>
      <w:pPr>
        <w:ind w:left="539" w:hanging="539"/>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15:restartNumberingAfterBreak="0">
    <w:nsid w:val="7F583377"/>
    <w:multiLevelType w:val="multilevel"/>
    <w:tmpl w:val="24620F6A"/>
    <w:lvl w:ilvl="0">
      <w:start w:val="1"/>
      <w:numFmt w:val="bullet"/>
      <w:lvlText w:val="●"/>
      <w:lvlJc w:val="left"/>
      <w:pPr>
        <w:ind w:left="851" w:hanging="312"/>
      </w:pPr>
      <w:rPr>
        <w:rFonts w:ascii="Noto Sans Symbols" w:eastAsia="Noto Sans Symbols" w:hAnsi="Noto Sans Symbols" w:cs="Noto Sans Symbols"/>
      </w:rPr>
    </w:lvl>
    <w:lvl w:ilvl="1">
      <w:start w:val="1"/>
      <w:numFmt w:val="bullet"/>
      <w:lvlText w:val="●"/>
      <w:lvlJc w:val="left"/>
      <w:pPr>
        <w:ind w:left="851" w:hanging="312"/>
      </w:pPr>
      <w:rPr>
        <w:rFonts w:ascii="Noto Sans Symbols" w:eastAsia="Noto Sans Symbols" w:hAnsi="Noto Sans Symbols" w:cs="Noto Sans Symbol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889952418">
    <w:abstractNumId w:val="3"/>
  </w:num>
  <w:num w:numId="2" w16cid:durableId="1033724878">
    <w:abstractNumId w:val="11"/>
  </w:num>
  <w:num w:numId="3" w16cid:durableId="731736478">
    <w:abstractNumId w:val="4"/>
  </w:num>
  <w:num w:numId="4" w16cid:durableId="313949529">
    <w:abstractNumId w:val="10"/>
  </w:num>
  <w:num w:numId="5" w16cid:durableId="441002229">
    <w:abstractNumId w:val="13"/>
  </w:num>
  <w:num w:numId="6" w16cid:durableId="1974405174">
    <w:abstractNumId w:val="6"/>
  </w:num>
  <w:num w:numId="7" w16cid:durableId="550727629">
    <w:abstractNumId w:val="1"/>
  </w:num>
  <w:num w:numId="8" w16cid:durableId="1361201760">
    <w:abstractNumId w:val="0"/>
  </w:num>
  <w:num w:numId="9" w16cid:durableId="1575235498">
    <w:abstractNumId w:val="5"/>
  </w:num>
  <w:num w:numId="10" w16cid:durableId="2021348349">
    <w:abstractNumId w:val="9"/>
  </w:num>
  <w:num w:numId="11" w16cid:durableId="478150906">
    <w:abstractNumId w:val="12"/>
  </w:num>
  <w:num w:numId="12" w16cid:durableId="1892300924">
    <w:abstractNumId w:val="7"/>
  </w:num>
  <w:num w:numId="13" w16cid:durableId="251014533">
    <w:abstractNumId w:val="2"/>
  </w:num>
  <w:num w:numId="14" w16cid:durableId="121014517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7453"/>
    <w:rsid w:val="000D4FA1"/>
    <w:rsid w:val="001355A8"/>
    <w:rsid w:val="0023601B"/>
    <w:rsid w:val="00264C84"/>
    <w:rsid w:val="0043385A"/>
    <w:rsid w:val="004C6CEF"/>
    <w:rsid w:val="00600797"/>
    <w:rsid w:val="006052B4"/>
    <w:rsid w:val="00654131"/>
    <w:rsid w:val="008748EB"/>
    <w:rsid w:val="009F5B8C"/>
    <w:rsid w:val="00A15727"/>
    <w:rsid w:val="00A802A3"/>
    <w:rsid w:val="00B04FA2"/>
    <w:rsid w:val="00B07453"/>
    <w:rsid w:val="00C60A5F"/>
    <w:rsid w:val="00CA639B"/>
    <w:rsid w:val="00CE2C33"/>
    <w:rsid w:val="00D916B5"/>
    <w:rsid w:val="00EC089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234F4C"/>
  <w15:docId w15:val="{C0B64651-55F7-4175-A289-A278650C87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Verdana" w:eastAsia="Verdana" w:hAnsi="Verdana" w:cs="Verdana"/>
        <w:sz w:val="17"/>
        <w:szCs w:val="17"/>
        <w:lang w:val="sk-SK" w:eastAsia="sk-SK"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C81150"/>
    <w:rPr>
      <w:lang w:eastAsia="en-US"/>
    </w:rPr>
  </w:style>
  <w:style w:type="paragraph" w:styleId="Nadpis1">
    <w:name w:val="heading 1"/>
    <w:basedOn w:val="Normlny"/>
    <w:next w:val="Normlny"/>
    <w:uiPriority w:val="9"/>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uiPriority w:val="9"/>
    <w:unhideWhenUsed/>
    <w:qFormat/>
    <w:rsid w:val="00111C30"/>
    <w:pPr>
      <w:keepNext/>
      <w:numPr>
        <w:ilvl w:val="1"/>
        <w:numId w:val="1"/>
      </w:numPr>
      <w:outlineLvl w:val="1"/>
    </w:pPr>
    <w:rPr>
      <w:rFonts w:cs="Arial"/>
      <w:b/>
      <w:bCs/>
      <w:iCs/>
      <w:szCs w:val="28"/>
    </w:rPr>
  </w:style>
  <w:style w:type="paragraph" w:styleId="Nadpis3">
    <w:name w:val="heading 3"/>
    <w:basedOn w:val="Normlny"/>
    <w:next w:val="Normlny"/>
    <w:uiPriority w:val="9"/>
    <w:unhideWhenUsed/>
    <w:qFormat/>
    <w:rsid w:val="00111C30"/>
    <w:pPr>
      <w:keepNext/>
      <w:numPr>
        <w:ilvl w:val="2"/>
        <w:numId w:val="1"/>
      </w:numPr>
      <w:outlineLvl w:val="2"/>
    </w:pPr>
    <w:rPr>
      <w:rFonts w:cs="Arial"/>
      <w:bCs/>
      <w:szCs w:val="26"/>
      <w:u w:val="single"/>
    </w:rPr>
  </w:style>
  <w:style w:type="paragraph" w:styleId="Nadpis4">
    <w:name w:val="heading 4"/>
    <w:basedOn w:val="Normlny"/>
    <w:next w:val="Normlny"/>
    <w:uiPriority w:val="9"/>
    <w:semiHidden/>
    <w:unhideWhenUsed/>
    <w:qFormat/>
    <w:rsid w:val="00111C30"/>
    <w:pPr>
      <w:keepNext/>
      <w:numPr>
        <w:ilvl w:val="3"/>
        <w:numId w:val="1"/>
      </w:numPr>
      <w:outlineLvl w:val="3"/>
    </w:pPr>
    <w:rPr>
      <w:bCs/>
      <w:i/>
      <w:szCs w:val="28"/>
    </w:rPr>
  </w:style>
  <w:style w:type="paragraph" w:styleId="Nadpis5">
    <w:name w:val="heading 5"/>
    <w:basedOn w:val="Normlny"/>
    <w:next w:val="Normlny"/>
    <w:uiPriority w:val="9"/>
    <w:semiHidden/>
    <w:unhideWhenUsed/>
    <w:qFormat/>
    <w:rsid w:val="00111C30"/>
    <w:pPr>
      <w:numPr>
        <w:ilvl w:val="4"/>
        <w:numId w:val="1"/>
      </w:numPr>
      <w:spacing w:before="240" w:after="60"/>
      <w:outlineLvl w:val="4"/>
    </w:pPr>
    <w:rPr>
      <w:b/>
      <w:bCs/>
      <w:i/>
      <w:iCs/>
      <w:szCs w:val="26"/>
    </w:rPr>
  </w:style>
  <w:style w:type="paragraph" w:styleId="Nadpis6">
    <w:name w:val="heading 6"/>
    <w:basedOn w:val="Normlny"/>
    <w:next w:val="Normlny"/>
    <w:uiPriority w:val="9"/>
    <w:semiHidden/>
    <w:unhideWhenUsed/>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Nzov">
    <w:name w:val="Title"/>
    <w:basedOn w:val="Normlny"/>
    <w:next w:val="Normlny"/>
    <w:uiPriority w:val="10"/>
    <w:qFormat/>
    <w:pPr>
      <w:keepNext/>
      <w:keepLines/>
      <w:spacing w:before="480" w:after="120"/>
    </w:pPr>
    <w:rPr>
      <w:b/>
      <w:sz w:val="72"/>
      <w:szCs w:val="72"/>
    </w:rPr>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customStyle="1" w:styleId="odstavec">
    <w:name w:val="odstavec"/>
    <w:basedOn w:val="Normlny"/>
    <w:link w:val="odstavecChar"/>
    <w:autoRedefine/>
    <w:rsid w:val="00780B37"/>
    <w:pPr>
      <w:suppressAutoHyphens/>
      <w:ind w:right="-79"/>
    </w:pPr>
    <w:rPr>
      <w:bCs/>
      <w:iCs/>
      <w:sz w:val="18"/>
      <w:szCs w:val="18"/>
    </w:rPr>
  </w:style>
  <w:style w:type="character" w:customStyle="1" w:styleId="odstavecChar">
    <w:name w:val="odstavec Char"/>
    <w:link w:val="odstavec"/>
    <w:rsid w:val="00780B37"/>
    <w:rPr>
      <w:rFonts w:ascii="Verdana" w:hAnsi="Verdana"/>
      <w:bCs/>
      <w:iCs/>
      <w:sz w:val="18"/>
      <w:szCs w:val="18"/>
      <w:lang w:eastAsia="en-US"/>
    </w:rPr>
  </w:style>
  <w:style w:type="paragraph" w:styleId="Podtitul">
    <w:name w:val="Subtitle"/>
    <w:basedOn w:val="Normlny"/>
    <w:next w:val="Normlny"/>
    <w:uiPriority w:val="11"/>
    <w:qFormat/>
    <w:pPr>
      <w:keepNext/>
      <w:keepLines/>
      <w:spacing w:before="360" w:after="80"/>
    </w:pPr>
    <w:rPr>
      <w:rFonts w:ascii="Georgia" w:eastAsia="Georgia" w:hAnsi="Georgia" w:cs="Georgia"/>
      <w:i/>
      <w:color w:val="666666"/>
      <w:sz w:val="48"/>
      <w:szCs w:val="48"/>
    </w:rPr>
  </w:style>
  <w:style w:type="table" w:customStyle="1" w:styleId="a">
    <w:basedOn w:val="Normlnatabuka"/>
    <w:tblPr>
      <w:tblStyleRowBandSize w:val="1"/>
      <w:tblStyleColBandSize w:val="1"/>
      <w:tblCellMar>
        <w:left w:w="115" w:type="dxa"/>
        <w:right w:w="115" w:type="dxa"/>
      </w:tblCellMar>
    </w:tblPr>
  </w:style>
  <w:style w:type="table" w:customStyle="1" w:styleId="a0">
    <w:basedOn w:val="Normlnatabuka"/>
    <w:tblPr>
      <w:tblStyleRowBandSize w:val="1"/>
      <w:tblStyleColBandSize w:val="1"/>
      <w:tblCellMar>
        <w:left w:w="70" w:type="dxa"/>
        <w:right w:w="70" w:type="dxa"/>
      </w:tblCellMar>
    </w:tblPr>
  </w:style>
  <w:style w:type="table" w:customStyle="1" w:styleId="a1">
    <w:basedOn w:val="Normlnatabuka"/>
    <w:tblPr>
      <w:tblStyleRowBandSize w:val="1"/>
      <w:tblStyleColBandSize w:val="1"/>
      <w:tblCellMar>
        <w:left w:w="70" w:type="dxa"/>
        <w:right w:w="70" w:type="dxa"/>
      </w:tblCellMar>
    </w:tblPr>
  </w:style>
  <w:style w:type="table" w:customStyle="1" w:styleId="a2">
    <w:basedOn w:val="Normlnatabuka"/>
    <w:tblPr>
      <w:tblStyleRowBandSize w:val="1"/>
      <w:tblStyleColBandSize w:val="1"/>
      <w:tblCellMar>
        <w:left w:w="70" w:type="dxa"/>
        <w:right w:w="70" w:type="dxa"/>
      </w:tblCellMar>
    </w:tblPr>
  </w:style>
  <w:style w:type="table" w:customStyle="1" w:styleId="a3">
    <w:basedOn w:val="Normlnatabuka"/>
    <w:tblPr>
      <w:tblStyleRowBandSize w:val="1"/>
      <w:tblStyleColBandSize w:val="1"/>
      <w:tblCellMar>
        <w:left w:w="70" w:type="dxa"/>
        <w:right w:w="7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Microsoft_Excel_Worksheet.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A1++ZNFq7npWFhkyMhSY7CTMKIA==">AMUW2mVhT99pwEzbwDw/PdAphqxmMDX4Li0TOtKIF5Vzb4RQRfUT9iYq5e03hy2QJ0jnpLuoRgI4PI3fZ4CF/fNVB/5MySBfZ5oyyBmbFiOuKcIsKWw+clJaIoAnbvsb4P25DDfq0RcI5T9g35CimbdShpMNv6TYdx4ys2aCX6DVRljtzMrXRTohHtgnIqY3XoSjs0I5WOb5HKnpCD0IpmSoSn/2jvXKmI1pmi3risFWS7mRR8JvFpbNhxYprIdD1Xc5wDnSC1oHse8lXoyOsR23HL2efoW4RM/oQWXMFZqEPovfqjVgazAD6ZinCDzTRWQc9F6Q3qCacWgR/0Gk4k3k7KBP1or+ETA47Lm53anwYwbbH/Ja28M1WAYEc1iuhbWbRNkYJ18b3wezTHm3MTuJMXiWxa6WJ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70</TotalTime>
  <Pages>5</Pages>
  <Words>1953</Words>
  <Characters>11137</Characters>
  <Application>Microsoft Office Word</Application>
  <DocSecurity>0</DocSecurity>
  <Lines>92</Lines>
  <Paragraphs>26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13064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Alena Durkova</dc:creator>
  <cp:lastModifiedBy> </cp:lastModifiedBy>
  <cp:revision>15</cp:revision>
  <dcterms:created xsi:type="dcterms:W3CDTF">2021-02-04T15:23:00Z</dcterms:created>
  <dcterms:modified xsi:type="dcterms:W3CDTF">2023-02-22T12:59:00Z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