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6A48" w:rsidRDefault="00AD6A4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</w:t>
      </w:r>
      <w:r w:rsidR="00CE55C7">
        <w:rPr>
          <w:rFonts w:ascii="Arial Narrow" w:hAnsi="Arial Narrow" w:cs="Arial Narrow"/>
          <w:b/>
        </w:rPr>
        <w:t>OZNÁMKY K ÚČTOVNEJ ZÁVIERKE 2022</w:t>
      </w:r>
    </w:p>
    <w:p w:rsidR="00AD6A48" w:rsidRDefault="00AD6A4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AD6A48" w:rsidRDefault="00AD6A4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D6A48" w:rsidRDefault="00AD6A4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v znení Opatrenia č.MF/19927/2015-74 (FS č.12/2015) </w:t>
      </w:r>
    </w:p>
    <w:p w:rsidR="00AD6A48" w:rsidRDefault="00AD6A48">
      <w:pPr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AD6A48" w:rsidRDefault="00AD6A48">
      <w:pPr>
        <w:rPr>
          <w:rFonts w:ascii="Arial Narrow" w:hAnsi="Arial Narrow" w:cs="Arial Narrow"/>
          <w:b/>
          <w:sz w:val="22"/>
          <w:szCs w:val="22"/>
          <w:u w:val="single"/>
        </w:rPr>
      </w:pPr>
    </w:p>
    <w:p w:rsidR="00AD6A48" w:rsidRDefault="00AD6A4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AD6A48" w:rsidRDefault="00AD6A48">
      <w:pPr>
        <w:rPr>
          <w:rFonts w:ascii="Arial Narrow" w:hAnsi="Arial Narrow" w:cs="Arial Narrow"/>
          <w:sz w:val="22"/>
          <w:szCs w:val="22"/>
        </w:rPr>
      </w:pPr>
    </w:p>
    <w:tbl>
      <w:tblPr>
        <w:tblW w:w="4900" w:type="pct"/>
        <w:tblInd w:w="-10" w:type="dxa"/>
        <w:tblLayout w:type="fixed"/>
        <w:tblLook w:val="0000" w:firstRow="0" w:lastRow="0" w:firstColumn="0" w:lastColumn="0" w:noHBand="0" w:noVBand="0"/>
      </w:tblPr>
      <w:tblGrid>
        <w:gridCol w:w="2545"/>
        <w:gridCol w:w="6742"/>
        <w:gridCol w:w="10"/>
      </w:tblGrid>
      <w:tr w:rsidR="00AD6A48">
        <w:trPr>
          <w:gridAfter w:val="1"/>
          <w:wAfter w:w="10" w:type="dxa"/>
          <w:trHeight w:val="231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RIVECO, s. r.o.</w:t>
            </w:r>
          </w:p>
        </w:tc>
      </w:tr>
      <w:tr w:rsidR="00AD6A48">
        <w:trPr>
          <w:gridAfter w:val="1"/>
          <w:wAfter w:w="10" w:type="dxa"/>
          <w:trHeight w:val="249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Novozámocká 180, 94703 Hurbanovo - Bohatá</w:t>
            </w:r>
          </w:p>
        </w:tc>
      </w:tr>
      <w:tr w:rsidR="00AD6A48">
        <w:trPr>
          <w:gridAfter w:val="1"/>
          <w:wAfter w:w="10" w:type="dxa"/>
          <w:trHeight w:val="125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AD6A48">
        <w:trPr>
          <w:trHeight w:val="143"/>
        </w:trPr>
        <w:tc>
          <w:tcPr>
            <w:tcW w:w="25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75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29.09.2012</w:t>
            </w:r>
          </w:p>
        </w:tc>
      </w:tr>
      <w:tr w:rsidR="00AD6A48">
        <w:trPr>
          <w:trHeight w:val="175"/>
        </w:trPr>
        <w:tc>
          <w:tcPr>
            <w:tcW w:w="25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75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Veľkoobchod s kovmi a kovovými rudami</w:t>
            </w:r>
          </w:p>
        </w:tc>
      </w:tr>
      <w:tr w:rsidR="00AD6A48">
        <w:trPr>
          <w:trHeight w:val="194"/>
        </w:trPr>
        <w:tc>
          <w:tcPr>
            <w:tcW w:w="25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75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AD6A48">
        <w:trPr>
          <w:trHeight w:val="194"/>
        </w:trPr>
        <w:tc>
          <w:tcPr>
            <w:tcW w:w="254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75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E55C7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</w:tbl>
    <w:p w:rsidR="00AD6A48" w:rsidRDefault="00AD6A4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D6A48" w:rsidRDefault="00AD6A4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AD6A48" w:rsidRDefault="00AD6A4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AD6A48" w:rsidRDefault="00AD6A4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AD6A4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D6A4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CE55C7">
            <w:pPr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642733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CE55C7">
            <w:pPr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607859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AD6A4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CE55C7">
            <w:pPr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3418466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CE55C7">
            <w:pPr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1326062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AD6A4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bookmarkStart w:id="0" w:name="_GoBack"/>
            <w:bookmarkEnd w:id="0"/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AD6A48" w:rsidRDefault="00AD6A4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 v znení neskorších predpisov).</w:t>
      </w:r>
    </w:p>
    <w:p w:rsidR="00AD6A48" w:rsidRDefault="00AD6A4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 Účtovná závierka Spol</w:t>
      </w:r>
      <w:r w:rsidR="00CE55C7">
        <w:rPr>
          <w:rFonts w:ascii="Arial Narrow" w:hAnsi="Arial Narrow" w:cs="Arial Narrow"/>
          <w:sz w:val="22"/>
          <w:szCs w:val="22"/>
        </w:rPr>
        <w:t>očnosti k 31.12.2021</w:t>
      </w:r>
      <w:r>
        <w:rPr>
          <w:rFonts w:ascii="Arial Narrow" w:hAnsi="Arial Narrow" w:cs="Arial Narrow"/>
          <w:sz w:val="22"/>
          <w:szCs w:val="22"/>
        </w:rPr>
        <w:t>, za predchádzajúce účtovné obdobie, bola schválená valným zh</w:t>
      </w:r>
      <w:r w:rsidR="00CE55C7">
        <w:rPr>
          <w:rFonts w:ascii="Arial Narrow" w:hAnsi="Arial Narrow" w:cs="Arial Narrow"/>
          <w:sz w:val="22"/>
          <w:szCs w:val="22"/>
        </w:rPr>
        <w:t>romaždením Spoločnosti dňa 14.02</w:t>
      </w:r>
      <w:r>
        <w:rPr>
          <w:rFonts w:ascii="Arial Narrow" w:hAnsi="Arial Narrow" w:cs="Arial Narrow"/>
          <w:sz w:val="22"/>
          <w:szCs w:val="22"/>
        </w:rPr>
        <w:t>.202</w:t>
      </w:r>
      <w:r w:rsidR="00CE55C7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.</w:t>
      </w:r>
    </w:p>
    <w:p w:rsidR="00AD6A48" w:rsidRDefault="00AD6A48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AD6A48" w:rsidRDefault="00AD6A4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Účtovná z</w:t>
      </w:r>
      <w:r w:rsidR="00CF0DE6">
        <w:rPr>
          <w:rFonts w:ascii="Arial Narrow" w:hAnsi="Arial Narrow" w:cs="Arial Narrow"/>
          <w:sz w:val="22"/>
          <w:szCs w:val="22"/>
        </w:rPr>
        <w:t>ávierka Spoločnosti k 31.12.202</w:t>
      </w:r>
      <w:r w:rsidR="00CE55C7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je zostavená ako riadna účtovná závierka podľa § 17 ods. 6 zákona NR SR č. 431/2002 Z. z. o účtovníctve, za účtovné obdobie od 1.1.202</w:t>
      </w:r>
      <w:r w:rsidR="00CE55C7">
        <w:rPr>
          <w:rFonts w:ascii="Arial Narrow" w:hAnsi="Arial Narrow" w:cs="Arial Narrow"/>
          <w:sz w:val="22"/>
          <w:szCs w:val="22"/>
        </w:rPr>
        <w:t>2</w:t>
      </w:r>
      <w:r w:rsidR="00CF0DE6">
        <w:rPr>
          <w:rFonts w:ascii="Arial Narrow" w:hAnsi="Arial Narrow" w:cs="Arial Narrow"/>
          <w:sz w:val="22"/>
          <w:szCs w:val="22"/>
        </w:rPr>
        <w:t xml:space="preserve"> do 31.12.202</w:t>
      </w:r>
      <w:r w:rsidR="00CE55C7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. </w:t>
      </w:r>
    </w:p>
    <w:p w:rsidR="00AD6A48" w:rsidRDefault="00AD6A4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bez obsahu</w:t>
      </w:r>
    </w:p>
    <w:p w:rsidR="00AD6A48" w:rsidRDefault="00AD6A4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tblInd w:w="-5" w:type="dxa"/>
        <w:tblLayout w:type="fixed"/>
        <w:tblLook w:val="0000" w:firstRow="0" w:lastRow="0" w:firstColumn="0" w:lastColumn="0" w:noHBand="0" w:noVBand="0"/>
      </w:tblPr>
      <w:tblGrid>
        <w:gridCol w:w="4722"/>
        <w:gridCol w:w="2453"/>
        <w:gridCol w:w="2312"/>
      </w:tblGrid>
      <w:tr w:rsidR="00AD6A48">
        <w:trPr>
          <w:trHeight w:val="537"/>
        </w:trPr>
        <w:tc>
          <w:tcPr>
            <w:tcW w:w="4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6A48">
        <w:trPr>
          <w:trHeight w:val="163"/>
        </w:trPr>
        <w:tc>
          <w:tcPr>
            <w:tcW w:w="4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D6A48" w:rsidRDefault="00AD6A48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AD6A48" w:rsidRDefault="00AD6A4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</w:t>
      </w:r>
      <w:r>
        <w:t>osoby):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6158"/>
        <w:gridCol w:w="1659"/>
        <w:gridCol w:w="1670"/>
      </w:tblGrid>
      <w:tr w:rsidR="00AD6A48">
        <w:trPr>
          <w:trHeight w:val="780"/>
          <w:jc w:val="center"/>
        </w:trPr>
        <w:tc>
          <w:tcPr>
            <w:tcW w:w="6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TopHeader"/>
            </w:pPr>
            <w:r>
              <w:t>Orgány účtovnej jednotky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TopHeader"/>
            </w:pPr>
            <w:r>
              <w:t>Bežné účtovné obdobie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TopHeader"/>
            </w:pPr>
            <w:r>
              <w:t>Bezprostredne predchádzajúce účtovné obdobie</w:t>
            </w:r>
          </w:p>
        </w:tc>
      </w:tr>
      <w:tr w:rsidR="00AD6A48">
        <w:trPr>
          <w:trHeight w:val="267"/>
          <w:jc w:val="center"/>
        </w:trPr>
        <w:tc>
          <w:tcPr>
            <w:tcW w:w="6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Spoločník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r>
              <w:rPr>
                <w:rFonts w:ascii="Arial Narrow" w:hAnsi="Arial Narrow" w:cs="Arial Narrow"/>
                <w:sz w:val="22"/>
                <w:szCs w:val="22"/>
              </w:rPr>
              <w:t>Marek Lovász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r>
              <w:rPr>
                <w:rFonts w:ascii="Arial Narrow" w:hAnsi="Arial Narrow" w:cs="Arial Narrow"/>
                <w:sz w:val="22"/>
                <w:szCs w:val="22"/>
              </w:rPr>
              <w:t>Marek Lovász</w:t>
            </w:r>
          </w:p>
        </w:tc>
      </w:tr>
      <w:tr w:rsidR="00AD6A48">
        <w:trPr>
          <w:trHeight w:val="144"/>
          <w:jc w:val="center"/>
        </w:trPr>
        <w:tc>
          <w:tcPr>
            <w:tcW w:w="6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D6A48">
        <w:trPr>
          <w:trHeight w:val="161"/>
          <w:jc w:val="center"/>
        </w:trPr>
        <w:tc>
          <w:tcPr>
            <w:tcW w:w="6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D6A48">
        <w:trPr>
          <w:trHeight w:val="161"/>
          <w:jc w:val="center"/>
        </w:trPr>
        <w:tc>
          <w:tcPr>
            <w:tcW w:w="6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r>
              <w:rPr>
                <w:rFonts w:ascii="Arial Narrow" w:hAnsi="Arial Narrow" w:cs="Arial Narrow"/>
                <w:b/>
                <w:sz w:val="22"/>
                <w:szCs w:val="22"/>
              </w:rPr>
              <w:t>Konateľ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r>
              <w:rPr>
                <w:rFonts w:ascii="Arial Narrow" w:hAnsi="Arial Narrow" w:cs="Arial Narrow"/>
                <w:sz w:val="22"/>
                <w:szCs w:val="22"/>
              </w:rPr>
              <w:t>Martina Lovászová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r>
              <w:rPr>
                <w:rFonts w:ascii="Arial Narrow" w:hAnsi="Arial Narrow" w:cs="Arial Narrow"/>
                <w:sz w:val="22"/>
                <w:szCs w:val="22"/>
              </w:rPr>
              <w:t>Martina Lovászová</w:t>
            </w:r>
          </w:p>
        </w:tc>
      </w:tr>
      <w:tr w:rsidR="00AD6A48">
        <w:trPr>
          <w:trHeight w:val="161"/>
          <w:jc w:val="center"/>
        </w:trPr>
        <w:tc>
          <w:tcPr>
            <w:tcW w:w="6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r>
              <w:rPr>
                <w:rFonts w:ascii="Arial Narrow" w:hAnsi="Arial Narrow" w:cs="Arial Narrow"/>
                <w:sz w:val="22"/>
                <w:szCs w:val="22"/>
              </w:rPr>
              <w:t>Marek Lovász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r>
              <w:rPr>
                <w:rFonts w:ascii="Arial Narrow" w:hAnsi="Arial Narrow" w:cs="Arial Narrow"/>
                <w:sz w:val="22"/>
                <w:szCs w:val="22"/>
              </w:rPr>
              <w:t>Marek Lovász</w:t>
            </w:r>
          </w:p>
        </w:tc>
      </w:tr>
    </w:tbl>
    <w:p w:rsidR="00AD6A48" w:rsidRDefault="00AD6A4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4950" w:type="pct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60"/>
        <w:gridCol w:w="1438"/>
        <w:gridCol w:w="1309"/>
        <w:gridCol w:w="1176"/>
        <w:gridCol w:w="2289"/>
      </w:tblGrid>
      <w:tr w:rsidR="00AD6A48">
        <w:trPr>
          <w:trHeight w:val="231"/>
        </w:trPr>
        <w:tc>
          <w:tcPr>
            <w:tcW w:w="31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Spoločník, akcionár</w:t>
            </w:r>
          </w:p>
        </w:tc>
        <w:tc>
          <w:tcPr>
            <w:tcW w:w="27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18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br/>
              <w:t>právach v %</w:t>
            </w:r>
          </w:p>
        </w:tc>
        <w:tc>
          <w:tcPr>
            <w:tcW w:w="229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AD6A48">
        <w:trPr>
          <w:trHeight w:val="231"/>
        </w:trPr>
        <w:tc>
          <w:tcPr>
            <w:tcW w:w="317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snapToGrid w:val="0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absolútne</w:t>
            </w:r>
          </w:p>
        </w:tc>
        <w:tc>
          <w:tcPr>
            <w:tcW w:w="13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v %</w:t>
            </w:r>
          </w:p>
        </w:tc>
        <w:tc>
          <w:tcPr>
            <w:tcW w:w="1180" w:type="dxa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2296" w:type="dxa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snapToGrid w:val="0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  <w:tr w:rsidR="00AD6A48">
        <w:trPr>
          <w:trHeight w:val="107"/>
        </w:trPr>
        <w:tc>
          <w:tcPr>
            <w:tcW w:w="31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AD6A48">
        <w:trPr>
          <w:trHeight w:val="278"/>
        </w:trPr>
        <w:tc>
          <w:tcPr>
            <w:tcW w:w="31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r>
              <w:rPr>
                <w:rFonts w:ascii="Arial Narrow" w:hAnsi="Arial Narrow" w:cs="Arial Narrow"/>
                <w:sz w:val="22"/>
                <w:szCs w:val="22"/>
              </w:rPr>
              <w:t>Marek Lovász</w:t>
            </w:r>
          </w:p>
        </w:tc>
        <w:tc>
          <w:tcPr>
            <w:tcW w:w="14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</w:pPr>
            <w:r>
              <w:rPr>
                <w:sz w:val="18"/>
                <w:szCs w:val="18"/>
                <w:lang w:val="sk-SK" w:eastAsia="sk-SK"/>
              </w:rPr>
              <w:t>5 000</w:t>
            </w:r>
          </w:p>
        </w:tc>
        <w:tc>
          <w:tcPr>
            <w:tcW w:w="13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</w:pPr>
            <w:r>
              <w:rPr>
                <w:sz w:val="18"/>
                <w:szCs w:val="18"/>
                <w:lang w:val="sk-SK" w:eastAsia="sk-SK"/>
              </w:rPr>
              <w:t>100</w:t>
            </w:r>
          </w:p>
        </w:tc>
        <w:tc>
          <w:tcPr>
            <w:tcW w:w="11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</w:pPr>
            <w:r>
              <w:rPr>
                <w:sz w:val="18"/>
                <w:szCs w:val="18"/>
                <w:lang w:val="sk-SK" w:eastAsia="sk-SK"/>
              </w:rPr>
              <w:t>100</w:t>
            </w:r>
          </w:p>
        </w:tc>
        <w:tc>
          <w:tcPr>
            <w:tcW w:w="22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</w:pPr>
            <w:r>
              <w:rPr>
                <w:sz w:val="18"/>
                <w:szCs w:val="18"/>
                <w:lang w:val="sk-SK" w:eastAsia="sk-SK"/>
              </w:rPr>
              <w:t>0</w:t>
            </w:r>
          </w:p>
        </w:tc>
      </w:tr>
      <w:tr w:rsidR="00AD6A48">
        <w:trPr>
          <w:trHeight w:val="278"/>
        </w:trPr>
        <w:tc>
          <w:tcPr>
            <w:tcW w:w="31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3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1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snapToGrid w:val="0"/>
              <w:jc w:val="center"/>
              <w:rPr>
                <w:sz w:val="18"/>
                <w:szCs w:val="18"/>
                <w:lang w:val="sk-SK" w:eastAsia="sk-SK"/>
              </w:rPr>
            </w:pPr>
          </w:p>
        </w:tc>
      </w:tr>
      <w:tr w:rsidR="00AD6A48">
        <w:trPr>
          <w:trHeight w:val="278"/>
        </w:trPr>
        <w:tc>
          <w:tcPr>
            <w:tcW w:w="31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3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1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  <w:rPr>
                <w:sz w:val="18"/>
                <w:szCs w:val="18"/>
                <w:lang w:val="sk-SK" w:eastAsia="sk-SK"/>
              </w:rPr>
            </w:pPr>
          </w:p>
        </w:tc>
      </w:tr>
      <w:tr w:rsidR="00AD6A48">
        <w:trPr>
          <w:trHeight w:val="278"/>
        </w:trPr>
        <w:tc>
          <w:tcPr>
            <w:tcW w:w="31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r>
              <w:rPr>
                <w:rFonts w:ascii="Arial Narrow" w:hAnsi="Arial Narrow" w:cs="Arial Narrow"/>
                <w:b/>
                <w:sz w:val="18"/>
                <w:szCs w:val="18"/>
              </w:rPr>
              <w:t>Spolu</w:t>
            </w:r>
          </w:p>
        </w:tc>
        <w:tc>
          <w:tcPr>
            <w:tcW w:w="14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</w:pPr>
            <w:r>
              <w:rPr>
                <w:b/>
                <w:sz w:val="18"/>
                <w:szCs w:val="18"/>
                <w:lang w:val="sk-SK" w:eastAsia="sk-SK"/>
              </w:rPr>
              <w:t>5 000,00</w:t>
            </w:r>
          </w:p>
        </w:tc>
        <w:tc>
          <w:tcPr>
            <w:tcW w:w="13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</w:pPr>
            <w:r>
              <w:rPr>
                <w:b/>
                <w:sz w:val="18"/>
                <w:szCs w:val="18"/>
                <w:lang w:val="sk-SK" w:eastAsia="sk-SK"/>
              </w:rPr>
              <w:t>100</w:t>
            </w:r>
          </w:p>
        </w:tc>
        <w:tc>
          <w:tcPr>
            <w:tcW w:w="11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</w:pPr>
            <w:r>
              <w:rPr>
                <w:b/>
                <w:sz w:val="18"/>
                <w:szCs w:val="18"/>
                <w:lang w:val="sk-SK" w:eastAsia="sk-SK"/>
              </w:rPr>
              <w:t>100</w:t>
            </w:r>
          </w:p>
        </w:tc>
        <w:tc>
          <w:tcPr>
            <w:tcW w:w="22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</w:pPr>
            <w:r>
              <w:rPr>
                <w:b/>
                <w:sz w:val="18"/>
                <w:szCs w:val="18"/>
                <w:lang w:val="sk-SK" w:eastAsia="sk-SK"/>
              </w:rPr>
              <w:t>0</w:t>
            </w:r>
          </w:p>
        </w:tc>
      </w:tr>
    </w:tbl>
    <w:p w:rsidR="00AD6A48" w:rsidRDefault="00AD6A4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D6A48" w:rsidRDefault="00AD6A4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D6A48" w:rsidRDefault="00AD6A4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AD6A48" w:rsidRDefault="00AD6A48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AD6A48" w:rsidRDefault="00AD6A4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Účtovná závierka je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</w:t>
      </w:r>
      <w:r w:rsidR="00CE55C7">
        <w:rPr>
          <w:rFonts w:ascii="Arial Narrow" w:hAnsi="Arial Narrow" w:cs="Arial Narrow"/>
          <w:sz w:val="22"/>
          <w:szCs w:val="22"/>
        </w:rPr>
        <w:t xml:space="preserve"> 7 ods. 4 zákona o účtovníctve.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D6A48" w:rsidRDefault="00AD6A4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  <w:lang w:val="en-US"/>
        </w:rPr>
        <w:t xml:space="preserve">Spoločnosť uplatňuje účtovné princípy a postupy účtovania v súlade so zákonom o účtovníctve a s postupmi účtovania pre podnikateľov, ktoré platia v Slovenskej republike. Účtovníctvo sa vedie v peňažných jednotkách meny euro, t. j. v eurách. </w:t>
      </w:r>
      <w:r>
        <w:rPr>
          <w:rFonts w:ascii="Arial Narrow" w:hAnsi="Arial Narrow" w:cs="Arial Narrow"/>
          <w:sz w:val="22"/>
          <w:szCs w:val="22"/>
        </w:rPr>
        <w:t>Účtovné metódy a všeobecné účtovné zásady boli účtovnou jednotkou konzistentne aplikované.</w:t>
      </w:r>
      <w:r>
        <w:rPr>
          <w:sz w:val="18"/>
          <w:szCs w:val="18"/>
          <w:lang w:eastAsia="en-US"/>
        </w:rPr>
        <w:t xml:space="preserve"> </w:t>
      </w:r>
      <w:r>
        <w:rPr>
          <w:rFonts w:ascii="Arial Narrow" w:hAnsi="Arial Narrow" w:cs="Arial Narrow"/>
          <w:sz w:val="22"/>
          <w:szCs w:val="22"/>
          <w:lang w:val="en-US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AD6A48" w:rsidRDefault="00AD6A48">
      <w:pPr>
        <w:ind w:right="-141"/>
        <w:jc w:val="both"/>
        <w:rPr>
          <w:rFonts w:ascii="Arial Narrow" w:hAnsi="Arial Narrow" w:cs="Arial Narrow"/>
          <w:sz w:val="22"/>
          <w:szCs w:val="22"/>
          <w:lang w:val="en-US"/>
        </w:rPr>
      </w:pPr>
    </w:p>
    <w:p w:rsidR="00AD6A48" w:rsidRDefault="00AD6A4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Pri oceňovaní majetku a záväzkov sa uplatňuje zásada opatrnosti, t. j. berú sa za základ všetky riziká, straty a zníženia hodnoty, ktoré sa týkajú majetku a záväzkov a sú známe ku dňu, ku ktorému sa zostavuje účtovná závierka.</w:t>
      </w:r>
    </w:p>
    <w:p w:rsidR="00AD6A48" w:rsidRDefault="00AD6A4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Moment zaúčtovania výnosov. Výnosy sa účtujú pri splnení dodacích podmienok, nakoľko v tomto okamihu prechádzajú na odberateľa významné riziká a vlastnícke práva.</w:t>
      </w:r>
    </w:p>
    <w:p w:rsidR="00AD6A48" w:rsidRDefault="00AD6A4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Dlhodobé a krátkodobé pohľadávky, záväzky, úvery a pôžičky.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vykazuje v súvahe ako krátkodobá pohľadávka alebo krátkodobý záväzok.</w:t>
      </w:r>
    </w:p>
    <w:p w:rsidR="00AD6A48" w:rsidRDefault="00AD6A4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Použitie odhadov. Zostavenie účtovnej závierky si vyžaduje, aby vedenie podniku vypracovalo odhady a predpoklady, ktoré majú vplyv na vykazované sumy aktív a pasív, uvedenie možných budúcich aktív a pasív k dátumu účtovnej závierky, ako aj na vykazovanú výšku výnosov a nákladov počas roka. Skutočné výsledky sa môžu od takýchto odhadov líšiť.</w:t>
      </w:r>
    </w:p>
    <w:p w:rsidR="00AD6A48" w:rsidRDefault="00AD6A4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AD6A48" w:rsidRDefault="00AD6A4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AD6A48" w:rsidRDefault="00AD6A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 w:eastAsia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 w:eastAsia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AD6A48" w:rsidRDefault="00AD6A48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AD6A48" w:rsidRDefault="00AD6A48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AD6A48" w:rsidRDefault="00AD6A48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AD6A48" w:rsidRDefault="00AD6A48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AD6A48" w:rsidRDefault="00AD6A48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AD6A48" w:rsidRDefault="00AD6A48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AD6A48" w:rsidRDefault="00AD6A48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AD6A48" w:rsidRDefault="00AD6A48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AD6A48" w:rsidRDefault="00AD6A48">
      <w:pPr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g) Tvorba odpisového plánu</w:t>
      </w:r>
      <w:r>
        <w:t xml:space="preserve"> pre dlhodobý majetok, pričom sa uvádza doba odpisovania, sadzby odpisov a odpisové metódy pre účtovné odpisy:</w:t>
      </w:r>
    </w:p>
    <w:tbl>
      <w:tblPr>
        <w:tblW w:w="4950" w:type="pct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52"/>
        <w:gridCol w:w="2101"/>
        <w:gridCol w:w="1947"/>
        <w:gridCol w:w="1772"/>
      </w:tblGrid>
      <w:tr w:rsidR="00AD6A48">
        <w:trPr>
          <w:trHeight w:val="443"/>
        </w:trPr>
        <w:tc>
          <w:tcPr>
            <w:tcW w:w="35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Predpokladaná</w:t>
            </w:r>
          </w:p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používania</w:t>
            </w:r>
          </w:p>
        </w:tc>
        <w:tc>
          <w:tcPr>
            <w:tcW w:w="19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Metóda</w:t>
            </w:r>
          </w:p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odpisovania</w:t>
            </w:r>
          </w:p>
        </w:tc>
        <w:tc>
          <w:tcPr>
            <w:tcW w:w="177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Ročná odpisová</w:t>
            </w:r>
          </w:p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sadzba v %</w:t>
            </w:r>
          </w:p>
        </w:tc>
      </w:tr>
      <w:tr w:rsidR="00AD6A48">
        <w:trPr>
          <w:trHeight w:val="252"/>
        </w:trPr>
        <w:tc>
          <w:tcPr>
            <w:tcW w:w="356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210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95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7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D6A48">
        <w:trPr>
          <w:trHeight w:val="250"/>
        </w:trPr>
        <w:tc>
          <w:tcPr>
            <w:tcW w:w="356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Softvér</w:t>
            </w:r>
          </w:p>
        </w:tc>
        <w:tc>
          <w:tcPr>
            <w:tcW w:w="2108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  <w:lang w:val="en-US"/>
              </w:rPr>
              <w:t>4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rovnomerná</w:t>
            </w:r>
          </w:p>
        </w:tc>
        <w:tc>
          <w:tcPr>
            <w:tcW w:w="1778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D6A48">
        <w:trPr>
          <w:trHeight w:val="250"/>
        </w:trPr>
        <w:tc>
          <w:tcPr>
            <w:tcW w:w="356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Stroje, prístroje a zariadenia</w:t>
            </w:r>
          </w:p>
        </w:tc>
        <w:tc>
          <w:tcPr>
            <w:tcW w:w="210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  <w:lang w:val="en-US"/>
              </w:rPr>
              <w:t>4-12</w:t>
            </w:r>
          </w:p>
        </w:tc>
        <w:tc>
          <w:tcPr>
            <w:tcW w:w="195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rovnomerná</w:t>
            </w:r>
          </w:p>
        </w:tc>
        <w:tc>
          <w:tcPr>
            <w:tcW w:w="177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25-8,33</w:t>
            </w:r>
          </w:p>
        </w:tc>
      </w:tr>
      <w:tr w:rsidR="00AD6A48">
        <w:trPr>
          <w:trHeight w:val="250"/>
        </w:trPr>
        <w:tc>
          <w:tcPr>
            <w:tcW w:w="356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Budovy, haly, stavby</w:t>
            </w:r>
          </w:p>
        </w:tc>
        <w:tc>
          <w:tcPr>
            <w:tcW w:w="210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  <w:lang w:val="en-US"/>
              </w:rPr>
              <w:t>x</w:t>
            </w:r>
          </w:p>
        </w:tc>
        <w:tc>
          <w:tcPr>
            <w:tcW w:w="195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177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AD6A48">
        <w:trPr>
          <w:trHeight w:val="250"/>
        </w:trPr>
        <w:tc>
          <w:tcPr>
            <w:tcW w:w="3563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Drobný dlhodobý hmotný majetok</w:t>
            </w:r>
          </w:p>
        </w:tc>
        <w:tc>
          <w:tcPr>
            <w:tcW w:w="2108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  <w:lang w:val="en-US"/>
              </w:rPr>
              <w:t>x</w:t>
            </w:r>
          </w:p>
        </w:tc>
        <w:tc>
          <w:tcPr>
            <w:tcW w:w="1953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1778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</w:tbl>
    <w:p w:rsidR="00AD6A48" w:rsidRDefault="00AD6A4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AD6A48" w:rsidRDefault="00AD6A48">
      <w:pPr>
        <w:spacing w:after="120"/>
      </w:pPr>
      <w:r>
        <w:rPr>
          <w:rFonts w:ascii="Arial Narrow" w:hAnsi="Arial Narrow" w:cs="Arial Narrow"/>
          <w:b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b/>
          <w:sz w:val="22"/>
          <w:szCs w:val="22"/>
        </w:rPr>
        <w:t xml:space="preserve">: </w:t>
      </w:r>
    </w:p>
    <w:p w:rsidR="00AD6A48" w:rsidRDefault="00AD6A4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daňové odpisy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Dlhodobý nehmotný majetok sa odpisuje počas 4 rokov od jeho obstarania.</w:t>
      </w:r>
    </w:p>
    <w:p w:rsidR="00AD6A48" w:rsidRDefault="00AD6A4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SAP (taktiež daňové odpisy podľa zákona o dani z príjmov).</w:t>
      </w:r>
    </w:p>
    <w:p w:rsidR="00AD6A48" w:rsidRDefault="00AD6A4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AD6A48" w:rsidRDefault="00AD6A4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AD6A48" w:rsidRDefault="00AD6A4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AD6A48" w:rsidRDefault="00AD6A4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AD6A48" w:rsidRDefault="00AD6A4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AD6A48" w:rsidRDefault="00AD6A48">
      <w:pPr>
        <w:numPr>
          <w:ilvl w:val="0"/>
          <w:numId w:val="2"/>
        </w:num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AD6A48" w:rsidRDefault="00AD6A4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AD6A48" w:rsidRDefault="00AD6A48">
      <w:pPr>
        <w:pStyle w:val="Nadpis2"/>
        <w:jc w:val="both"/>
      </w:pPr>
      <w:r>
        <w:rPr>
          <w:rFonts w:ascii="Arial Narrow" w:hAnsi="Arial Narrow" w:cs="Arial Narrow"/>
          <w:bCs w:val="0"/>
          <w:sz w:val="22"/>
          <w:szCs w:val="22"/>
        </w:rPr>
        <w:t>Spoločnosť neúčtuje o poskytnutých dotáciách na obstaranie majetku.</w:t>
      </w:r>
    </w:p>
    <w:p w:rsidR="00AD6A48" w:rsidRDefault="00AD6A4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AD6A48" w:rsidRDefault="00AD6A4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00" w:type="pct"/>
        <w:tblInd w:w="-5" w:type="dxa"/>
        <w:tblLayout w:type="fixed"/>
        <w:tblLook w:val="0000" w:firstRow="0" w:lastRow="0" w:firstColumn="0" w:lastColumn="0" w:noHBand="0" w:noVBand="0"/>
      </w:tblPr>
      <w:tblGrid>
        <w:gridCol w:w="2974"/>
        <w:gridCol w:w="1006"/>
        <w:gridCol w:w="1005"/>
        <w:gridCol w:w="1865"/>
        <w:gridCol w:w="2447"/>
      </w:tblGrid>
      <w:tr w:rsidR="00AD6A48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D6A48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D6A48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D6A48" w:rsidRDefault="00AD6A4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:rsidR="00AD6A48" w:rsidRDefault="00AD6A4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AD6A48" w:rsidRDefault="00AD6A4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AD6A48" w:rsidRDefault="00AD6A4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AD6A48" w:rsidRDefault="00AD6A4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AD6A48" w:rsidRDefault="00AD6A4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AD6A48" w:rsidRDefault="00AD6A4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AD6A48" w:rsidRDefault="00AD6A48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b/>
          <w:sz w:val="22"/>
          <w:szCs w:val="22"/>
        </w:rPr>
        <w:t>Spoločnosť neúčtovala o goodwile a ani o zápornom goodwile.</w:t>
      </w:r>
    </w:p>
    <w:p w:rsidR="00AD6A48" w:rsidRDefault="00AD6A4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D6A48" w:rsidRDefault="00AD6A48">
      <w:pPr>
        <w:jc w:val="both"/>
      </w:pPr>
      <w:r>
        <w:rPr>
          <w:rFonts w:ascii="Arial Narrow" w:hAnsi="Arial Narrow" w:cs="Arial Narrow"/>
          <w:b/>
          <w:sz w:val="22"/>
          <w:szCs w:val="22"/>
        </w:rPr>
        <w:t>Spoločnosť neúčtovala o významných položkách derivátov, a ani o majetku a záväzkoch zabezpečených derivátmi.</w:t>
      </w:r>
    </w:p>
    <w:p w:rsidR="00AD6A48" w:rsidRDefault="00AD6A48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AD6A48" w:rsidRDefault="00AD6A4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t xml:space="preserve">:  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4668"/>
        <w:gridCol w:w="2490"/>
        <w:gridCol w:w="2329"/>
      </w:tblGrid>
      <w:tr w:rsidR="00AD6A48">
        <w:trPr>
          <w:trHeight w:val="693"/>
          <w:jc w:val="center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TopHeader"/>
            </w:pPr>
            <w:r>
              <w:t>Názov položky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TopHeader"/>
            </w:pPr>
            <w:r>
              <w:t>Bezprostredne predchádzajúce účtovné obdobie</w:t>
            </w:r>
          </w:p>
        </w:tc>
      </w:tr>
      <w:tr w:rsidR="00AD6A48">
        <w:trPr>
          <w:trHeight w:val="207"/>
          <w:jc w:val="center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0,00</w:t>
            </w:r>
          </w:p>
        </w:tc>
      </w:tr>
    </w:tbl>
    <w:p w:rsidR="00AD6A48" w:rsidRDefault="00AD6A4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AD6A48" w:rsidRDefault="00AD6A4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t xml:space="preserve"> – opis a spôsob zabezpečenia záväzkov: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2"/>
        <w:gridCol w:w="2783"/>
        <w:gridCol w:w="2382"/>
      </w:tblGrid>
      <w:tr w:rsidR="00AD6A48">
        <w:trPr>
          <w:jc w:val="center"/>
        </w:trPr>
        <w:tc>
          <w:tcPr>
            <w:tcW w:w="43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TopHeader"/>
            </w:pPr>
            <w:r>
              <w:t>Zabezpečené záväzky</w:t>
            </w:r>
          </w:p>
        </w:tc>
        <w:tc>
          <w:tcPr>
            <w:tcW w:w="51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TopHeader"/>
            </w:pPr>
            <w:r>
              <w:t>Bežné účtovné obdobie</w:t>
            </w:r>
          </w:p>
        </w:tc>
      </w:tr>
      <w:tr w:rsidR="00AD6A48">
        <w:trPr>
          <w:jc w:val="center"/>
        </w:trPr>
        <w:tc>
          <w:tcPr>
            <w:tcW w:w="43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TopHeader"/>
              <w:snapToGrid w:val="0"/>
              <w:jc w:val="both"/>
            </w:pPr>
          </w:p>
        </w:tc>
        <w:tc>
          <w:tcPr>
            <w:tcW w:w="2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TopHeader"/>
            </w:pPr>
            <w:r>
              <w:t xml:space="preserve">Spôsob </w:t>
            </w:r>
          </w:p>
          <w:p w:rsidR="00AD6A48" w:rsidRDefault="00AD6A48">
            <w:pPr>
              <w:pStyle w:val="TopHeader"/>
            </w:pPr>
            <w:r>
              <w:t>zabezpečenia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TopHeader"/>
            </w:pPr>
            <w:r>
              <w:t>Hodnota záväzkov</w:t>
            </w:r>
          </w:p>
        </w:tc>
      </w:tr>
      <w:tr w:rsidR="00AD6A48">
        <w:trPr>
          <w:trHeight w:val="69"/>
          <w:jc w:val="center"/>
        </w:trPr>
        <w:tc>
          <w:tcPr>
            <w:tcW w:w="4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0,00</w:t>
            </w:r>
          </w:p>
        </w:tc>
      </w:tr>
      <w:tr w:rsidR="00AD6A48">
        <w:trPr>
          <w:trHeight w:val="117"/>
          <w:jc w:val="center"/>
        </w:trPr>
        <w:tc>
          <w:tcPr>
            <w:tcW w:w="4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D6A48">
        <w:trPr>
          <w:trHeight w:val="117"/>
          <w:jc w:val="center"/>
        </w:trPr>
        <w:tc>
          <w:tcPr>
            <w:tcW w:w="4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D6A48" w:rsidRDefault="00AD6A4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b/>
          <w:sz w:val="22"/>
          <w:szCs w:val="22"/>
        </w:rPr>
        <w:t>Spoločnosť neúčtovala o  zabezpečených záväzkoch.</w:t>
      </w:r>
    </w:p>
    <w:p w:rsidR="00AD6A48" w:rsidRDefault="00AD6A48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AD6A48" w:rsidRDefault="00AD6A48">
      <w:pPr>
        <w:spacing w:after="120"/>
        <w:ind w:right="-471"/>
        <w:jc w:val="both"/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AD6A48" w:rsidRDefault="00AD6A4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b/>
          <w:sz w:val="22"/>
          <w:szCs w:val="22"/>
        </w:rPr>
        <w:t>Spoločnosť neúčtovala o vlastných akciách.</w:t>
      </w:r>
    </w:p>
    <w:p w:rsidR="00AD6A48" w:rsidRDefault="00AD6A4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D6A48" w:rsidRDefault="00AD6A4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AD6A48" w:rsidRDefault="00AD6A48">
      <w:pPr>
        <w:numPr>
          <w:ilvl w:val="0"/>
          <w:numId w:val="5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AD6A48" w:rsidRDefault="00AD6A48">
      <w:pPr>
        <w:numPr>
          <w:ilvl w:val="0"/>
          <w:numId w:val="5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b/>
          <w:sz w:val="22"/>
          <w:szCs w:val="22"/>
        </w:rPr>
        <w:t>Spoločnosť neúčtovala o iných aktívach a ani o iných pasívach.</w:t>
      </w:r>
    </w:p>
    <w:p w:rsidR="00AD6A48" w:rsidRDefault="00AD6A4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AD6A48" w:rsidRDefault="00AD6A4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D6A48" w:rsidRDefault="00AD6A4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AD6A48" w:rsidRDefault="00AD6A4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AD6A48" w:rsidRDefault="00AD6A4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>
        <w:rPr>
          <w:rFonts w:ascii="Arial Narrow" w:hAnsi="Arial Narrow" w:cs="Arial Narrow"/>
          <w:b/>
          <w:bCs/>
          <w:sz w:val="22"/>
          <w:szCs w:val="22"/>
        </w:rPr>
        <w:t>bez obsahu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bez obsahu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Zmena spoločníkov účtovnej jednotky: </w:t>
      </w:r>
      <w:r>
        <w:rPr>
          <w:rFonts w:ascii="Arial Narrow" w:hAnsi="Arial Narrow" w:cs="Arial Narrow"/>
          <w:b/>
          <w:bCs/>
          <w:sz w:val="22"/>
          <w:szCs w:val="22"/>
        </w:rPr>
        <w:t>bez obsahu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bez obsahu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bez obsahu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>
        <w:rPr>
          <w:rFonts w:ascii="Arial Narrow" w:hAnsi="Arial Narrow" w:cs="Arial Narrow"/>
          <w:b/>
          <w:bCs/>
          <w:sz w:val="22"/>
          <w:szCs w:val="22"/>
        </w:rPr>
        <w:t>bez obsahu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>
        <w:rPr>
          <w:rFonts w:ascii="Arial Narrow" w:hAnsi="Arial Narrow" w:cs="Arial Narrow"/>
          <w:b/>
          <w:bCs/>
          <w:sz w:val="22"/>
          <w:szCs w:val="22"/>
        </w:rPr>
        <w:t>bez obsahu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>
        <w:rPr>
          <w:rFonts w:ascii="Arial Narrow" w:hAnsi="Arial Narrow" w:cs="Arial Narrow"/>
          <w:b/>
          <w:bCs/>
          <w:sz w:val="22"/>
          <w:szCs w:val="22"/>
        </w:rPr>
        <w:t>bez obsahu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>
        <w:rPr>
          <w:rFonts w:ascii="Arial Narrow" w:hAnsi="Arial Narrow" w:cs="Arial Narrow"/>
          <w:b/>
          <w:bCs/>
          <w:sz w:val="22"/>
          <w:szCs w:val="22"/>
        </w:rPr>
        <w:t>bez obsahu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bez obsahu</w:t>
      </w:r>
    </w:p>
    <w:p w:rsidR="00AD6A48" w:rsidRDefault="00AD6A48">
      <w:pPr>
        <w:jc w:val="both"/>
      </w:pPr>
      <w:r>
        <w:rPr>
          <w:rFonts w:ascii="Arial Narrow" w:hAnsi="Arial Narrow" w:cs="Arial Narrow"/>
          <w:b/>
          <w:bCs/>
          <w:sz w:val="22"/>
          <w:szCs w:val="22"/>
        </w:rPr>
        <w:t>k) Spoločnosť v závislosti od vyhlásenia núdzového stavu Úradom vlády SR v dôsledku šírenia nákazy koronavírusom, nedokáže odhadnúť skutočný dopad na jej finančno-ekonomickú situáciu, ktorú bude musieť riešiť.</w:t>
      </w:r>
    </w:p>
    <w:p w:rsidR="00AD6A48" w:rsidRDefault="00AD6A4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AD6A48" w:rsidRDefault="00AD6A4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D6A48" w:rsidRDefault="00AD6A4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AD6A48" w:rsidRDefault="00AD6A4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D6A48" w:rsidRDefault="00AD6A4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bez obsahu</w:t>
      </w:r>
    </w:p>
    <w:p w:rsidR="00AD6A48" w:rsidRDefault="00AD6A4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bez obsahu </w:t>
      </w:r>
    </w:p>
    <w:p w:rsidR="00AD6A48" w:rsidRDefault="00AD6A4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ascii="Arial Narrow" w:hAnsi="Arial Narrow" w:cs="Arial Narrow"/>
          <w:b/>
          <w:bCs/>
          <w:sz w:val="22"/>
          <w:szCs w:val="22"/>
        </w:rPr>
        <w:t>bez obsahu</w:t>
      </w:r>
    </w:p>
    <w:sectPr w:rsidR="00AD6A48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4D1B" w:rsidRDefault="00A94D1B">
      <w:r>
        <w:separator/>
      </w:r>
    </w:p>
  </w:endnote>
  <w:endnote w:type="continuationSeparator" w:id="0">
    <w:p w:rsidR="00A94D1B" w:rsidRDefault="00A94D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angal">
    <w:altName w:val="Gentium Basic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6A48" w:rsidRDefault="00AD6A4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CE55C7">
      <w:rPr>
        <w:noProof/>
      </w:rPr>
      <w:t>7</w:t>
    </w:r>
    <w:r>
      <w:fldChar w:fldCharType="end"/>
    </w:r>
  </w:p>
  <w:p w:rsidR="00AD6A48" w:rsidRDefault="00AD6A4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6A48" w:rsidRDefault="00AD6A4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4D1B" w:rsidRDefault="00A94D1B">
      <w:r>
        <w:separator/>
      </w:r>
    </w:p>
  </w:footnote>
  <w:footnote w:type="continuationSeparator" w:id="0">
    <w:p w:rsidR="00A94D1B" w:rsidRDefault="00A94D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6A48" w:rsidRDefault="00AD6A4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 46834915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r>
      <w:rPr>
        <w:rFonts w:ascii="Arial" w:hAnsi="Arial" w:cs="Arial"/>
        <w:b/>
        <w:sz w:val="22"/>
        <w:szCs w:val="22"/>
        <w:bdr w:val="single" w:sz="4" w:space="0" w:color="000000"/>
      </w:rPr>
      <w:t>: 2023612404</w:t>
    </w:r>
  </w:p>
  <w:p w:rsidR="00AD6A48" w:rsidRDefault="00AD6A4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b/>
        <w:sz w:val="22"/>
        <w:szCs w:val="22"/>
        <w:bdr w:val="single" w:sz="4" w:space="0" w:color="000000"/>
      </w:rPr>
    </w:pPr>
  </w:p>
  <w:p w:rsidR="00AD6A48" w:rsidRDefault="00AD6A4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6A48" w:rsidRDefault="00AD6A4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 w15:restartNumberingAfterBreak="0">
    <w:nsid w:val="00000005"/>
    <w:multiLevelType w:val="singleLevel"/>
    <w:tmpl w:val="00000005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5A6"/>
    <w:rsid w:val="004F3450"/>
    <w:rsid w:val="008D35A6"/>
    <w:rsid w:val="00A3469E"/>
    <w:rsid w:val="00A92F46"/>
    <w:rsid w:val="00A94D1B"/>
    <w:rsid w:val="00AD6A48"/>
    <w:rsid w:val="00BF3C6E"/>
    <w:rsid w:val="00CE55C7"/>
    <w:rsid w:val="00CF0DE6"/>
    <w:rsid w:val="00DB52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chartTrackingRefBased/>
  <w15:docId w15:val="{0DD9D500-8744-470A-80B9-08BEE5928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rFonts w:ascii="Cambria" w:hAnsi="Cambria" w:cs="Cambria"/>
      <w:b/>
      <w:bCs/>
      <w:i/>
      <w:iCs/>
      <w:sz w:val="28"/>
      <w:szCs w:val="28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Wingdings" w:hAnsi="Wingdings" w:cs="Wingdings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0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  <w:rPr>
      <w:rFonts w:hint="default"/>
    </w:rPr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ValueChar">
    <w:name w:val="Value Char"/>
    <w:rPr>
      <w:rFonts w:ascii="Arial Narrow" w:hAnsi="Arial Narrow" w:cs="Arial Narrow"/>
      <w:sz w:val="22"/>
      <w:szCs w:val="24"/>
    </w:rPr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32"/>
      <w:szCs w:val="3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  <w:lang w:val="x-none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lang w:val="x-none"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Value">
    <w:name w:val="Value"/>
    <w:basedOn w:val="Normlny"/>
    <w:pPr>
      <w:jc w:val="right"/>
    </w:pPr>
    <w:rPr>
      <w:rFonts w:ascii="Arial Narrow" w:hAnsi="Arial Narrow" w:cs="Arial Narrow"/>
      <w:sz w:val="22"/>
      <w:lang w:val="x-none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2712</Words>
  <Characters>15461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18137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USER</cp:lastModifiedBy>
  <cp:revision>3</cp:revision>
  <cp:lastPrinted>1995-11-21T16:41:00Z</cp:lastPrinted>
  <dcterms:created xsi:type="dcterms:W3CDTF">2023-03-09T11:09:00Z</dcterms:created>
  <dcterms:modified xsi:type="dcterms:W3CDTF">2023-03-09T11:09:00Z</dcterms:modified>
</cp:coreProperties>
</file>