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 xml:space="preserve">Poznámky </w:t>
      </w:r>
      <w:proofErr w:type="spellStart"/>
      <w:r>
        <w:rPr>
          <w:rFonts w:ascii="ArialMT" w:hAnsi="ArialMT" w:cs="ArialMT"/>
        </w:rPr>
        <w:t>Úč</w:t>
      </w:r>
      <w:proofErr w:type="spellEnd"/>
      <w:r>
        <w:rPr>
          <w:rFonts w:ascii="ArialMT" w:hAnsi="ArialMT" w:cs="ArialMT"/>
        </w:rPr>
        <w:t xml:space="preserve"> MÚJ 3 – 01                                        IČO: </w:t>
      </w:r>
      <w:r w:rsidR="00126ADF">
        <w:rPr>
          <w:rFonts w:ascii="ArialMT" w:hAnsi="ArialMT" w:cs="ArialMT"/>
        </w:rPr>
        <w:t>53768671</w:t>
      </w:r>
      <w:r>
        <w:rPr>
          <w:rFonts w:ascii="ArialMT" w:hAnsi="ArialMT" w:cs="ArialMT"/>
        </w:rPr>
        <w:t xml:space="preserve">      </w:t>
      </w:r>
      <w:r w:rsidR="00126ADF">
        <w:rPr>
          <w:rFonts w:ascii="ArialMT" w:hAnsi="ArialMT" w:cs="ArialMT"/>
        </w:rPr>
        <w:t xml:space="preserve">                  DIČ:2121484464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tbl>
      <w:tblPr>
        <w:tblW w:w="9276" w:type="dxa"/>
        <w:tblInd w:w="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76"/>
      </w:tblGrid>
      <w:tr w:rsidR="00E96F07" w:rsidTr="00D042D2">
        <w:trPr>
          <w:trHeight w:val="1596"/>
        </w:trPr>
        <w:tc>
          <w:tcPr>
            <w:tcW w:w="9276" w:type="dxa"/>
            <w:vAlign w:val="center"/>
          </w:tcPr>
          <w:p w:rsidR="00E96F07" w:rsidRDefault="00E96F07" w:rsidP="00D042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SansCondensed-Bold" w:hAnsi="DejaVuSansCondensed-Bold" w:cs="DejaVuSansCondensed-Bold"/>
                <w:b/>
                <w:bCs/>
              </w:rPr>
            </w:pPr>
            <w:r>
              <w:rPr>
                <w:rFonts w:ascii="DejaVuSansCondensed-Bold" w:hAnsi="DejaVuSansCondensed-Bold" w:cs="DejaVuSansCondensed-Bold"/>
                <w:b/>
                <w:bCs/>
              </w:rPr>
              <w:t xml:space="preserve">Poznámky k </w:t>
            </w:r>
            <w:proofErr w:type="spellStart"/>
            <w:r>
              <w:rPr>
                <w:rFonts w:ascii="DejaVuSansCondensed-Bold" w:hAnsi="DejaVuSansCondensed-Bold" w:cs="DejaVuSansCondensed-Bold"/>
                <w:b/>
                <w:bCs/>
              </w:rPr>
              <w:t>mik</w:t>
            </w:r>
            <w:r w:rsidR="00D73CC5">
              <w:rPr>
                <w:rFonts w:ascii="DejaVuSansCondensed-Bold" w:hAnsi="DejaVuSansCondensed-Bold" w:cs="DejaVuSansCondensed-Bold"/>
                <w:b/>
                <w:bCs/>
              </w:rPr>
              <w:t>ro</w:t>
            </w:r>
            <w:proofErr w:type="spellEnd"/>
            <w:r w:rsidR="00D73CC5">
              <w:rPr>
                <w:rFonts w:ascii="DejaVuSansCondensed-Bold" w:hAnsi="DejaVuSansCondensed-Bold" w:cs="DejaVuSansCondensed-Bold"/>
                <w:b/>
                <w:bCs/>
              </w:rPr>
              <w:t xml:space="preserve"> účtovnej závierke za rok 2022</w:t>
            </w:r>
          </w:p>
          <w:p w:rsidR="00E96F07" w:rsidRDefault="00E96F07" w:rsidP="00D042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SansCondensed" w:hAnsi="DejaVuSansCondensed" w:cs="DejaVuSansCondensed"/>
              </w:rPr>
            </w:pPr>
            <w:r>
              <w:rPr>
                <w:rFonts w:ascii="DejaVuSansCondensed" w:hAnsi="DejaVuSansCondensed" w:cs="DejaVuSansCondensed"/>
              </w:rPr>
              <w:t xml:space="preserve">zostavené podľa Opatrenia Ministerstva financií SR </w:t>
            </w:r>
            <w:proofErr w:type="spellStart"/>
            <w:r>
              <w:rPr>
                <w:rFonts w:ascii="DejaVuSansCondensed" w:hAnsi="DejaVuSansCondensed" w:cs="DejaVuSansCondensed"/>
              </w:rPr>
              <w:t>č.MF</w:t>
            </w:r>
            <w:proofErr w:type="spellEnd"/>
            <w:r>
              <w:rPr>
                <w:rFonts w:ascii="DejaVuSansCondensed" w:hAnsi="DejaVuSansCondensed" w:cs="DejaVuSansCondensed"/>
              </w:rPr>
              <w:t>/15464/2013-74, ktorým sa</w:t>
            </w:r>
          </w:p>
          <w:p w:rsidR="00E96F07" w:rsidRDefault="00E96F07" w:rsidP="00D042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SansCondensed" w:hAnsi="DejaVuSansCondensed" w:cs="DejaVuSansCondensed"/>
              </w:rPr>
            </w:pPr>
            <w:r>
              <w:rPr>
                <w:rFonts w:ascii="DejaVuSansCondensed" w:hAnsi="DejaVuSansCondensed" w:cs="DejaVuSansCondensed"/>
              </w:rPr>
              <w:t>ustanovujú podrobnosti o usporiadaní, označovaní a obsahovom vymedzení položiek</w:t>
            </w:r>
          </w:p>
          <w:p w:rsidR="00E96F07" w:rsidRDefault="00E96F07" w:rsidP="00D042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SansCondensed" w:hAnsi="DejaVuSansCondensed" w:cs="DejaVuSansCondensed"/>
              </w:rPr>
            </w:pPr>
            <w:r>
              <w:rPr>
                <w:rFonts w:ascii="DejaVuSansCondensed" w:hAnsi="DejaVuSansCondensed" w:cs="DejaVuSansCondensed"/>
              </w:rPr>
              <w:t>individuálnej účtovnej závierky a rozsahu údajov určených z individuálnej účtovnej závierky</w:t>
            </w:r>
          </w:p>
          <w:p w:rsidR="00E96F07" w:rsidRDefault="00E96F07" w:rsidP="00D042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SansCondensed" w:hAnsi="DejaVuSansCondensed" w:cs="DejaVuSansCondensed"/>
              </w:rPr>
            </w:pPr>
            <w:r>
              <w:rPr>
                <w:rFonts w:ascii="DejaVuSansCondensed" w:hAnsi="DejaVuSansCondensed" w:cs="DejaVuSansCondensed"/>
              </w:rPr>
              <w:t xml:space="preserve">na zverejnenie pre </w:t>
            </w:r>
            <w:proofErr w:type="spellStart"/>
            <w:r>
              <w:rPr>
                <w:rFonts w:ascii="DejaVuSansCondensed-Bold" w:hAnsi="DejaVuSansCondensed-Bold" w:cs="DejaVuSansCondensed-Bold"/>
                <w:b/>
                <w:bCs/>
              </w:rPr>
              <w:t>mikro</w:t>
            </w:r>
            <w:proofErr w:type="spellEnd"/>
            <w:r>
              <w:rPr>
                <w:rFonts w:ascii="DejaVuSansCondensed-Bold" w:hAnsi="DejaVuSansCondensed-Bold" w:cs="DejaVuSansCondensed-Bold"/>
                <w:b/>
                <w:bCs/>
              </w:rPr>
              <w:t xml:space="preserve"> účtovné jednotky </w:t>
            </w:r>
            <w:r>
              <w:rPr>
                <w:rFonts w:ascii="DejaVuSansCondensed" w:hAnsi="DejaVuSansCondensed" w:cs="DejaVuSansCondensed"/>
              </w:rPr>
              <w:t>v znení neskorších predpisov</w:t>
            </w:r>
          </w:p>
          <w:p w:rsidR="00E96F07" w:rsidRDefault="00E96F07" w:rsidP="00D042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SansCondensed-Bold" w:hAnsi="DejaVuSansCondensed-Bold" w:cs="DejaVuSansCondensed-Bold"/>
                <w:b/>
                <w:bCs/>
              </w:rPr>
            </w:pPr>
            <w:r>
              <w:rPr>
                <w:rFonts w:ascii="DejaVuSansCondensed" w:hAnsi="DejaVuSansCondensed" w:cs="DejaVuSansCondensed"/>
              </w:rPr>
              <w:t xml:space="preserve">(ostatná novela </w:t>
            </w:r>
            <w:proofErr w:type="spellStart"/>
            <w:r>
              <w:rPr>
                <w:rFonts w:ascii="DejaVuSansCondensed" w:hAnsi="DejaVuSansCondensed" w:cs="DejaVuSansCondensed"/>
              </w:rPr>
              <w:t>č.MF</w:t>
            </w:r>
            <w:proofErr w:type="spellEnd"/>
            <w:r>
              <w:rPr>
                <w:rFonts w:ascii="DejaVuSansCondensed" w:hAnsi="DejaVuSansCondensed" w:cs="DejaVuSansCondensed"/>
              </w:rPr>
              <w:t>/18008/2014-74 – FS č.10/2014)</w:t>
            </w:r>
          </w:p>
        </w:tc>
      </w:tr>
    </w:tbl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center"/>
        <w:rPr>
          <w:rFonts w:ascii="Arial-BoldMT" w:hAnsi="Arial-BoldMT" w:cs="Arial-BoldMT"/>
          <w:b/>
          <w:bCs/>
        </w:rPr>
      </w:pP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center"/>
        <w:rPr>
          <w:rFonts w:ascii="Arial-BoldMT" w:hAnsi="Arial-BoldMT" w:cs="Arial-BoldMT"/>
          <w:b/>
          <w:bCs/>
        </w:rPr>
      </w:pPr>
      <w:r>
        <w:rPr>
          <w:rFonts w:ascii="Arial-BoldMT" w:hAnsi="Arial-BoldMT" w:cs="Arial-BoldMT"/>
          <w:b/>
          <w:bCs/>
        </w:rPr>
        <w:t>Článok I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-BoldMT" w:hAnsi="Arial-BoldMT" w:cs="Arial-BoldMT"/>
          <w:b/>
          <w:bCs/>
        </w:rPr>
      </w:pPr>
      <w:r>
        <w:rPr>
          <w:rFonts w:ascii="Arial-BoldMT" w:hAnsi="Arial-BoldMT" w:cs="Arial-BoldMT"/>
          <w:b/>
          <w:bCs/>
        </w:rPr>
        <w:t>Všeobecné údaje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1. Identifikácia účtovnej jednotky (názov, IČO, sídlo):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547"/>
        <w:gridCol w:w="6515"/>
      </w:tblGrid>
      <w:tr w:rsidR="00E96F07" w:rsidTr="00D042D2">
        <w:tc>
          <w:tcPr>
            <w:tcW w:w="2547" w:type="dxa"/>
          </w:tcPr>
          <w:p w:rsidR="00E96F07" w:rsidRDefault="00E96F07" w:rsidP="00D042D2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Názov</w:t>
            </w:r>
          </w:p>
        </w:tc>
        <w:tc>
          <w:tcPr>
            <w:tcW w:w="6515" w:type="dxa"/>
          </w:tcPr>
          <w:p w:rsidR="00E96F07" w:rsidRDefault="00126ADF" w:rsidP="00D042D2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MARAGA</w:t>
            </w:r>
            <w:r w:rsidR="00E96F07">
              <w:rPr>
                <w:rFonts w:ascii="ArialMT" w:hAnsi="ArialMT" w:cs="ArialMT"/>
              </w:rPr>
              <w:t xml:space="preserve"> s. r. o.</w:t>
            </w:r>
          </w:p>
        </w:tc>
      </w:tr>
      <w:tr w:rsidR="00E96F07" w:rsidTr="00D042D2">
        <w:tc>
          <w:tcPr>
            <w:tcW w:w="2547" w:type="dxa"/>
          </w:tcPr>
          <w:p w:rsidR="00E96F07" w:rsidRDefault="00E96F07" w:rsidP="00D042D2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IČO</w:t>
            </w:r>
          </w:p>
        </w:tc>
        <w:tc>
          <w:tcPr>
            <w:tcW w:w="6515" w:type="dxa"/>
          </w:tcPr>
          <w:p w:rsidR="00E96F07" w:rsidRDefault="00126ADF" w:rsidP="00D042D2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53768671</w:t>
            </w:r>
          </w:p>
        </w:tc>
      </w:tr>
      <w:tr w:rsidR="00E96F07" w:rsidTr="00D042D2">
        <w:tc>
          <w:tcPr>
            <w:tcW w:w="2547" w:type="dxa"/>
          </w:tcPr>
          <w:p w:rsidR="00E96F07" w:rsidRDefault="00E96F07" w:rsidP="00D042D2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Sídlo</w:t>
            </w:r>
          </w:p>
        </w:tc>
        <w:tc>
          <w:tcPr>
            <w:tcW w:w="6515" w:type="dxa"/>
          </w:tcPr>
          <w:p w:rsidR="00E96F07" w:rsidRDefault="00E96F07" w:rsidP="00D042D2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Strmá 3352/36, 974 11 Banská Bystrica</w:t>
            </w:r>
          </w:p>
        </w:tc>
      </w:tr>
      <w:tr w:rsidR="00E96F07" w:rsidTr="00D042D2">
        <w:tc>
          <w:tcPr>
            <w:tcW w:w="2547" w:type="dxa"/>
          </w:tcPr>
          <w:p w:rsidR="00E96F07" w:rsidRDefault="00E96F07" w:rsidP="00D042D2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Zostavená ku dňu</w:t>
            </w:r>
          </w:p>
        </w:tc>
        <w:tc>
          <w:tcPr>
            <w:tcW w:w="6515" w:type="dxa"/>
          </w:tcPr>
          <w:p w:rsidR="00E96F07" w:rsidRDefault="00D73CC5" w:rsidP="00D042D2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31. 12. 2022</w:t>
            </w:r>
          </w:p>
        </w:tc>
      </w:tr>
      <w:tr w:rsidR="00E96F07" w:rsidTr="00D042D2">
        <w:tc>
          <w:tcPr>
            <w:tcW w:w="2547" w:type="dxa"/>
          </w:tcPr>
          <w:p w:rsidR="00E96F07" w:rsidRDefault="00E96F07" w:rsidP="00D042D2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Zostavená dňa</w:t>
            </w:r>
          </w:p>
        </w:tc>
        <w:tc>
          <w:tcPr>
            <w:tcW w:w="6515" w:type="dxa"/>
          </w:tcPr>
          <w:p w:rsidR="00E96F07" w:rsidRDefault="00391210" w:rsidP="00D042D2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07</w:t>
            </w:r>
            <w:r w:rsidR="00D73CC5">
              <w:rPr>
                <w:rFonts w:ascii="ArialMT" w:hAnsi="ArialMT" w:cs="ArialMT"/>
              </w:rPr>
              <w:t>. 01. 2023</w:t>
            </w:r>
          </w:p>
        </w:tc>
      </w:tr>
      <w:tr w:rsidR="00E96F07" w:rsidTr="00D042D2">
        <w:tc>
          <w:tcPr>
            <w:tcW w:w="2547" w:type="dxa"/>
          </w:tcPr>
          <w:p w:rsidR="00E96F07" w:rsidRDefault="00E96F07" w:rsidP="00D042D2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Schválená dňa</w:t>
            </w:r>
          </w:p>
        </w:tc>
        <w:tc>
          <w:tcPr>
            <w:tcW w:w="6515" w:type="dxa"/>
          </w:tcPr>
          <w:p w:rsidR="00E96F07" w:rsidRDefault="00391210" w:rsidP="00D042D2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07</w:t>
            </w:r>
            <w:r w:rsidR="00D73CC5">
              <w:rPr>
                <w:rFonts w:ascii="ArialMT" w:hAnsi="ArialMT" w:cs="ArialMT"/>
              </w:rPr>
              <w:t>. 01. 2023</w:t>
            </w:r>
          </w:p>
        </w:tc>
      </w:tr>
    </w:tbl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2. Údaje o  konsolidovanom celku  – ÚJ nie je súčasťou konsolidovaného celku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3. Priemerný  prepočítaný počet  zamestnancov: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E96F07" w:rsidTr="00D042D2">
        <w:tc>
          <w:tcPr>
            <w:tcW w:w="3020" w:type="dxa"/>
          </w:tcPr>
          <w:p w:rsidR="00E96F07" w:rsidRPr="008D4883" w:rsidRDefault="00E96F07" w:rsidP="00D042D2">
            <w:pPr>
              <w:autoSpaceDE w:val="0"/>
              <w:autoSpaceDN w:val="0"/>
              <w:adjustRightInd w:val="0"/>
              <w:jc w:val="center"/>
              <w:rPr>
                <w:rFonts w:ascii="ArialMT" w:hAnsi="ArialMT" w:cs="ArialMT"/>
                <w:b/>
              </w:rPr>
            </w:pPr>
            <w:r w:rsidRPr="008D4883">
              <w:rPr>
                <w:rFonts w:ascii="ArialMT" w:hAnsi="ArialMT" w:cs="ArialMT"/>
                <w:b/>
              </w:rPr>
              <w:t>Názov</w:t>
            </w:r>
          </w:p>
        </w:tc>
        <w:tc>
          <w:tcPr>
            <w:tcW w:w="3021" w:type="dxa"/>
          </w:tcPr>
          <w:p w:rsidR="00E96F07" w:rsidRPr="008D4883" w:rsidRDefault="00E96F07" w:rsidP="00D042D2">
            <w:pPr>
              <w:autoSpaceDE w:val="0"/>
              <w:autoSpaceDN w:val="0"/>
              <w:adjustRightInd w:val="0"/>
              <w:jc w:val="center"/>
              <w:rPr>
                <w:rFonts w:ascii="ArialMT" w:hAnsi="ArialMT" w:cs="ArialMT"/>
                <w:b/>
              </w:rPr>
            </w:pPr>
            <w:r w:rsidRPr="008D4883">
              <w:rPr>
                <w:rFonts w:ascii="ArialMT" w:hAnsi="ArialMT" w:cs="ArialMT"/>
                <w:b/>
              </w:rPr>
              <w:t>Bežné účtovné obdobie</w:t>
            </w:r>
          </w:p>
        </w:tc>
        <w:tc>
          <w:tcPr>
            <w:tcW w:w="3021" w:type="dxa"/>
          </w:tcPr>
          <w:p w:rsidR="00E96F07" w:rsidRPr="008D4883" w:rsidRDefault="00E96F07" w:rsidP="00D042D2">
            <w:pPr>
              <w:autoSpaceDE w:val="0"/>
              <w:autoSpaceDN w:val="0"/>
              <w:adjustRightInd w:val="0"/>
              <w:jc w:val="center"/>
              <w:rPr>
                <w:rFonts w:ascii="ArialMT" w:hAnsi="ArialMT" w:cs="ArialMT"/>
                <w:b/>
              </w:rPr>
            </w:pPr>
            <w:r w:rsidRPr="008D4883">
              <w:rPr>
                <w:rFonts w:ascii="ArialMT" w:hAnsi="ArialMT" w:cs="ArialMT"/>
                <w:b/>
              </w:rPr>
              <w:t>Bezprostredne predchádzajúce účtovné obdobie</w:t>
            </w:r>
          </w:p>
        </w:tc>
      </w:tr>
      <w:tr w:rsidR="00E96F07" w:rsidTr="00D042D2">
        <w:tc>
          <w:tcPr>
            <w:tcW w:w="3020" w:type="dxa"/>
          </w:tcPr>
          <w:p w:rsidR="00E96F07" w:rsidRDefault="00E96F07" w:rsidP="00D042D2">
            <w:pPr>
              <w:autoSpaceDE w:val="0"/>
              <w:autoSpaceDN w:val="0"/>
              <w:adjustRightInd w:val="0"/>
              <w:jc w:val="center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Priemerný prepočítaný počet zamestnancov</w:t>
            </w:r>
          </w:p>
        </w:tc>
        <w:tc>
          <w:tcPr>
            <w:tcW w:w="3021" w:type="dxa"/>
          </w:tcPr>
          <w:p w:rsidR="00E96F07" w:rsidRDefault="00E96F07" w:rsidP="00D042D2">
            <w:pPr>
              <w:autoSpaceDE w:val="0"/>
              <w:autoSpaceDN w:val="0"/>
              <w:adjustRightInd w:val="0"/>
              <w:jc w:val="center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0</w:t>
            </w:r>
          </w:p>
        </w:tc>
        <w:tc>
          <w:tcPr>
            <w:tcW w:w="3021" w:type="dxa"/>
          </w:tcPr>
          <w:p w:rsidR="00E96F07" w:rsidRDefault="00E96F07" w:rsidP="00D042D2">
            <w:pPr>
              <w:autoSpaceDE w:val="0"/>
              <w:autoSpaceDN w:val="0"/>
              <w:adjustRightInd w:val="0"/>
              <w:jc w:val="center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0</w:t>
            </w:r>
          </w:p>
          <w:p w:rsidR="00E96F07" w:rsidRDefault="00E96F07" w:rsidP="00D042D2">
            <w:pPr>
              <w:autoSpaceDE w:val="0"/>
              <w:autoSpaceDN w:val="0"/>
              <w:adjustRightInd w:val="0"/>
              <w:jc w:val="center"/>
              <w:rPr>
                <w:rFonts w:ascii="ArialMT" w:hAnsi="ArialMT" w:cs="ArialMT"/>
              </w:rPr>
            </w:pPr>
          </w:p>
        </w:tc>
      </w:tr>
    </w:tbl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center"/>
        <w:rPr>
          <w:rFonts w:ascii="Arial-BoldMT" w:hAnsi="Arial-BoldMT" w:cs="Arial-BoldMT"/>
          <w:b/>
          <w:bCs/>
        </w:rPr>
      </w:pPr>
      <w:r>
        <w:rPr>
          <w:rFonts w:ascii="Arial-BoldMT" w:hAnsi="Arial-BoldMT" w:cs="Arial-BoldMT"/>
          <w:b/>
          <w:bCs/>
        </w:rPr>
        <w:t>Článok II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-BoldMT" w:hAnsi="Arial-BoldMT" w:cs="Arial-BoldMT"/>
          <w:b/>
          <w:bCs/>
        </w:rPr>
      </w:pPr>
      <w:r>
        <w:rPr>
          <w:rFonts w:ascii="Arial-BoldMT" w:hAnsi="Arial-BoldMT" w:cs="Arial-BoldMT"/>
          <w:b/>
          <w:bCs/>
        </w:rPr>
        <w:t>Informácie o prijatých postupoch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1. Účtovná závierka je zostavená za splnenia predpokladu, že účtovná jednotka bude nepretržite pokračovať vo svojej činnosti.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2. Spôsob oceňovania jednotlivých položiek majetku a záväzkov: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tbl>
      <w:tblPr>
        <w:tblW w:w="9252" w:type="dxa"/>
        <w:tblInd w:w="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9"/>
        <w:gridCol w:w="5483"/>
      </w:tblGrid>
      <w:tr w:rsidR="00E96F07" w:rsidTr="00D042D2">
        <w:trPr>
          <w:trHeight w:val="156"/>
        </w:trPr>
        <w:tc>
          <w:tcPr>
            <w:tcW w:w="9252" w:type="dxa"/>
            <w:gridSpan w:val="2"/>
          </w:tcPr>
          <w:p w:rsidR="00E96F07" w:rsidRDefault="00E96F07" w:rsidP="00D042D2">
            <w:pPr>
              <w:autoSpaceDE w:val="0"/>
              <w:autoSpaceDN w:val="0"/>
              <w:adjustRightInd w:val="0"/>
              <w:spacing w:after="0" w:line="240" w:lineRule="auto"/>
              <w:ind w:left="-59"/>
              <w:jc w:val="both"/>
              <w:rPr>
                <w:rFonts w:ascii="Arial-BoldMT" w:hAnsi="Arial-BoldMT" w:cs="Arial-BoldMT"/>
                <w:b/>
                <w:bCs/>
              </w:rPr>
            </w:pPr>
            <w:r>
              <w:rPr>
                <w:rFonts w:ascii="Arial-BoldMT" w:hAnsi="Arial-BoldMT" w:cs="Arial-BoldMT"/>
                <w:b/>
                <w:bCs/>
              </w:rPr>
              <w:t>Názov položky Spôsob oceňovania</w:t>
            </w:r>
          </w:p>
        </w:tc>
      </w:tr>
      <w:tr w:rsidR="00E96F07" w:rsidTr="00D042D2">
        <w:trPr>
          <w:trHeight w:val="1729"/>
        </w:trPr>
        <w:tc>
          <w:tcPr>
            <w:tcW w:w="3769" w:type="dxa"/>
          </w:tcPr>
          <w:p w:rsidR="00E96F07" w:rsidRDefault="00E96F07" w:rsidP="00126AD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Záväzky vrátane rezerv:</w:t>
            </w:r>
          </w:p>
          <w:p w:rsidR="00E96F07" w:rsidRPr="00AE1568" w:rsidRDefault="00E96F07" w:rsidP="00D042D2">
            <w:pPr>
              <w:autoSpaceDE w:val="0"/>
              <w:autoSpaceDN w:val="0"/>
              <w:adjustRightInd w:val="0"/>
              <w:spacing w:after="0" w:line="240" w:lineRule="auto"/>
              <w:ind w:left="-59"/>
              <w:jc w:val="both"/>
              <w:rPr>
                <w:rFonts w:ascii="ArialMT" w:hAnsi="ArialMT" w:cs="ArialMT"/>
              </w:rPr>
            </w:pPr>
          </w:p>
        </w:tc>
        <w:tc>
          <w:tcPr>
            <w:tcW w:w="5483" w:type="dxa"/>
          </w:tcPr>
          <w:p w:rsidR="00E96F07" w:rsidRDefault="00126ADF" w:rsidP="00126ADF">
            <w:pPr>
              <w:autoSpaceDE w:val="0"/>
              <w:autoSpaceDN w:val="0"/>
              <w:adjustRightInd w:val="0"/>
              <w:spacing w:after="0" w:line="240" w:lineRule="auto"/>
              <w:ind w:left="-59"/>
              <w:jc w:val="both"/>
              <w:rPr>
                <w:rFonts w:ascii="Arial-BoldMT" w:hAnsi="Arial-BoldMT" w:cs="Arial-BoldMT"/>
                <w:bCs/>
              </w:rPr>
            </w:pPr>
            <w:r>
              <w:rPr>
                <w:rFonts w:ascii="Arial-BoldMT" w:hAnsi="Arial-BoldMT" w:cs="Arial-BoldMT"/>
                <w:bCs/>
              </w:rPr>
              <w:t>Nominálna hodnota</w:t>
            </w:r>
          </w:p>
          <w:p w:rsidR="00E96F07" w:rsidRDefault="00E96F07" w:rsidP="00D042D2">
            <w:pPr>
              <w:autoSpaceDE w:val="0"/>
              <w:autoSpaceDN w:val="0"/>
              <w:adjustRightInd w:val="0"/>
              <w:spacing w:after="0" w:line="240" w:lineRule="auto"/>
              <w:ind w:left="-59"/>
              <w:jc w:val="both"/>
              <w:rPr>
                <w:rFonts w:ascii="Arial-BoldMT" w:hAnsi="Arial-BoldMT" w:cs="Arial-BoldMT"/>
                <w:bCs/>
              </w:rPr>
            </w:pPr>
          </w:p>
          <w:p w:rsidR="00E96F07" w:rsidRPr="008D4883" w:rsidRDefault="00E96F07" w:rsidP="00D042D2">
            <w:pPr>
              <w:autoSpaceDE w:val="0"/>
              <w:autoSpaceDN w:val="0"/>
              <w:adjustRightInd w:val="0"/>
              <w:spacing w:after="0" w:line="240" w:lineRule="auto"/>
              <w:ind w:left="-59"/>
              <w:jc w:val="both"/>
              <w:rPr>
                <w:rFonts w:ascii="Arial-BoldMT" w:hAnsi="Arial-BoldMT" w:cs="Arial-BoldMT"/>
                <w:bCs/>
              </w:rPr>
            </w:pPr>
            <w:r>
              <w:rPr>
                <w:rFonts w:ascii="Arial-BoldMT" w:hAnsi="Arial-BoldMT" w:cs="Arial-BoldMT"/>
                <w:bCs/>
              </w:rPr>
              <w:t xml:space="preserve"> </w:t>
            </w:r>
          </w:p>
        </w:tc>
      </w:tr>
    </w:tbl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126ADF" w:rsidRDefault="00126ADF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3. Dlhodobým hmotným majetkom ÚJ nedisponuje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4. Zmeny účtovných zásad a zmeny účtovných metód neboli realizované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5. Účtovná jednotka neprijala dotácie</w:t>
      </w:r>
    </w:p>
    <w:p w:rsidR="00126ADF" w:rsidRDefault="00126ADF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126ADF" w:rsidRDefault="00126ADF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bookmarkStart w:id="0" w:name="_GoBack"/>
      <w:bookmarkEnd w:id="0"/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 xml:space="preserve">                                                                                                                                    Strana 1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lastRenderedPageBreak/>
        <w:t xml:space="preserve">Poznámky </w:t>
      </w:r>
      <w:proofErr w:type="spellStart"/>
      <w:r>
        <w:rPr>
          <w:rFonts w:ascii="ArialMT" w:hAnsi="ArialMT" w:cs="ArialMT"/>
        </w:rPr>
        <w:t>Úč</w:t>
      </w:r>
      <w:proofErr w:type="spellEnd"/>
      <w:r>
        <w:rPr>
          <w:rFonts w:ascii="ArialMT" w:hAnsi="ArialMT" w:cs="ArialMT"/>
        </w:rPr>
        <w:t xml:space="preserve"> MÚJ 3 – 01                 </w:t>
      </w:r>
      <w:r w:rsidR="00126ADF">
        <w:rPr>
          <w:rFonts w:ascii="ArialMT" w:hAnsi="ArialMT" w:cs="ArialMT"/>
        </w:rPr>
        <w:t xml:space="preserve">                       IČO: 53768671</w:t>
      </w:r>
      <w:r>
        <w:rPr>
          <w:rFonts w:ascii="ArialMT" w:hAnsi="ArialMT" w:cs="ArialMT"/>
        </w:rPr>
        <w:t xml:space="preserve">  </w:t>
      </w:r>
      <w:r w:rsidR="00126ADF">
        <w:rPr>
          <w:rFonts w:ascii="ArialMT" w:hAnsi="ArialMT" w:cs="ArialMT"/>
        </w:rPr>
        <w:t xml:space="preserve">                 DIČ: 2121484464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6. Účtovná jednotka neúčtovala o významných opravách minulých účtovných období v bežno</w:t>
      </w:r>
      <w:r w:rsidR="00126ADF">
        <w:rPr>
          <w:rFonts w:ascii="ArialMT" w:hAnsi="ArialMT" w:cs="ArialMT"/>
        </w:rPr>
        <w:t xml:space="preserve">m účtovnom období. 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 xml:space="preserve">                                                                                                                                      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center"/>
        <w:rPr>
          <w:rFonts w:ascii="Arial-BoldMT" w:hAnsi="Arial-BoldMT" w:cs="Arial-BoldMT"/>
          <w:b/>
          <w:bCs/>
        </w:rPr>
      </w:pPr>
      <w:r>
        <w:rPr>
          <w:rFonts w:ascii="Arial-BoldMT" w:hAnsi="Arial-BoldMT" w:cs="Arial-BoldMT"/>
          <w:b/>
          <w:bCs/>
        </w:rPr>
        <w:t>Článok III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center"/>
        <w:rPr>
          <w:rFonts w:ascii="Arial-BoldMT" w:hAnsi="Arial-BoldMT" w:cs="Arial-BoldMT"/>
          <w:b/>
          <w:bCs/>
        </w:rPr>
      </w:pP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-BoldMT" w:hAnsi="Arial-BoldMT" w:cs="Arial-BoldMT"/>
          <w:b/>
          <w:bCs/>
        </w:rPr>
      </w:pPr>
      <w:r>
        <w:rPr>
          <w:rFonts w:ascii="Arial-BoldMT" w:hAnsi="Arial-BoldMT" w:cs="Arial-BoldMT"/>
          <w:b/>
          <w:bCs/>
        </w:rPr>
        <w:t>Informácie, ktoré vysvetľujú a dopĺňajú súvahu a výkaz ziskov a strát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-BoldMT" w:hAnsi="Arial-BoldMT" w:cs="Arial-BoldMT"/>
          <w:b/>
          <w:bCs/>
        </w:rPr>
      </w:pP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 xml:space="preserve">1. Účtovná jednotka neúčtovala o </w:t>
      </w:r>
      <w:r w:rsidRPr="00C22AB3">
        <w:rPr>
          <w:rFonts w:ascii="Arial-BoldMT" w:hAnsi="Arial-BoldMT" w:cs="Arial-BoldMT"/>
          <w:bCs/>
        </w:rPr>
        <w:t>nákladoch a výnosoch</w:t>
      </w:r>
      <w:r>
        <w:rPr>
          <w:rFonts w:ascii="ArialMT" w:hAnsi="ArialMT" w:cs="ArialMT"/>
        </w:rPr>
        <w:t>, ktoré majú výnimočný rozsah alebo výskyt.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2. Účtovná jednotka neevidovala záväzky so zostatkovou dobou splatnosti dlhšou ako päť rokov ani zabezpečených záväzkov.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3. Účtovná jednotka nemá vlastné akcie.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4. Členom orgánov účtovnej jednotky neboli poskytnuté záruky a pôžičky.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5. Účtovná jednotka nemá finančné povinnosti, ktoré sa nevykazujú v súvahe, neeviduje podmienené záväzky a nemá povinnosti vyplývajúce z dôchodkových programov pre zamestnancov:</w:t>
      </w: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  <w:r>
        <w:rPr>
          <w:rFonts w:ascii="ArialMT" w:hAnsi="ArialMT" w:cs="ArialMT"/>
        </w:rPr>
        <w:t xml:space="preserve">6. Účtovná jednotka nevykonáva </w:t>
      </w:r>
      <w:r w:rsidRPr="00C22AB3">
        <w:rPr>
          <w:rFonts w:ascii="Arial-BoldMT" w:hAnsi="Arial-BoldMT" w:cs="Arial-BoldMT"/>
          <w:bCs/>
        </w:rPr>
        <w:t>služby vo verejnom záujme a neeviduje prijaté náhrady.</w:t>
      </w: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334968" w:rsidRDefault="00E96F07" w:rsidP="00E96F07">
      <w:pPr>
        <w:jc w:val="both"/>
      </w:pPr>
      <w:r>
        <w:rPr>
          <w:rFonts w:ascii="Arial-BoldMT" w:hAnsi="Arial-BoldMT" w:cs="Arial-BoldMT"/>
          <w:bCs/>
        </w:rPr>
        <w:t xml:space="preserve">                                                                                                                                       Strana 2</w:t>
      </w:r>
    </w:p>
    <w:sectPr w:rsidR="003349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DejaVuSansCondensed-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DejaVuSansCondense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6F07"/>
    <w:rsid w:val="00126ADF"/>
    <w:rsid w:val="00321C52"/>
    <w:rsid w:val="00334968"/>
    <w:rsid w:val="00391210"/>
    <w:rsid w:val="00D73CC5"/>
    <w:rsid w:val="00E96F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FA3240"/>
  <w15:chartTrackingRefBased/>
  <w15:docId w15:val="{0BCBDB7D-896C-49BD-A586-84D23401D8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96F07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39"/>
    <w:rsid w:val="00E96F0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424</Words>
  <Characters>2419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matad</dc:creator>
  <cp:keywords/>
  <dc:description/>
  <cp:lastModifiedBy>matad</cp:lastModifiedBy>
  <cp:revision>7</cp:revision>
  <dcterms:created xsi:type="dcterms:W3CDTF">2022-03-24T06:18:00Z</dcterms:created>
  <dcterms:modified xsi:type="dcterms:W3CDTF">2023-03-10T11:55:00Z</dcterms:modified>
</cp:coreProperties>
</file>