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312" w:rsidRDefault="00962312">
      <w:pPr>
        <w:keepNext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</w:t>
      </w:r>
    </w:p>
    <w:p w:rsidR="00962312" w:rsidRDefault="00962312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Všeobecné údaje</w:t>
      </w:r>
    </w:p>
    <w:p w:rsidR="00962312" w:rsidRDefault="00962312">
      <w:pPr>
        <w:keepNext/>
        <w:jc w:val="center"/>
        <w:rPr>
          <w:rFonts w:ascii="Arial" w:hAnsi="Arial" w:cs="Arial"/>
          <w:b/>
          <w:bCs/>
          <w:sz w:val="18"/>
          <w:szCs w:val="18"/>
        </w:rPr>
      </w:pPr>
    </w:p>
    <w:p w:rsidR="00962312" w:rsidRDefault="00962312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Názov právnickej osoby a jej sídlo alebo meno a priezvisko fyzickej osoby.</w:t>
      </w:r>
    </w:p>
    <w:tbl>
      <w:tblPr>
        <w:tblW w:w="0" w:type="auto"/>
        <w:tblInd w:w="-106" w:type="dxa"/>
        <w:tblLayout w:type="fixed"/>
        <w:tblLook w:val="0000"/>
      </w:tblPr>
      <w:tblGrid>
        <w:gridCol w:w="1989"/>
        <w:gridCol w:w="7113"/>
      </w:tblGrid>
      <w:tr w:rsidR="00962312">
        <w:trPr>
          <w:trHeight w:val="110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962312" w:rsidRDefault="009623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LESK s.r.o.</w:t>
            </w:r>
          </w:p>
        </w:tc>
      </w:tr>
      <w:tr w:rsidR="00962312">
        <w:trPr>
          <w:trHeight w:val="39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7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Továrenska 49, 953 01  Zlaté Moravce</w:t>
            </w:r>
          </w:p>
        </w:tc>
      </w:tr>
    </w:tbl>
    <w:p w:rsidR="00962312" w:rsidRDefault="00962312">
      <w:pPr>
        <w:jc w:val="both"/>
      </w:pPr>
    </w:p>
    <w:p w:rsidR="00962312" w:rsidRDefault="00962312">
      <w:pPr>
        <w:numPr>
          <w:ilvl w:val="0"/>
          <w:numId w:val="5"/>
        </w:numPr>
        <w:ind w:left="1480" w:hanging="133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Údaje o konsolidovanom celku:   Účtovná jednotka </w:t>
      </w:r>
      <w:r>
        <w:rPr>
          <w:rFonts w:ascii="Arial" w:hAnsi="Arial" w:cs="Arial"/>
          <w:b/>
          <w:bCs/>
          <w:sz w:val="20"/>
          <w:szCs w:val="20"/>
        </w:rPr>
        <w:t>nie je</w:t>
      </w:r>
      <w:r>
        <w:rPr>
          <w:rFonts w:ascii="Arial" w:hAnsi="Arial" w:cs="Arial"/>
          <w:sz w:val="20"/>
          <w:szCs w:val="20"/>
        </w:rPr>
        <w:t xml:space="preserve"> súčasťou konsolidovaného celku.</w:t>
      </w:r>
    </w:p>
    <w:p w:rsidR="00962312" w:rsidRDefault="00962312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prepočítaný počet zamestnancov:      4</w:t>
      </w:r>
    </w:p>
    <w:p w:rsidR="00962312" w:rsidRDefault="00962312">
      <w:pPr>
        <w:tabs>
          <w:tab w:val="left" w:pos="9461"/>
        </w:tabs>
        <w:ind w:left="2870"/>
        <w:jc w:val="both"/>
        <w:rPr>
          <w:rFonts w:ascii="Arial" w:hAnsi="Arial" w:cs="Arial"/>
          <w:sz w:val="20"/>
          <w:szCs w:val="20"/>
        </w:rPr>
      </w:pPr>
    </w:p>
    <w:p w:rsidR="00962312" w:rsidRDefault="00962312">
      <w:pPr>
        <w:tabs>
          <w:tab w:val="left" w:pos="9461"/>
        </w:tabs>
        <w:ind w:left="2870"/>
        <w:jc w:val="both"/>
        <w:rPr>
          <w:rFonts w:ascii="Arial" w:hAnsi="Arial" w:cs="Arial"/>
          <w:sz w:val="20"/>
          <w:szCs w:val="20"/>
        </w:rPr>
      </w:pPr>
    </w:p>
    <w:p w:rsidR="00962312" w:rsidRDefault="00962312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</w:t>
      </w:r>
    </w:p>
    <w:p w:rsidR="00962312" w:rsidRDefault="00962312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 o prijatých postupoch</w:t>
      </w:r>
    </w:p>
    <w:p w:rsidR="00962312" w:rsidRDefault="00962312">
      <w:pPr>
        <w:ind w:left="1121"/>
        <w:jc w:val="both"/>
        <w:rPr>
          <w:rFonts w:ascii="Arial" w:hAnsi="Arial" w:cs="Arial"/>
          <w:b/>
          <w:bCs/>
          <w:sz w:val="20"/>
          <w:szCs w:val="20"/>
        </w:rPr>
      </w:pPr>
    </w:p>
    <w:p w:rsidR="00962312" w:rsidRDefault="0096231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bCs/>
          <w:sz w:val="20"/>
          <w:szCs w:val="20"/>
          <w:u w:val="single"/>
        </w:rPr>
        <w:t>bude</w:t>
      </w:r>
      <w:r>
        <w:rPr>
          <w:rFonts w:ascii="Arial" w:hAnsi="Arial" w:cs="Arial"/>
          <w:sz w:val="20"/>
          <w:szCs w:val="20"/>
        </w:rPr>
        <w:t xml:space="preserve"> nepretržite</w:t>
      </w:r>
    </w:p>
    <w:p w:rsidR="00962312" w:rsidRDefault="00962312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pokračovať vo svojej činnosti</w:t>
      </w:r>
    </w:p>
    <w:p w:rsidR="00962312" w:rsidRDefault="0096231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Spôsob oceňovania jednotlivých položiek majetku a záväzkov </w:t>
      </w:r>
    </w:p>
    <w:tbl>
      <w:tblPr>
        <w:tblW w:w="0" w:type="auto"/>
        <w:tblInd w:w="-106" w:type="dxa"/>
        <w:tblLayout w:type="fixed"/>
        <w:tblLook w:val="0000"/>
      </w:tblPr>
      <w:tblGrid>
        <w:gridCol w:w="8430"/>
        <w:gridCol w:w="1015"/>
      </w:tblGrid>
      <w:tr w:rsidR="00962312">
        <w:tc>
          <w:tcPr>
            <w:tcW w:w="94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Obstarávacou cenou</w:t>
            </w:r>
          </w:p>
        </w:tc>
      </w:tr>
      <w:tr w:rsidR="00962312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50 025,41</w:t>
            </w:r>
          </w:p>
        </w:tc>
      </w:tr>
      <w:tr w:rsidR="00962312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2 588</w:t>
            </w:r>
          </w:p>
        </w:tc>
      </w:tr>
      <w:tr w:rsidR="00962312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962312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962312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962312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962312" w:rsidRDefault="00962312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962312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Vlastnými nákladmi</w:t>
            </w:r>
          </w:p>
        </w:tc>
      </w:tr>
      <w:tr w:rsidR="009623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62312" w:rsidRDefault="00962312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430"/>
        <w:gridCol w:w="1030"/>
      </w:tblGrid>
      <w:tr w:rsidR="00962312">
        <w:tc>
          <w:tcPr>
            <w:tcW w:w="94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Menovitou hodnotou</w:t>
            </w:r>
          </w:p>
        </w:tc>
      </w:tr>
      <w:tr w:rsidR="00962312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12 402,11</w:t>
            </w:r>
          </w:p>
        </w:tc>
      </w:tr>
      <w:tr w:rsidR="00962312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1 569</w:t>
            </w:r>
          </w:p>
        </w:tc>
      </w:tr>
      <w:tr w:rsidR="00962312">
        <w:tc>
          <w:tcPr>
            <w:tcW w:w="8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23,82</w:t>
            </w:r>
          </w:p>
        </w:tc>
      </w:tr>
    </w:tbl>
    <w:p w:rsidR="00962312" w:rsidRDefault="00962312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962312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Reálnou hodnotou </w:t>
            </w:r>
          </w:p>
        </w:tc>
      </w:tr>
      <w:tr w:rsidR="009623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962312" w:rsidRDefault="00962312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789"/>
        <w:gridCol w:w="313"/>
      </w:tblGrid>
      <w:tr w:rsidR="00962312">
        <w:tc>
          <w:tcPr>
            <w:tcW w:w="9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Úbytok zásob rovnakého druhu sa účtuje v ocenení: </w:t>
            </w:r>
          </w:p>
        </w:tc>
      </w:tr>
      <w:tr w:rsidR="009623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Metódou FIFO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9623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 zásob sa rozdeľuje na cenu za ktoré sa zásoby obstarali</w:t>
            </w:r>
          </w:p>
          <w:p w:rsidR="00962312" w:rsidRDefault="00962312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962312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962312" w:rsidRDefault="00962312">
      <w:pPr>
        <w:jc w:val="both"/>
      </w:pPr>
    </w:p>
    <w:tbl>
      <w:tblPr>
        <w:tblW w:w="0" w:type="auto"/>
        <w:tblInd w:w="-106" w:type="dxa"/>
        <w:tblLayout w:type="fixed"/>
        <w:tblLook w:val="0000"/>
      </w:tblPr>
      <w:tblGrid>
        <w:gridCol w:w="8505"/>
        <w:gridCol w:w="955"/>
      </w:tblGrid>
      <w:tr w:rsidR="00962312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Výdavky budúcich období a príjmy budúcich období  sa vykazujú vo výške, ktorá je potrebná </w:t>
            </w:r>
          </w:p>
          <w:p w:rsidR="00962312" w:rsidRDefault="00962312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962312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62312" w:rsidRDefault="00962312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Prenajatý  majetok a majetok obstaraný na základe  zmluvy o kúpe prenajatej veci - v ocenení</w:t>
            </w:r>
          </w:p>
          <w:p w:rsidR="00962312" w:rsidRDefault="00962312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rovnajúcom istine a náklady súvisiace s obstaraním 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 z príjmov splatná – daň sa  určuje z účtovného zisku pred zdanením, po úpravách na daňové účelypodľa zákona o daniach z príjmov pri sadzbe 22 %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5,42</w:t>
            </w:r>
          </w:p>
        </w:tc>
      </w:tr>
      <w:tr w:rsidR="00962312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Náklady a výnosy časovo rozlišujú. Časovo sa ne nerozlišujú náklady a výnosy, ak ide o nevýznamný </w:t>
            </w:r>
          </w:p>
          <w:p w:rsidR="00962312" w:rsidRDefault="00962312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 stále sa opakujúci účtovný prípad týkajúci sa časového rozlíšenia nákladov alebo výnosov</w:t>
            </w:r>
          </w:p>
          <w:p w:rsidR="00962312" w:rsidRDefault="00962312">
            <w:pPr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posledného a prvého mesiaca účtovného obdobia.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962312" w:rsidRDefault="00962312">
      <w:pPr>
        <w:jc w:val="both"/>
      </w:pPr>
    </w:p>
    <w:p w:rsidR="00962312" w:rsidRDefault="00962312">
      <w:pPr>
        <w:jc w:val="both"/>
        <w:rPr>
          <w:rFonts w:ascii="Arial" w:hAnsi="Arial" w:cs="Arial"/>
          <w:sz w:val="20"/>
          <w:szCs w:val="20"/>
        </w:rPr>
      </w:pPr>
    </w:p>
    <w:p w:rsidR="00962312" w:rsidRDefault="0096231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 zostavenia odpisového plánu pre jednotlivé druhy dlhodobého hmotného</w:t>
      </w:r>
    </w:p>
    <w:p w:rsidR="00962312" w:rsidRDefault="00962312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majetku  a dlhodobého nehmotného majetku,doba odpisovania, použité sadzby </w:t>
      </w:r>
    </w:p>
    <w:p w:rsidR="00962312" w:rsidRDefault="00962312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odpisov a odpisové metódy pri určení odpisov </w:t>
      </w:r>
    </w:p>
    <w:tbl>
      <w:tblPr>
        <w:tblW w:w="0" w:type="auto"/>
        <w:tblInd w:w="-106" w:type="dxa"/>
        <w:tblLayout w:type="fixed"/>
        <w:tblLook w:val="0000"/>
      </w:tblPr>
      <w:tblGrid>
        <w:gridCol w:w="7070"/>
        <w:gridCol w:w="1665"/>
        <w:gridCol w:w="740"/>
      </w:tblGrid>
      <w:tr w:rsidR="00962312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  <w:p w:rsidR="00962312" w:rsidRDefault="00962312">
            <w:pPr>
              <w:rPr>
                <w:rFonts w:ascii="Arial" w:hAnsi="Arial" w:cs="Arial"/>
                <w:sz w:val="18"/>
                <w:szCs w:val="18"/>
              </w:rPr>
            </w:pPr>
          </w:p>
          <w:p w:rsidR="00962312" w:rsidRDefault="00962312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rovnajú.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1018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nerovnajú.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962312">
        <w:trPr>
          <w:trHeight w:val="64"/>
        </w:trPr>
        <w:tc>
          <w:tcPr>
            <w:tcW w:w="7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62312" w:rsidRDefault="00962312">
      <w:pPr>
        <w:jc w:val="both"/>
      </w:pPr>
    </w:p>
    <w:p w:rsidR="00962312" w:rsidRDefault="00962312">
      <w:pPr>
        <w:jc w:val="both"/>
        <w:rPr>
          <w:rFonts w:ascii="Arial" w:hAnsi="Arial" w:cs="Arial"/>
          <w:sz w:val="18"/>
          <w:szCs w:val="18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2927"/>
        <w:gridCol w:w="1061"/>
        <w:gridCol w:w="1284"/>
        <w:gridCol w:w="1165"/>
        <w:gridCol w:w="1095"/>
        <w:gridCol w:w="1570"/>
      </w:tblGrid>
      <w:tr w:rsidR="00962312"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Odpisová skupina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Lineárne odpisy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Zrýchlené odpisy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Umývací automat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Čistiaci stroj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rokov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Auto Mercedes Benz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Dodávka Crafter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Auto BMW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62312" w:rsidRDefault="00962312">
      <w:pPr>
        <w:ind w:left="709"/>
        <w:jc w:val="both"/>
      </w:pPr>
    </w:p>
    <w:p w:rsidR="00962312" w:rsidRDefault="00962312">
      <w:pPr>
        <w:ind w:left="709"/>
        <w:jc w:val="both"/>
        <w:rPr>
          <w:rFonts w:ascii="Arial" w:hAnsi="Arial" w:cs="Arial"/>
          <w:sz w:val="20"/>
          <w:szCs w:val="20"/>
        </w:rPr>
      </w:pPr>
    </w:p>
    <w:p w:rsidR="00962312" w:rsidRDefault="0096231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Zmeny účtovných zásad a zmeny účtovných metód s uvedením dôvodu týchto zmien </w:t>
      </w:r>
    </w:p>
    <w:p w:rsidR="00962312" w:rsidRDefault="00962312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vyčíslením ich vplyvu na finančnú hodnotu majetku, záväzkov, základného imania</w:t>
      </w:r>
    </w:p>
    <w:p w:rsidR="00962312" w:rsidRDefault="00962312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a výsledku hospodárenia ÚJ</w:t>
      </w:r>
    </w:p>
    <w:tbl>
      <w:tblPr>
        <w:tblW w:w="0" w:type="auto"/>
        <w:tblInd w:w="-106" w:type="dxa"/>
        <w:tblLayout w:type="fixed"/>
        <w:tblLook w:val="0000"/>
      </w:tblPr>
      <w:tblGrid>
        <w:gridCol w:w="7088"/>
        <w:gridCol w:w="824"/>
        <w:gridCol w:w="291"/>
        <w:gridCol w:w="578"/>
        <w:gridCol w:w="321"/>
      </w:tblGrid>
      <w:tr w:rsidR="00962312">
        <w:trPr>
          <w:trHeight w:hRule="exact" w:val="340"/>
        </w:trPr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widowControl w:val="0"/>
              <w:autoSpaceDE w:val="0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962312" w:rsidRDefault="00962312">
      <w:pPr>
        <w:pStyle w:val="Odsekzoznamu"/>
      </w:pPr>
    </w:p>
    <w:p w:rsidR="00962312" w:rsidRDefault="00962312">
      <w:pPr>
        <w:pStyle w:val="Odsekzoznamu"/>
        <w:rPr>
          <w:rFonts w:ascii="Arial" w:hAnsi="Arial" w:cs="Arial"/>
          <w:sz w:val="20"/>
          <w:szCs w:val="20"/>
        </w:rPr>
      </w:pPr>
    </w:p>
    <w:p w:rsidR="00962312" w:rsidRDefault="0096231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dotáciách a ich oceňovanie v účtovníctve </w:t>
      </w:r>
    </w:p>
    <w:tbl>
      <w:tblPr>
        <w:tblW w:w="0" w:type="auto"/>
        <w:tblInd w:w="-106" w:type="dxa"/>
        <w:tblLayout w:type="fixed"/>
        <w:tblLook w:val="0000"/>
      </w:tblPr>
      <w:tblGrid>
        <w:gridCol w:w="5081"/>
        <w:gridCol w:w="2857"/>
        <w:gridCol w:w="1164"/>
      </w:tblGrid>
      <w:tr w:rsidR="00962312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962312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340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62312" w:rsidRDefault="00962312">
      <w:pPr>
        <w:ind w:left="709"/>
        <w:jc w:val="both"/>
      </w:pPr>
    </w:p>
    <w:p w:rsidR="00962312" w:rsidRDefault="00962312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962312" w:rsidRDefault="00962312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962312" w:rsidRDefault="00962312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962312" w:rsidRDefault="00962312">
      <w:pPr>
        <w:ind w:left="709"/>
        <w:jc w:val="both"/>
        <w:rPr>
          <w:rFonts w:ascii="Arial" w:hAnsi="Arial" w:cs="Arial"/>
          <w:sz w:val="18"/>
          <w:szCs w:val="18"/>
        </w:rPr>
      </w:pPr>
    </w:p>
    <w:p w:rsidR="00962312" w:rsidRDefault="0096231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účtovaní významných opráv chýb minulých účtovných období v bežnom</w:t>
      </w:r>
    </w:p>
    <w:p w:rsidR="00962312" w:rsidRDefault="00962312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účtovnom období </w:t>
      </w:r>
    </w:p>
    <w:tbl>
      <w:tblPr>
        <w:tblW w:w="0" w:type="auto"/>
        <w:tblInd w:w="-106" w:type="dxa"/>
        <w:tblLayout w:type="fixed"/>
        <w:tblLook w:val="0000"/>
      </w:tblPr>
      <w:tblGrid>
        <w:gridCol w:w="2977"/>
        <w:gridCol w:w="992"/>
        <w:gridCol w:w="851"/>
        <w:gridCol w:w="2126"/>
        <w:gridCol w:w="2582"/>
      </w:tblGrid>
      <w:tr w:rsidR="00962312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Účtované na účet HV min. období (EUR)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Účtované do HV bežného  obdobia(EUR)</w:t>
            </w:r>
          </w:p>
        </w:tc>
      </w:tr>
      <w:tr w:rsidR="00962312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2312">
        <w:trPr>
          <w:trHeight w:val="34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62312" w:rsidRDefault="00962312">
      <w:pPr>
        <w:jc w:val="both"/>
      </w:pPr>
    </w:p>
    <w:p w:rsidR="00962312" w:rsidRDefault="00962312">
      <w:pPr>
        <w:ind w:left="360"/>
        <w:rPr>
          <w:rFonts w:ascii="Arial" w:hAnsi="Arial" w:cs="Arial"/>
          <w:sz w:val="20"/>
          <w:szCs w:val="20"/>
        </w:rPr>
      </w:pPr>
    </w:p>
    <w:p w:rsidR="00962312" w:rsidRDefault="00962312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Čl. III</w:t>
      </w:r>
    </w:p>
    <w:p w:rsidR="00962312" w:rsidRDefault="00962312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Informácie, ktoré vysvetľujú a dopĺňajú súvahu a výkaz ziskov a strát</w:t>
      </w:r>
    </w:p>
    <w:p w:rsidR="00962312" w:rsidRDefault="00962312">
      <w:pPr>
        <w:ind w:left="1841"/>
        <w:jc w:val="center"/>
        <w:rPr>
          <w:rFonts w:ascii="Arial" w:hAnsi="Arial" w:cs="Arial"/>
          <w:b/>
          <w:bCs/>
          <w:sz w:val="20"/>
          <w:szCs w:val="20"/>
        </w:rPr>
      </w:pPr>
    </w:p>
    <w:p w:rsidR="00962312" w:rsidRDefault="0096231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Informácia o sume a dôvodoch vzniku jednotlivých položiek </w:t>
      </w:r>
      <w:r>
        <w:rPr>
          <w:rFonts w:ascii="Arial" w:hAnsi="Arial" w:cs="Arial"/>
          <w:b/>
          <w:bCs/>
          <w:sz w:val="20"/>
          <w:szCs w:val="20"/>
        </w:rPr>
        <w:t>nákladov alebo výnosov, ktoré majú výnimočný rozsah alebo výskyt</w:t>
      </w:r>
      <w:r>
        <w:rPr>
          <w:rFonts w:ascii="Arial" w:hAnsi="Arial" w:cs="Arial"/>
          <w:sz w:val="20"/>
          <w:szCs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0" w:type="auto"/>
        <w:tblInd w:w="-106" w:type="dxa"/>
        <w:tblLayout w:type="fixed"/>
        <w:tblLook w:val="0000"/>
      </w:tblPr>
      <w:tblGrid>
        <w:gridCol w:w="3899"/>
        <w:gridCol w:w="4181"/>
        <w:gridCol w:w="1448"/>
      </w:tblGrid>
      <w:tr w:rsidR="00962312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Popis nákladov ,výnosov </w:t>
            </w:r>
          </w:p>
          <w:p w:rsidR="00962312" w:rsidRDefault="0096231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Dôvod vzniku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962312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340"/>
        </w:trPr>
        <w:tc>
          <w:tcPr>
            <w:tcW w:w="38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62312" w:rsidRDefault="00962312">
      <w:pPr>
        <w:ind w:left="1481"/>
        <w:jc w:val="both"/>
      </w:pPr>
    </w:p>
    <w:p w:rsidR="00962312" w:rsidRDefault="00962312">
      <w:pPr>
        <w:ind w:left="1134"/>
        <w:jc w:val="both"/>
        <w:rPr>
          <w:rFonts w:ascii="Arial" w:hAnsi="Arial" w:cs="Arial"/>
          <w:sz w:val="20"/>
          <w:szCs w:val="20"/>
        </w:rPr>
      </w:pPr>
    </w:p>
    <w:p w:rsidR="00962312" w:rsidRDefault="0096231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záväzkoch</w:t>
      </w:r>
    </w:p>
    <w:tbl>
      <w:tblPr>
        <w:tblW w:w="0" w:type="auto"/>
        <w:tblInd w:w="-106" w:type="dxa"/>
        <w:tblLayout w:type="fixed"/>
        <w:tblLook w:val="0000"/>
      </w:tblPr>
      <w:tblGrid>
        <w:gridCol w:w="8189"/>
        <w:gridCol w:w="1525"/>
      </w:tblGrid>
      <w:tr w:rsidR="00962312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spacing w:line="276" w:lineRule="auto"/>
              <w:ind w:left="357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962312" w:rsidRDefault="0096231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62312">
        <w:trPr>
          <w:trHeight w:val="397"/>
        </w:trPr>
        <w:tc>
          <w:tcPr>
            <w:tcW w:w="97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ind w:left="357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zabezpečených záväzkov, opis a spôsoby zabezpečenia záväzkov:</w:t>
            </w:r>
          </w:p>
          <w:p w:rsidR="00962312" w:rsidRDefault="00962312">
            <w:pPr>
              <w:pStyle w:val="TopHeader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</w:tr>
      <w:tr w:rsidR="00962312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Spôsob zabezpečenia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</w:tr>
      <w:tr w:rsidR="00962312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Záložné právo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62312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62312">
        <w:trPr>
          <w:trHeight w:val="397"/>
        </w:trPr>
        <w:tc>
          <w:tcPr>
            <w:tcW w:w="8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zabezpečené :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62312" w:rsidRDefault="00962312">
      <w:pPr>
        <w:ind w:left="1134"/>
        <w:jc w:val="both"/>
      </w:pPr>
    </w:p>
    <w:p w:rsidR="00962312" w:rsidRDefault="0096231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kern w:val="1"/>
          <w:sz w:val="20"/>
          <w:szCs w:val="20"/>
        </w:rPr>
      </w:pPr>
      <w:r>
        <w:rPr>
          <w:rFonts w:ascii="Arial" w:hAnsi="Arial" w:cs="Arial"/>
          <w:kern w:val="1"/>
          <w:sz w:val="20"/>
          <w:szCs w:val="20"/>
        </w:rPr>
        <w:t>Informácie o vlastných akciách, a to</w:t>
      </w:r>
    </w:p>
    <w:p w:rsidR="00962312" w:rsidRDefault="00962312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dôvod nadobudnutia vlastných akcií počas účtovného obdobia,</w:t>
      </w:r>
    </w:p>
    <w:p w:rsidR="00962312" w:rsidRDefault="00962312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</w:t>
      </w:r>
    </w:p>
    <w:p w:rsidR="00962312" w:rsidRDefault="00962312">
      <w:pPr>
        <w:numPr>
          <w:ilvl w:val="0"/>
          <w:numId w:val="7"/>
        </w:numPr>
        <w:tabs>
          <w:tab w:val="left" w:pos="5954"/>
        </w:tabs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962312" w:rsidRDefault="00962312">
      <w:pPr>
        <w:numPr>
          <w:ilvl w:val="0"/>
          <w:numId w:val="2"/>
        </w:numPr>
        <w:tabs>
          <w:tab w:val="left" w:pos="5954"/>
        </w:tabs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962312" w:rsidRDefault="00962312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kern w:val="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kern w:val="1"/>
          <w:sz w:val="20"/>
          <w:szCs w:val="20"/>
        </w:rPr>
        <w:t>uvádza  sa aj ich percentuálny podiel na upísanom základnom imaní.</w:t>
      </w:r>
    </w:p>
    <w:p w:rsidR="00962312" w:rsidRDefault="00962312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962312" w:rsidRDefault="00962312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962312" w:rsidRDefault="00962312">
      <w:pPr>
        <w:ind w:left="1276"/>
        <w:jc w:val="both"/>
        <w:rPr>
          <w:rFonts w:ascii="Arial" w:hAnsi="Arial" w:cs="Arial"/>
          <w:kern w:val="1"/>
          <w:sz w:val="20"/>
          <w:szCs w:val="20"/>
        </w:rPr>
      </w:pPr>
    </w:p>
    <w:p w:rsidR="00962312" w:rsidRDefault="0096231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 orgánoch účtovnej jednotky</w:t>
      </w:r>
    </w:p>
    <w:tbl>
      <w:tblPr>
        <w:tblW w:w="0" w:type="auto"/>
        <w:tblInd w:w="-106" w:type="dxa"/>
        <w:tblLayout w:type="fixed"/>
        <w:tblLook w:val="0000"/>
      </w:tblPr>
      <w:tblGrid>
        <w:gridCol w:w="5670"/>
        <w:gridCol w:w="1560"/>
        <w:gridCol w:w="425"/>
        <w:gridCol w:w="417"/>
        <w:gridCol w:w="1456"/>
      </w:tblGrid>
      <w:tr w:rsidR="00962312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  <w:r>
              <w:rPr>
                <w:rFonts w:ascii="Arial" w:hAnsi="Arial" w:cs="Arial"/>
                <w:sz w:val="20"/>
                <w:szCs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340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b)pôžičky poskytnuté členom štatutárneho orgánu, dozorného orgánu a iného orgánu ÚJ</w:t>
            </w:r>
          </w:p>
        </w:tc>
      </w:tr>
      <w:tr w:rsidR="00962312">
        <w:trPr>
          <w:trHeight w:val="28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 v %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  <w:p w:rsidR="00962312" w:rsidRDefault="00962312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splatených pôžičiek k poslednému dňu účt. obdobia</w:t>
            </w: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283"/>
        </w:trPr>
        <w:tc>
          <w:tcPr>
            <w:tcW w:w="952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</w:t>
            </w: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EUR</w:t>
            </w: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62312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62312" w:rsidRDefault="00962312">
            <w:pPr>
              <w:snapToGrid w:val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62312" w:rsidRDefault="00962312">
      <w:pPr>
        <w:jc w:val="both"/>
      </w:pPr>
    </w:p>
    <w:p w:rsidR="00962312" w:rsidRDefault="00962312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povinnostiach účtovnej jednotky, a to</w:t>
      </w:r>
    </w:p>
    <w:p w:rsidR="00962312" w:rsidRDefault="0096231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962312" w:rsidRDefault="0096231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celková suma významných podmienených záväzkov, ktorými sa rozumie</w:t>
      </w:r>
    </w:p>
    <w:p w:rsidR="00962312" w:rsidRDefault="00962312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962312" w:rsidRDefault="00962312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existujúca povinnosť, ktorá vznikla ako dôsledok minulej udalosti, ale ktorá sa nevykazuje v súvahe, pretože</w:t>
      </w:r>
    </w:p>
    <w:p w:rsidR="00962312" w:rsidRDefault="00962312">
      <w:pPr>
        <w:numPr>
          <w:ilvl w:val="0"/>
          <w:numId w:val="11"/>
        </w:numPr>
        <w:ind w:left="212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je pravdepodobné, že na splnenie tejto povinnosti bude potrebný úbytok ekonomických úžitkov, alebo</w:t>
      </w:r>
    </w:p>
    <w:p w:rsidR="00962312" w:rsidRDefault="00962312">
      <w:pPr>
        <w:numPr>
          <w:ilvl w:val="0"/>
          <w:numId w:val="10"/>
        </w:numPr>
        <w:tabs>
          <w:tab w:val="left" w:pos="8381"/>
        </w:tabs>
        <w:ind w:hanging="8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výška tejto povinnosti sa nedá spoľahlivo oceniť,</w:t>
      </w:r>
    </w:p>
    <w:p w:rsidR="00962312" w:rsidRDefault="0096231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opise významných finančných povinností a významných podmienených záväzkov,</w:t>
      </w:r>
    </w:p>
    <w:p w:rsidR="00962312" w:rsidRDefault="0096231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celkovej sume významných finančných povinností a významných podmienených záväzkoch voči dcérskej účtovnej jednotke a účtovnej jednotke s podstatným vplyvom,</w:t>
      </w:r>
    </w:p>
    <w:p w:rsidR="00962312" w:rsidRDefault="0096231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opise významných povinností účtovnej jednotky vyplývajúcich z dôchodkových programov pre zamestnancov.</w:t>
      </w:r>
    </w:p>
    <w:p w:rsidR="00962312" w:rsidRDefault="00962312">
      <w:pPr>
        <w:jc w:val="both"/>
        <w:rPr>
          <w:rFonts w:ascii="Arial" w:hAnsi="Arial" w:cs="Arial"/>
          <w:sz w:val="20"/>
          <w:szCs w:val="20"/>
        </w:rPr>
      </w:pPr>
    </w:p>
    <w:p w:rsidR="00962312" w:rsidRDefault="0096231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bookmarkStart w:id="0" w:name="OLE_LINK1"/>
      <w:r>
        <w:rPr>
          <w:rFonts w:ascii="Arial" w:hAnsi="Arial" w:cs="Arial"/>
          <w:sz w:val="20"/>
          <w:szCs w:val="20"/>
        </w:rPr>
        <w:t>Informácie o udelení výlučného práva alebo osobitného práva, ktorým sa udelilo právo poskytovať služby vo verejnom záujme</w:t>
      </w:r>
      <w:bookmarkEnd w:id="0"/>
    </w:p>
    <w:p w:rsidR="00962312" w:rsidRDefault="00962312">
      <w:pPr>
        <w:jc w:val="right"/>
        <w:rPr>
          <w:rFonts w:ascii="Arial" w:hAnsi="Arial" w:cs="Arial"/>
          <w:sz w:val="20"/>
          <w:szCs w:val="20"/>
        </w:rPr>
      </w:pPr>
    </w:p>
    <w:p w:rsidR="00962312" w:rsidRDefault="0096231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 v poznámkach sú uvádzané za bežne účtovné obdobie. Sumy sú uvádzané v celých eurách.</w:t>
      </w:r>
    </w:p>
    <w:p w:rsidR="00962312" w:rsidRDefault="00962312">
      <w:pPr>
        <w:rPr>
          <w:rFonts w:ascii="Arial" w:hAnsi="Arial" w:cs="Arial"/>
          <w:sz w:val="20"/>
          <w:szCs w:val="20"/>
        </w:rPr>
      </w:pPr>
    </w:p>
    <w:p w:rsidR="00962312" w:rsidRDefault="0096231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ÚJ - účtovná jednotka; BO- bežné obdobie; X= ÚJ má náplň pre jednotlivú položku </w:t>
      </w:r>
    </w:p>
    <w:p w:rsidR="00962312" w:rsidRDefault="00962312"/>
    <w:sectPr w:rsidR="00962312" w:rsidSect="00A766F8">
      <w:headerReference w:type="default" r:id="rId7"/>
      <w:footerReference w:type="default" r:id="rId8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2312" w:rsidRDefault="00962312">
      <w:r>
        <w:separator/>
      </w:r>
    </w:p>
  </w:endnote>
  <w:endnote w:type="continuationSeparator" w:id="1">
    <w:p w:rsidR="00962312" w:rsidRDefault="009623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2312" w:rsidRDefault="00962312">
    <w:pPr>
      <w:pStyle w:val="Footer"/>
      <w:jc w:val="center"/>
    </w:pPr>
    <w:fldSimple w:instr=" PAGE ">
      <w:r>
        <w:rPr>
          <w:noProof/>
        </w:rPr>
        <w:t>4</w:t>
      </w:r>
    </w:fldSimple>
  </w:p>
  <w:p w:rsidR="00962312" w:rsidRDefault="0096231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2312" w:rsidRDefault="00962312">
      <w:r>
        <w:separator/>
      </w:r>
    </w:p>
  </w:footnote>
  <w:footnote w:type="continuationSeparator" w:id="1">
    <w:p w:rsidR="00962312" w:rsidRDefault="009623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68" w:type="dxa"/>
      <w:tblLayout w:type="fixed"/>
      <w:tblCellMar>
        <w:left w:w="70" w:type="dxa"/>
        <w:right w:w="70" w:type="dxa"/>
      </w:tblCellMar>
      <w:tblLook w:val="000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74"/>
    </w:tblGrid>
    <w:tr w:rsidR="00962312">
      <w:trPr>
        <w:trHeight w:val="330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962312" w:rsidRDefault="00962312">
          <w:pPr>
            <w:snapToGrid w:val="0"/>
            <w:rPr>
              <w:color w:val="000000"/>
            </w:rPr>
          </w:pPr>
          <w:r>
            <w:rPr>
              <w:color w:val="000000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000000"/>
          </w:tcBorders>
          <w:vAlign w:val="bottom"/>
        </w:tcPr>
        <w:p w:rsidR="00962312" w:rsidRDefault="00962312">
          <w:pPr>
            <w:snapToGrid w:val="0"/>
            <w:rPr>
              <w:color w:val="000000"/>
            </w:rPr>
          </w:pPr>
          <w:r>
            <w:rPr>
              <w:color w:val="000000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962312" w:rsidRDefault="00962312">
          <w:pPr>
            <w:snapToGrid w:val="0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962312" w:rsidRDefault="00962312">
          <w:pPr>
            <w:snapToGrid w:val="0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962312" w:rsidRDefault="00962312">
          <w:pPr>
            <w:snapToGrid w:val="0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962312" w:rsidRDefault="00962312">
          <w:pPr>
            <w:snapToGrid w:val="0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962312" w:rsidRDefault="00962312">
          <w:pPr>
            <w:snapToGrid w:val="0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962312" w:rsidRDefault="00962312">
          <w:pPr>
            <w:snapToGrid w:val="0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962312" w:rsidRDefault="00962312">
          <w:pPr>
            <w:snapToGrid w:val="0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962312" w:rsidRDefault="00962312">
          <w:pPr>
            <w:snapToGrid w:val="0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681" w:type="dxa"/>
          <w:tcBorders>
            <w:left w:val="single" w:sz="4" w:space="0" w:color="000000"/>
          </w:tcBorders>
          <w:vAlign w:val="bottom"/>
        </w:tcPr>
        <w:p w:rsidR="00962312" w:rsidRDefault="00962312">
          <w:pPr>
            <w:snapToGrid w:val="0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962312" w:rsidRDefault="00962312">
          <w:pPr>
            <w:snapToGrid w:val="0"/>
            <w:jc w:val="center"/>
          </w:pPr>
          <w: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962312" w:rsidRDefault="00962312">
          <w:pPr>
            <w:snapToGrid w:val="0"/>
            <w:jc w:val="center"/>
          </w:pPr>
          <w: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962312" w:rsidRDefault="00962312">
          <w:pPr>
            <w:snapToGrid w:val="0"/>
            <w:jc w:val="center"/>
          </w:pPr>
          <w: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962312" w:rsidRDefault="00962312">
          <w:pPr>
            <w:snapToGrid w:val="0"/>
            <w:jc w:val="center"/>
          </w:pPr>
          <w:r>
            <w:t>0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962312" w:rsidRDefault="00962312">
          <w:pPr>
            <w:snapToGrid w:val="0"/>
            <w:jc w:val="center"/>
          </w:pPr>
          <w: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962312" w:rsidRDefault="00962312">
          <w:pPr>
            <w:snapToGrid w:val="0"/>
            <w:jc w:val="center"/>
          </w:pPr>
          <w:r>
            <w:t>4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962312" w:rsidRDefault="00962312">
          <w:pPr>
            <w:snapToGrid w:val="0"/>
            <w:jc w:val="center"/>
          </w:pPr>
          <w:r>
            <w:t>6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962312" w:rsidRDefault="00962312">
          <w:pPr>
            <w:snapToGrid w:val="0"/>
            <w:jc w:val="center"/>
          </w:pPr>
          <w:r>
            <w:t>1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962312" w:rsidRDefault="00962312">
          <w:pPr>
            <w:snapToGrid w:val="0"/>
            <w:jc w:val="center"/>
          </w:pPr>
          <w:r>
            <w:t>2</w:t>
          </w:r>
        </w:p>
      </w:tc>
      <w:tc>
        <w:tcPr>
          <w:tcW w:w="37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962312" w:rsidRDefault="00962312">
          <w:pPr>
            <w:snapToGrid w:val="0"/>
            <w:jc w:val="center"/>
          </w:pPr>
          <w:r>
            <w:t>8</w:t>
          </w:r>
        </w:p>
      </w:tc>
    </w:tr>
  </w:tbl>
  <w:p w:rsidR="00962312" w:rsidRDefault="0096231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/>
        <w:sz w:val="24"/>
        <w:szCs w:val="24"/>
      </w:r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b w:val="0"/>
        <w:bCs w:val="0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0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doNotValidateAgainstSchema/>
  <w:doNotDemarcateInvalidXml/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4546F"/>
    <w:rsid w:val="0004546F"/>
    <w:rsid w:val="000B05CA"/>
    <w:rsid w:val="000E6AC7"/>
    <w:rsid w:val="00332DE9"/>
    <w:rsid w:val="003A799D"/>
    <w:rsid w:val="00404694"/>
    <w:rsid w:val="00512B8B"/>
    <w:rsid w:val="0068516C"/>
    <w:rsid w:val="008F55F4"/>
    <w:rsid w:val="00962312"/>
    <w:rsid w:val="00A766F8"/>
    <w:rsid w:val="00D8503D"/>
    <w:rsid w:val="00E964A7"/>
    <w:rsid w:val="00FF31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5F4"/>
    <w:pPr>
      <w:suppressAutoHyphens/>
    </w:pPr>
    <w:rPr>
      <w:sz w:val="24"/>
      <w:szCs w:val="24"/>
      <w:lang w:eastAsia="ar-SA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8F55F4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1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F55F4"/>
    <w:pPr>
      <w:keepNext/>
      <w:spacing w:after="120"/>
      <w:jc w:val="center"/>
      <w:outlineLvl w:val="1"/>
    </w:pPr>
    <w:rPr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8F55F4"/>
    <w:pPr>
      <w:keepNext/>
      <w:jc w:val="both"/>
      <w:outlineLvl w:val="2"/>
    </w:pPr>
    <w:rPr>
      <w:b/>
      <w:bCs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8F55F4"/>
    <w:pPr>
      <w:keepNext/>
      <w:keepLines/>
      <w:ind w:firstLine="357"/>
      <w:jc w:val="both"/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"/>
    <w:uiPriority w:val="99"/>
    <w:qFormat/>
    <w:rsid w:val="008F55F4"/>
    <w:pPr>
      <w:keepNext/>
      <w:keepLines/>
      <w:ind w:firstLine="360"/>
      <w:jc w:val="both"/>
      <w:outlineLvl w:val="4"/>
    </w:pPr>
    <w:rPr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8F55F4"/>
    <w:pPr>
      <w:keepNext/>
      <w:ind w:left="360"/>
      <w:jc w:val="center"/>
      <w:outlineLvl w:val="5"/>
    </w:pPr>
    <w:rPr>
      <w:rFonts w:ascii="Arial Narrow" w:hAnsi="Arial Narrow" w:cs="Arial Narrow"/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32DE9"/>
    <w:rPr>
      <w:rFonts w:ascii="Cambria" w:hAnsi="Cambria" w:cs="Cambria"/>
      <w:b/>
      <w:bCs/>
      <w:kern w:val="32"/>
      <w:sz w:val="32"/>
      <w:szCs w:val="32"/>
      <w:lang w:eastAsia="ar-SA" w:bidi="ar-SA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32DE9"/>
    <w:rPr>
      <w:rFonts w:ascii="Cambria" w:hAnsi="Cambria" w:cs="Cambria"/>
      <w:b/>
      <w:bCs/>
      <w:i/>
      <w:iCs/>
      <w:sz w:val="28"/>
      <w:szCs w:val="28"/>
      <w:lang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332DE9"/>
    <w:rPr>
      <w:rFonts w:ascii="Cambria" w:hAnsi="Cambria" w:cs="Cambria"/>
      <w:b/>
      <w:bCs/>
      <w:sz w:val="26"/>
      <w:szCs w:val="26"/>
      <w:lang w:eastAsia="ar-SA" w:bidi="ar-SA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332DE9"/>
    <w:rPr>
      <w:rFonts w:ascii="Calibri" w:hAnsi="Calibri" w:cs="Calibri"/>
      <w:b/>
      <w:bCs/>
      <w:sz w:val="28"/>
      <w:szCs w:val="28"/>
      <w:lang w:eastAsia="ar-SA" w:bidi="ar-SA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332DE9"/>
    <w:rPr>
      <w:rFonts w:ascii="Calibri" w:hAnsi="Calibri" w:cs="Calibri"/>
      <w:b/>
      <w:bCs/>
      <w:i/>
      <w:iCs/>
      <w:sz w:val="26"/>
      <w:szCs w:val="26"/>
      <w:lang w:eastAsia="ar-SA" w:bidi="ar-SA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332DE9"/>
    <w:rPr>
      <w:rFonts w:ascii="Calibri" w:hAnsi="Calibri" w:cs="Calibri"/>
      <w:b/>
      <w:bCs/>
      <w:lang w:eastAsia="ar-SA" w:bidi="ar-SA"/>
    </w:rPr>
  </w:style>
  <w:style w:type="character" w:customStyle="1" w:styleId="WW8Num1z0">
    <w:name w:val="WW8Num1z0"/>
    <w:uiPriority w:val="99"/>
    <w:rsid w:val="008F55F4"/>
    <w:rPr>
      <w:rFonts w:ascii="Times New Roman" w:hAnsi="Times New Roman" w:cs="Times New Roman"/>
      <w:b/>
      <w:bCs/>
      <w:sz w:val="24"/>
      <w:szCs w:val="24"/>
    </w:rPr>
  </w:style>
  <w:style w:type="character" w:customStyle="1" w:styleId="WW8Num4z0">
    <w:name w:val="WW8Num4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5z0">
    <w:name w:val="WW8Num5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6z0">
    <w:name w:val="WW8Num6z0"/>
    <w:uiPriority w:val="99"/>
    <w:rsid w:val="008F55F4"/>
  </w:style>
  <w:style w:type="character" w:customStyle="1" w:styleId="WW8Num8z0">
    <w:name w:val="WW8Num8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Absatz-Standardschriftart">
    <w:name w:val="Absatz-Standardschriftart"/>
    <w:uiPriority w:val="99"/>
    <w:rsid w:val="008F55F4"/>
  </w:style>
  <w:style w:type="character" w:customStyle="1" w:styleId="WW-Absatz-Standardschriftart">
    <w:name w:val="WW-Absatz-Standardschriftart"/>
    <w:uiPriority w:val="99"/>
    <w:rsid w:val="008F55F4"/>
  </w:style>
  <w:style w:type="character" w:customStyle="1" w:styleId="WW8Num2z0">
    <w:name w:val="WW8Num2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3z0">
    <w:name w:val="WW8Num3z0"/>
    <w:uiPriority w:val="99"/>
    <w:rsid w:val="008F55F4"/>
    <w:rPr>
      <w:sz w:val="20"/>
      <w:szCs w:val="20"/>
    </w:rPr>
  </w:style>
  <w:style w:type="character" w:customStyle="1" w:styleId="WW8Num10z0">
    <w:name w:val="WW8Num10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4z0">
    <w:name w:val="WW8Num14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6z0">
    <w:name w:val="WW8Num16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19z0">
    <w:name w:val="WW8Num19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20z0">
    <w:name w:val="WW8Num20z0"/>
    <w:uiPriority w:val="99"/>
    <w:rsid w:val="008F55F4"/>
    <w:rPr>
      <w:rFonts w:ascii="Times New Roman" w:hAnsi="Times New Roman" w:cs="Times New Roman"/>
      <w:sz w:val="24"/>
      <w:szCs w:val="24"/>
    </w:rPr>
  </w:style>
  <w:style w:type="character" w:customStyle="1" w:styleId="WW8Num21z0">
    <w:name w:val="WW8Num21z0"/>
    <w:uiPriority w:val="99"/>
    <w:rsid w:val="008F55F4"/>
    <w:rPr>
      <w:rFonts w:ascii="Times New Roman" w:hAnsi="Times New Roman" w:cs="Times New Roman"/>
      <w:b/>
      <w:bCs/>
      <w:sz w:val="24"/>
      <w:szCs w:val="24"/>
    </w:rPr>
  </w:style>
  <w:style w:type="character" w:customStyle="1" w:styleId="Predvolenpsmoodseku">
    <w:name w:val="Predvolené písmo odseku"/>
    <w:uiPriority w:val="99"/>
    <w:rsid w:val="008F55F4"/>
  </w:style>
  <w:style w:type="character" w:customStyle="1" w:styleId="Znakyprepoznmkupodiarou">
    <w:name w:val="Znaky pre poznámku pod čiarou"/>
    <w:uiPriority w:val="99"/>
    <w:rsid w:val="008F55F4"/>
    <w:rPr>
      <w:vertAlign w:val="superscript"/>
    </w:rPr>
  </w:style>
  <w:style w:type="character" w:styleId="PageNumber">
    <w:name w:val="page number"/>
    <w:basedOn w:val="Predvolenpsmoodseku"/>
    <w:uiPriority w:val="99"/>
    <w:rsid w:val="008F55F4"/>
  </w:style>
  <w:style w:type="character" w:customStyle="1" w:styleId="PtaChar">
    <w:name w:val="Päta Char"/>
    <w:uiPriority w:val="99"/>
    <w:rsid w:val="008F55F4"/>
    <w:rPr>
      <w:sz w:val="24"/>
      <w:szCs w:val="24"/>
    </w:rPr>
  </w:style>
  <w:style w:type="character" w:customStyle="1" w:styleId="TextvysvetlivkyChar">
    <w:name w:val="Text vysvetlivky Char"/>
    <w:basedOn w:val="Predvolenpsmoodseku"/>
    <w:uiPriority w:val="99"/>
    <w:rsid w:val="008F55F4"/>
  </w:style>
  <w:style w:type="character" w:customStyle="1" w:styleId="Znakyprevysvetlivky">
    <w:name w:val="Znaky pre vysvetlivky"/>
    <w:uiPriority w:val="99"/>
    <w:rsid w:val="008F55F4"/>
    <w:rPr>
      <w:vertAlign w:val="superscript"/>
    </w:rPr>
  </w:style>
  <w:style w:type="character" w:customStyle="1" w:styleId="HlavikaChar">
    <w:name w:val="Hlavička Char"/>
    <w:uiPriority w:val="99"/>
    <w:rsid w:val="008F55F4"/>
    <w:rPr>
      <w:sz w:val="24"/>
      <w:szCs w:val="24"/>
    </w:rPr>
  </w:style>
  <w:style w:type="character" w:customStyle="1" w:styleId="TextbublinyChar">
    <w:name w:val="Text bubliny Char"/>
    <w:uiPriority w:val="99"/>
    <w:rsid w:val="008F55F4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uiPriority w:val="99"/>
    <w:rsid w:val="008F55F4"/>
  </w:style>
  <w:style w:type="character" w:customStyle="1" w:styleId="tl1Char">
    <w:name w:val="Štýl1 Char"/>
    <w:basedOn w:val="PtaChar"/>
    <w:uiPriority w:val="99"/>
    <w:rsid w:val="008F55F4"/>
  </w:style>
  <w:style w:type="character" w:customStyle="1" w:styleId="ra">
    <w:name w:val="ra"/>
    <w:basedOn w:val="Predvolenpsmoodseku"/>
    <w:uiPriority w:val="99"/>
    <w:rsid w:val="008F55F4"/>
  </w:style>
  <w:style w:type="character" w:customStyle="1" w:styleId="OdsekzoznamuChar">
    <w:name w:val="Odsek zoznamu Char"/>
    <w:uiPriority w:val="99"/>
    <w:rsid w:val="008F55F4"/>
    <w:rPr>
      <w:sz w:val="24"/>
      <w:szCs w:val="24"/>
    </w:rPr>
  </w:style>
  <w:style w:type="paragraph" w:customStyle="1" w:styleId="Nadpis">
    <w:name w:val="Nadpis"/>
    <w:basedOn w:val="Normal"/>
    <w:next w:val="BodyText"/>
    <w:uiPriority w:val="99"/>
    <w:rsid w:val="008F55F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8F55F4"/>
    <w:rPr>
      <w:rFonts w:ascii="Arial" w:hAnsi="Arial" w:cs="Arial"/>
      <w:sz w:val="20"/>
      <w:szCs w:val="20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332DE9"/>
    <w:rPr>
      <w:sz w:val="24"/>
      <w:szCs w:val="24"/>
      <w:lang w:eastAsia="ar-SA" w:bidi="ar-SA"/>
    </w:rPr>
  </w:style>
  <w:style w:type="paragraph" w:styleId="List">
    <w:name w:val="List"/>
    <w:basedOn w:val="BodyText"/>
    <w:uiPriority w:val="99"/>
    <w:rsid w:val="008F55F4"/>
  </w:style>
  <w:style w:type="paragraph" w:customStyle="1" w:styleId="Popisok">
    <w:name w:val="Popisok"/>
    <w:basedOn w:val="Normal"/>
    <w:uiPriority w:val="99"/>
    <w:rsid w:val="008F55F4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uiPriority w:val="99"/>
    <w:rsid w:val="008F55F4"/>
    <w:pPr>
      <w:suppressLineNumbers/>
    </w:pPr>
  </w:style>
  <w:style w:type="paragraph" w:customStyle="1" w:styleId="Zkladntext1">
    <w:name w:val="Základní text1"/>
    <w:uiPriority w:val="99"/>
    <w:rsid w:val="008F55F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FootnoteText">
    <w:name w:val="footnote text"/>
    <w:basedOn w:val="Normal"/>
    <w:link w:val="FootnoteTextChar"/>
    <w:uiPriority w:val="99"/>
    <w:semiHidden/>
    <w:rsid w:val="008F55F4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332DE9"/>
    <w:rPr>
      <w:sz w:val="20"/>
      <w:szCs w:val="20"/>
      <w:lang w:eastAsia="ar-SA" w:bidi="ar-SA"/>
    </w:rPr>
  </w:style>
  <w:style w:type="paragraph" w:styleId="Footer">
    <w:name w:val="footer"/>
    <w:basedOn w:val="Normal"/>
    <w:link w:val="FooterChar"/>
    <w:uiPriority w:val="99"/>
    <w:rsid w:val="008F55F4"/>
    <w:pPr>
      <w:tabs>
        <w:tab w:val="center" w:pos="4536"/>
        <w:tab w:val="right" w:pos="9072"/>
      </w:tabs>
      <w:jc w:val="right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32DE9"/>
    <w:rPr>
      <w:sz w:val="24"/>
      <w:szCs w:val="24"/>
      <w:lang w:eastAsia="ar-SA" w:bidi="ar-SA"/>
    </w:rPr>
  </w:style>
  <w:style w:type="paragraph" w:customStyle="1" w:styleId="Zkladntext2">
    <w:name w:val="Základný text 2"/>
    <w:basedOn w:val="Normal"/>
    <w:uiPriority w:val="99"/>
    <w:rsid w:val="008F55F4"/>
    <w:pPr>
      <w:jc w:val="both"/>
    </w:pPr>
  </w:style>
  <w:style w:type="paragraph" w:styleId="BodyTextIndent">
    <w:name w:val="Body Text Indent"/>
    <w:basedOn w:val="Normal"/>
    <w:link w:val="BodyTextIndentChar"/>
    <w:uiPriority w:val="99"/>
    <w:rsid w:val="008F55F4"/>
    <w:pPr>
      <w:ind w:firstLine="360"/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332DE9"/>
    <w:rPr>
      <w:sz w:val="24"/>
      <w:szCs w:val="24"/>
      <w:lang w:eastAsia="ar-SA" w:bidi="ar-SA"/>
    </w:rPr>
  </w:style>
  <w:style w:type="paragraph" w:customStyle="1" w:styleId="Zarkazkladnhotextu2">
    <w:name w:val="Zarážka základného textu 2"/>
    <w:basedOn w:val="Normal"/>
    <w:uiPriority w:val="99"/>
    <w:rsid w:val="008F55F4"/>
    <w:pPr>
      <w:ind w:firstLine="360"/>
    </w:pPr>
  </w:style>
  <w:style w:type="paragraph" w:customStyle="1" w:styleId="Zkladntext3">
    <w:name w:val="Základný text 3"/>
    <w:basedOn w:val="Normal"/>
    <w:uiPriority w:val="99"/>
    <w:rsid w:val="008F55F4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al"/>
    <w:uiPriority w:val="99"/>
    <w:rsid w:val="008F55F4"/>
    <w:pPr>
      <w:ind w:left="1680" w:right="-468" w:hanging="240"/>
    </w:pPr>
  </w:style>
  <w:style w:type="paragraph" w:customStyle="1" w:styleId="Zarkazkladnhotextu3">
    <w:name w:val="Zarážka základného textu 3"/>
    <w:basedOn w:val="Normal"/>
    <w:uiPriority w:val="99"/>
    <w:rsid w:val="008F55F4"/>
    <w:pPr>
      <w:ind w:right="-468" w:firstLine="720"/>
      <w:jc w:val="both"/>
    </w:pPr>
  </w:style>
  <w:style w:type="paragraph" w:styleId="Header">
    <w:name w:val="header"/>
    <w:basedOn w:val="Normal"/>
    <w:link w:val="HeaderChar"/>
    <w:uiPriority w:val="99"/>
    <w:rsid w:val="008F55F4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32DE9"/>
    <w:rPr>
      <w:sz w:val="24"/>
      <w:szCs w:val="24"/>
      <w:lang w:eastAsia="ar-SA" w:bidi="ar-SA"/>
    </w:rPr>
  </w:style>
  <w:style w:type="paragraph" w:customStyle="1" w:styleId="Odsekzoznamu">
    <w:name w:val="Odsek zoznamu"/>
    <w:basedOn w:val="Normal"/>
    <w:uiPriority w:val="99"/>
    <w:rsid w:val="008F55F4"/>
    <w:pPr>
      <w:ind w:left="708"/>
    </w:pPr>
  </w:style>
  <w:style w:type="paragraph" w:styleId="EndnoteText">
    <w:name w:val="endnote text"/>
    <w:basedOn w:val="Normal"/>
    <w:link w:val="EndnoteTextChar"/>
    <w:uiPriority w:val="99"/>
    <w:semiHidden/>
    <w:rsid w:val="008F55F4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332DE9"/>
    <w:rPr>
      <w:sz w:val="20"/>
      <w:szCs w:val="20"/>
      <w:lang w:eastAsia="ar-SA" w:bidi="ar-SA"/>
    </w:rPr>
  </w:style>
  <w:style w:type="paragraph" w:styleId="BalloonText">
    <w:name w:val="Balloon Text"/>
    <w:basedOn w:val="Normal"/>
    <w:link w:val="BalloonTextChar"/>
    <w:uiPriority w:val="99"/>
    <w:semiHidden/>
    <w:rsid w:val="008F55F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32DE9"/>
    <w:rPr>
      <w:sz w:val="2"/>
      <w:szCs w:val="2"/>
      <w:lang w:eastAsia="ar-SA" w:bidi="ar-SA"/>
    </w:rPr>
  </w:style>
  <w:style w:type="paragraph" w:customStyle="1" w:styleId="tl1">
    <w:name w:val="Štýl1"/>
    <w:basedOn w:val="Footer"/>
    <w:uiPriority w:val="99"/>
    <w:rsid w:val="008F55F4"/>
  </w:style>
  <w:style w:type="paragraph" w:customStyle="1" w:styleId="TopHeader">
    <w:name w:val="Top Header"/>
    <w:basedOn w:val="Normal"/>
    <w:uiPriority w:val="99"/>
    <w:rsid w:val="008F55F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Obsahtabuky">
    <w:name w:val="Obsah tabuľky"/>
    <w:basedOn w:val="Normal"/>
    <w:uiPriority w:val="99"/>
    <w:rsid w:val="008F55F4"/>
    <w:pPr>
      <w:suppressLineNumbers/>
    </w:pPr>
  </w:style>
  <w:style w:type="paragraph" w:customStyle="1" w:styleId="Nadpistabuky">
    <w:name w:val="Nadpis tabuľky"/>
    <w:basedOn w:val="Obsahtabuky"/>
    <w:uiPriority w:val="99"/>
    <w:rsid w:val="008F55F4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5</Pages>
  <Words>1359</Words>
  <Characters>7752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HP</cp:lastModifiedBy>
  <cp:revision>4</cp:revision>
  <cp:lastPrinted>2016-03-16T19:48:00Z</cp:lastPrinted>
  <dcterms:created xsi:type="dcterms:W3CDTF">2021-05-08T11:19:00Z</dcterms:created>
  <dcterms:modified xsi:type="dcterms:W3CDTF">2023-03-11T11:22:00Z</dcterms:modified>
</cp:coreProperties>
</file>