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7C" w:rsidRDefault="00CA717C" w:rsidP="00BD376F">
      <w:pPr>
        <w:pStyle w:val="ListParagraph"/>
        <w:ind w:left="426" w:hanging="426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Rok : 2022</w:t>
      </w:r>
    </w:p>
    <w:p w:rsidR="00CA717C" w:rsidRDefault="00CA717C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717C" w:rsidRDefault="00CA717C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 xml:space="preserve">Článok I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CA717C" w:rsidRDefault="00CA717C" w:rsidP="00BD376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osoby: R&amp;S Bratislava, spol. s r.o.        </w:t>
      </w:r>
    </w:p>
    <w:p w:rsidR="00CA717C" w:rsidRPr="00B77972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A717C" w:rsidRPr="00BD376F" w:rsidRDefault="00CA717C" w:rsidP="00BD376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bookmarkStart w:id="0" w:name="Text20"/>
      <w:r>
        <w:rPr>
          <w:rFonts w:ascii="Cambria" w:hAnsi="Cambria" w:cs="Arial"/>
        </w:rPr>
        <w:t xml:space="preserve"> </w:t>
      </w:r>
      <w:r w:rsidRPr="00BD376F">
        <w:rPr>
          <w:rFonts w:ascii="Cambria" w:hAnsi="Cambria" w:cs="Arial"/>
          <w:b/>
          <w:bCs/>
        </w:rPr>
        <w:t>Polianky č.5, 841 01 Bratislava</w:t>
      </w:r>
      <w:bookmarkEnd w:id="0"/>
    </w:p>
    <w:p w:rsidR="00CA717C" w:rsidRPr="00BD376F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BD376F">
        <w:rPr>
          <w:rFonts w:ascii="Cambria" w:hAnsi="Cambria" w:cs="Arial"/>
          <w:b/>
          <w:bCs/>
          <w:i/>
        </w:rPr>
        <w:t xml:space="preserve">        </w:t>
      </w:r>
    </w:p>
    <w:p w:rsidR="00CA717C" w:rsidRPr="00B701A9" w:rsidRDefault="00CA717C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CA717C" w:rsidRPr="00D367A8" w:rsidRDefault="00CA717C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717C" w:rsidRDefault="00CA717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CA717C" w:rsidRPr="00395156" w:rsidRDefault="00CA717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A405A5" w:rsidRDefault="00CA717C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Pr="00A405A5">
        <w:rPr>
          <w:rFonts w:ascii="Cambria" w:hAnsi="Cambria" w:cs="Arial"/>
          <w:sz w:val="20"/>
          <w:szCs w:val="20"/>
        </w:rPr>
        <w:t>:</w:t>
      </w:r>
    </w:p>
    <w:p w:rsidR="00CA717C" w:rsidRPr="00A405A5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A717C" w:rsidRPr="00A405A5" w:rsidRDefault="00CA717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A717C" w:rsidRDefault="00CA717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A717C" w:rsidRPr="00A405A5" w:rsidRDefault="00CA717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A717C" w:rsidRDefault="00CA717C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A717C" w:rsidRPr="00FC7A70" w:rsidRDefault="00CA717C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>
        <w:rPr>
          <w:rFonts w:ascii="Cambria" w:hAnsi="Cambria" w:cs="Arial"/>
          <w:sz w:val="20"/>
          <w:szCs w:val="20"/>
        </w:rPr>
        <w:t>účtovná jednotka  materskou účtovnou jednotkou</w:t>
      </w:r>
      <w:r w:rsidRPr="00FC7A70">
        <w:rPr>
          <w:rFonts w:ascii="Cambria" w:hAnsi="Cambria" w:cs="Arial"/>
          <w:b/>
          <w:sz w:val="20"/>
          <w:szCs w:val="20"/>
        </w:rPr>
        <w:t xml:space="preserve">: </w:t>
      </w:r>
      <w:r>
        <w:rPr>
          <w:rFonts w:ascii="Cambria" w:hAnsi="Cambria" w:cs="Arial"/>
          <w:b/>
          <w:color w:val="00B050"/>
          <w:sz w:val="20"/>
          <w:szCs w:val="20"/>
        </w:rPr>
        <w:t>vyberte</w:t>
      </w:r>
    </w:p>
    <w:p w:rsidR="00CA717C" w:rsidRPr="00FC7A70" w:rsidRDefault="00CA717C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="Cambria" w:hAnsi="Cambria" w:cs="Arial"/>
          <w:sz w:val="20"/>
          <w:szCs w:val="20"/>
        </w:rPr>
        <w:t>konsolidovanú výročnú správu podľa § 22 zákona o účtovníctve a to:</w:t>
      </w:r>
    </w:p>
    <w:p w:rsidR="00CA717C" w:rsidRPr="0042025A" w:rsidRDefault="00CA717C" w:rsidP="006F3E72">
      <w:pPr>
        <w:pStyle w:val="ListParagraph"/>
        <w:spacing w:after="0" w:line="240" w:lineRule="auto"/>
        <w:ind w:left="851"/>
        <w:jc w:val="both"/>
        <w:rPr>
          <w:rFonts w:ascii="Cambria" w:hAnsi="Cambria" w:cs="Arial"/>
          <w:sz w:val="20"/>
          <w:szCs w:val="20"/>
        </w:rPr>
      </w:pPr>
    </w:p>
    <w:p w:rsidR="00CA717C" w:rsidRPr="0042025A" w:rsidRDefault="00CA717C" w:rsidP="0042025A">
      <w:pPr>
        <w:pStyle w:val="NoSpacing"/>
        <w:ind w:left="426"/>
        <w:jc w:val="both"/>
        <w:rPr>
          <w:rFonts w:ascii="Cambria" w:hAnsi="Cambria" w:cs="Arial"/>
          <w:sz w:val="20"/>
          <w:szCs w:val="20"/>
        </w:rPr>
      </w:pPr>
      <w:r w:rsidRPr="0042025A">
        <w:rPr>
          <w:rFonts w:ascii="MS Mincho" w:eastAsia="MS Mincho" w:hAnsi="MS Mincho" w:cs="MS Mincho" w:hint="eastAsia"/>
          <w:b/>
          <w:sz w:val="20"/>
          <w:szCs w:val="20"/>
        </w:rPr>
        <w:t>☐</w:t>
      </w:r>
      <w:r w:rsidRPr="0042025A">
        <w:rPr>
          <w:rFonts w:ascii="Cambria" w:hAnsi="Cambria" w:cs="Arial"/>
          <w:b/>
          <w:sz w:val="20"/>
          <w:szCs w:val="20"/>
        </w:rPr>
        <w:tab/>
      </w:r>
      <w:r w:rsidRPr="0042025A">
        <w:rPr>
          <w:rFonts w:ascii="Cambria" w:hAnsi="Cambria" w:cs="Arial"/>
          <w:sz w:val="20"/>
          <w:szCs w:val="20"/>
        </w:rPr>
        <w:t>v zmysle § 22 ods. 8 ZoÚ (oslobodenie od konsolidácie na medzistupni):</w:t>
      </w:r>
    </w:p>
    <w:p w:rsidR="00CA717C" w:rsidRPr="00A405A5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CA717C" w:rsidRPr="00A405A5" w:rsidRDefault="00CA717C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CA717C" w:rsidRPr="00A405A5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717C" w:rsidRPr="00A405A5" w:rsidRDefault="00CA717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A717C" w:rsidRPr="00A405A5" w:rsidRDefault="00CA717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A717C" w:rsidRPr="00A405A5" w:rsidRDefault="00CA717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A717C" w:rsidRPr="00041CBE" w:rsidRDefault="00CA717C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 w:rsidRPr="00A405A5">
        <w:rPr>
          <w:rFonts w:ascii="MS Mincho" w:eastAsia="MS Mincho" w:hAnsi="MS Mincho" w:cs="MS Mincho" w:hint="eastAsia"/>
          <w:b/>
        </w:rPr>
        <w:t>☐</w:t>
      </w:r>
      <w:r w:rsidRPr="00A405A5">
        <w:rPr>
          <w:rFonts w:ascii="Cambria" w:hAnsi="Cambria" w:cs="Arial"/>
          <w:b/>
        </w:rPr>
        <w:tab/>
      </w:r>
      <w:r w:rsidRPr="00A405A5">
        <w:rPr>
          <w:rFonts w:ascii="Cambria" w:hAnsi="Cambria" w:cs="Arial"/>
          <w:sz w:val="20"/>
          <w:szCs w:val="20"/>
        </w:rPr>
        <w:t>v zmysle § 22 ods. 10 a 12 ZoÚ (oslobodenie pri nevýznamnosti dcérskych spoločností</w:t>
      </w:r>
      <w:r>
        <w:rPr>
          <w:rFonts w:ascii="Cambria" w:hAnsi="Cambria" w:cs="Arial"/>
          <w:sz w:val="20"/>
          <w:szCs w:val="20"/>
        </w:rPr>
        <w:t>, uvedených v prehľade</w:t>
      </w:r>
      <w:r w:rsidRPr="00A405A5">
        <w:rPr>
          <w:rFonts w:ascii="Cambria" w:hAnsi="Cambria" w:cs="Arial"/>
          <w:sz w:val="20"/>
          <w:szCs w:val="20"/>
        </w:rPr>
        <w:t>):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CA717C" w:rsidRDefault="00CA717C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5103"/>
      </w:tblGrid>
      <w:tr w:rsidR="00CA717C" w:rsidRPr="009926AC">
        <w:tc>
          <w:tcPr>
            <w:tcW w:w="9072" w:type="dxa"/>
            <w:gridSpan w:val="2"/>
            <w:vAlign w:val="center"/>
          </w:tcPr>
          <w:p w:rsidR="00CA717C" w:rsidRPr="009926AC" w:rsidRDefault="00CA717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A717C" w:rsidRPr="009926AC">
        <w:tc>
          <w:tcPr>
            <w:tcW w:w="3969" w:type="dxa"/>
            <w:vAlign w:val="center"/>
          </w:tcPr>
          <w:p w:rsidR="00CA717C" w:rsidRPr="009926AC" w:rsidRDefault="00CA717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A717C" w:rsidRPr="009926AC" w:rsidRDefault="00CA717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A717C" w:rsidRPr="009926AC">
        <w:tc>
          <w:tcPr>
            <w:tcW w:w="3969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</w:tr>
      <w:tr w:rsidR="00CA717C" w:rsidRPr="009926AC">
        <w:tc>
          <w:tcPr>
            <w:tcW w:w="3969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c>
          <w:tcPr>
            <w:tcW w:w="3969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c>
          <w:tcPr>
            <w:tcW w:w="3969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c>
          <w:tcPr>
            <w:tcW w:w="3969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c>
          <w:tcPr>
            <w:tcW w:w="3969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A717C" w:rsidRPr="009926AC" w:rsidRDefault="00CA717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717C" w:rsidRDefault="00CA717C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717C" w:rsidRDefault="00CA717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717C" w:rsidRDefault="00CA717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717C" w:rsidRDefault="00CA717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717C" w:rsidRPr="004C53A2" w:rsidRDefault="00CA717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A717C" w:rsidRPr="00395156" w:rsidRDefault="00CA717C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CA717C" w:rsidRPr="00A405A5" w:rsidRDefault="00CA717C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CA717C" w:rsidRPr="009926AC">
        <w:tc>
          <w:tcPr>
            <w:tcW w:w="425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A717C" w:rsidRPr="009926AC" w:rsidRDefault="00CA717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A717C" w:rsidRPr="009926AC">
        <w:trPr>
          <w:trHeight w:val="378"/>
        </w:trPr>
        <w:tc>
          <w:tcPr>
            <w:tcW w:w="425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                       </w:t>
            </w:r>
          </w:p>
        </w:tc>
        <w:tc>
          <w:tcPr>
            <w:tcW w:w="238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</w:t>
            </w:r>
          </w:p>
        </w:tc>
      </w:tr>
    </w:tbl>
    <w:p w:rsidR="00CA717C" w:rsidRPr="00B47D63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1 Informácia o splnení predpokladu nepretržitého pokračovania činnosti účtovnej jednotky: </w:t>
      </w: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9916FF" w:rsidRDefault="00CA717C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9916FF">
        <w:rPr>
          <w:rFonts w:ascii="Cambria" w:hAnsi="Cambria" w:cs="Arial"/>
        </w:rPr>
        <w:t xml:space="preserve">Účtovná jednotka bude nepretržite pokračovať vo svojej činnosti: </w:t>
      </w:r>
      <w:r w:rsidRPr="009916FF">
        <w:rPr>
          <w:rFonts w:ascii="Cambria" w:hAnsi="Cambria" w:cs="Arial"/>
          <w:color w:val="00B050"/>
        </w:rPr>
        <w:t>vyberte</w:t>
      </w:r>
    </w:p>
    <w:p w:rsidR="00CA717C" w:rsidRPr="003466F3" w:rsidRDefault="00CA717C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717C" w:rsidRPr="003466F3" w:rsidRDefault="00CA717C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CA717C" w:rsidRDefault="00CA717C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Pr="00E023FE" w:rsidRDefault="00CA717C" w:rsidP="009916FF">
      <w:pPr>
        <w:spacing w:line="240" w:lineRule="auto"/>
        <w:jc w:val="both"/>
        <w:rPr>
          <w:rFonts w:ascii="Cambria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2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  <w:r>
        <w:rPr>
          <w:rFonts w:ascii="Cambria" w:eastAsia="MS Gothic" w:hAnsi="Cambria" w:cs="Arial"/>
          <w:b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CA717C" w:rsidRPr="009926AC"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40"/>
        </w:trPr>
        <w:tc>
          <w:tcPr>
            <w:tcW w:w="0" w:type="auto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717C" w:rsidRPr="006E5C50" w:rsidRDefault="00CA717C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II. 3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CA717C" w:rsidRPr="00B47D63" w:rsidRDefault="00CA717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717C" w:rsidRPr="00B47D63" w:rsidRDefault="00CA717C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CA717C" w:rsidRPr="009926AC">
        <w:trPr>
          <w:trHeight w:val="397"/>
        </w:trPr>
        <w:tc>
          <w:tcPr>
            <w:tcW w:w="219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CA717C" w:rsidRPr="009926AC">
        <w:trPr>
          <w:trHeight w:val="397"/>
        </w:trPr>
        <w:tc>
          <w:tcPr>
            <w:tcW w:w="2195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195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195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195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195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717C" w:rsidRPr="00B47D63" w:rsidRDefault="00CA717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 xml:space="preserve"> 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zostavený účtovnou jednotkou </w:t>
      </w:r>
      <w:r w:rsidRPr="00B47D63">
        <w:rPr>
          <w:rFonts w:ascii="Cambria" w:eastAsia="MS Gothic" w:hAnsi="Cambria" w:cs="Arial"/>
          <w:sz w:val="20"/>
          <w:szCs w:val="20"/>
        </w:rPr>
        <w:t>vychádza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z predpokladanej doby použiteľnosti dlhodobého nehmotného majetku </w:t>
      </w:r>
      <w:r>
        <w:rPr>
          <w:rFonts w:ascii="Cambria" w:eastAsia="MS Gothic" w:hAnsi="Cambria" w:cs="Arial"/>
          <w:sz w:val="20"/>
          <w:szCs w:val="20"/>
        </w:rPr>
        <w:t>a/</w:t>
      </w:r>
      <w:r w:rsidRPr="00B47D63">
        <w:rPr>
          <w:rFonts w:ascii="Cambria" w:eastAsia="MS Gothic" w:hAnsi="Cambria" w:cs="Arial"/>
          <w:sz w:val="20"/>
          <w:szCs w:val="20"/>
        </w:rPr>
        <w:t>alebo iných objektívnych predpokladov</w:t>
      </w:r>
      <w:r>
        <w:rPr>
          <w:rFonts w:ascii="Cambria" w:eastAsia="MS Gothic" w:hAnsi="Cambria" w:cs="Arial"/>
          <w:sz w:val="20"/>
          <w:szCs w:val="20"/>
        </w:rPr>
        <w:t xml:space="preserve"> (uviesť)</w:t>
      </w:r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fldChar w:fldCharType="begin"/>
      </w:r>
      <w:r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>
        <w:rPr>
          <w:rFonts w:ascii="Cambria" w:eastAsia="MS Gothic" w:hAnsi="Cambria" w:cs="Arial"/>
          <w:b/>
          <w:sz w:val="20"/>
          <w:szCs w:val="20"/>
        </w:rPr>
        <w:fldChar w:fldCharType="separate"/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>Odpisový plán bol ovplyvnený týmito rozhodnutiami:</w:t>
      </w: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sz w:val="20"/>
          <w:szCs w:val="20"/>
        </w:rPr>
        <w:fldChar w:fldCharType="end"/>
      </w: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zostav</w:t>
      </w:r>
      <w:r>
        <w:rPr>
          <w:rFonts w:ascii="Cambria" w:eastAsia="MS Gothic" w:hAnsi="Cambria" w:cs="Arial"/>
          <w:sz w:val="20"/>
          <w:szCs w:val="20"/>
        </w:rPr>
        <w:t xml:space="preserve">ený účtovnou jednotkou </w:t>
      </w:r>
      <w:r w:rsidRPr="00B47D63">
        <w:rPr>
          <w:rFonts w:ascii="Cambria" w:eastAsia="MS Gothic" w:hAnsi="Cambria" w:cs="Arial"/>
          <w:sz w:val="20"/>
          <w:szCs w:val="20"/>
        </w:rPr>
        <w:t>interným predpisom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vychádzal z predpokladaného opotrebenia zaraďovaného majetku zodpovedajúceho </w:t>
      </w:r>
      <w:r>
        <w:rPr>
          <w:rFonts w:ascii="Cambria" w:eastAsia="MS Gothic" w:hAnsi="Cambria" w:cs="Arial"/>
          <w:sz w:val="20"/>
          <w:szCs w:val="20"/>
        </w:rPr>
        <w:t>miere opotrebenia v bežných podmienkach</w:t>
      </w:r>
      <w:r w:rsidRPr="00B47D63">
        <w:rPr>
          <w:rFonts w:ascii="Cambria" w:eastAsia="MS Gothic" w:hAnsi="Cambria" w:cs="Arial"/>
          <w:sz w:val="20"/>
          <w:szCs w:val="20"/>
        </w:rPr>
        <w:t xml:space="preserve"> jeho používania. Odpisové sadzby pre účtovné a daňové odpisy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b/>
          <w:sz w:val="20"/>
          <w:szCs w:val="20"/>
        </w:rPr>
        <w:t>sa nerovnajú</w:t>
      </w:r>
      <w:r w:rsidRPr="00B47D63">
        <w:rPr>
          <w:rFonts w:ascii="Cambria" w:eastAsia="MS Gothic" w:hAnsi="Cambria" w:cs="Arial"/>
          <w:sz w:val="20"/>
          <w:szCs w:val="20"/>
        </w:rPr>
        <w:t>.</w:t>
      </w:r>
    </w:p>
    <w:p w:rsidR="00CA717C" w:rsidRPr="00B47D63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</w:rPr>
      </w:pP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bol </w:t>
      </w:r>
      <w:r w:rsidRPr="00B47D63">
        <w:rPr>
          <w:rFonts w:ascii="Cambria" w:eastAsia="MS Gothic" w:hAnsi="Cambria" w:cs="Arial"/>
          <w:sz w:val="20"/>
          <w:szCs w:val="20"/>
        </w:rPr>
        <w:t>zostav</w:t>
      </w:r>
      <w:r>
        <w:rPr>
          <w:rFonts w:ascii="Cambria" w:eastAsia="MS Gothic" w:hAnsi="Cambria" w:cs="Arial"/>
          <w:sz w:val="20"/>
          <w:szCs w:val="20"/>
        </w:rPr>
        <w:t>ený účtovnou jednotkou</w:t>
      </w:r>
      <w:r w:rsidRPr="00B47D63">
        <w:rPr>
          <w:rFonts w:ascii="Cambria" w:eastAsia="MS Gothic" w:hAnsi="Cambria" w:cs="Arial"/>
          <w:sz w:val="20"/>
          <w:szCs w:val="20"/>
        </w:rPr>
        <w:t xml:space="preserve"> interným predpisom tak, že za základ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3526D8">
        <w:rPr>
          <w:rFonts w:ascii="Cambria" w:eastAsia="MS Gothic" w:hAnsi="Cambria" w:cs="Arial"/>
          <w:sz w:val="20"/>
          <w:szCs w:val="20"/>
        </w:rPr>
        <w:t>odhadu miery opotrebenia 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="Cambria" w:eastAsia="MS Gothic" w:hAnsi="Cambria" w:cs="Arial"/>
          <w:b/>
          <w:sz w:val="20"/>
          <w:szCs w:val="20"/>
        </w:rPr>
        <w:t>sa rovnajú</w:t>
      </w:r>
      <w:r w:rsidRPr="00B47D63">
        <w:rPr>
          <w:rFonts w:ascii="Cambria" w:eastAsia="MS Gothic" w:hAnsi="Cambria" w:cs="Arial"/>
          <w:sz w:val="20"/>
          <w:szCs w:val="20"/>
        </w:rPr>
        <w:t xml:space="preserve">. Ročný účtovný odpis sa </w:t>
      </w:r>
      <w:r>
        <w:rPr>
          <w:rFonts w:ascii="Cambria" w:eastAsia="MS Gothic" w:hAnsi="Cambria" w:cs="Arial"/>
          <w:sz w:val="20"/>
          <w:szCs w:val="20"/>
        </w:rPr>
        <w:t>môže odlišovať</w:t>
      </w:r>
      <w:r w:rsidRPr="00B47D63">
        <w:rPr>
          <w:rFonts w:ascii="Cambria" w:eastAsia="MS Gothic" w:hAnsi="Cambria" w:cs="Arial"/>
          <w:sz w:val="20"/>
          <w:szCs w:val="20"/>
        </w:rPr>
        <w:t xml:space="preserve"> od daňového podľa počtu mesiacov od zaradenia </w:t>
      </w:r>
      <w:r>
        <w:rPr>
          <w:rFonts w:ascii="Cambria" w:eastAsia="MS Gothic" w:hAnsi="Cambria" w:cs="Arial"/>
          <w:sz w:val="20"/>
          <w:szCs w:val="20"/>
        </w:rPr>
        <w:t xml:space="preserve">majetku </w:t>
      </w:r>
      <w:r w:rsidRPr="00B47D63">
        <w:rPr>
          <w:rFonts w:ascii="Cambria" w:eastAsia="MS Gothic" w:hAnsi="Cambria" w:cs="Arial"/>
          <w:sz w:val="20"/>
          <w:szCs w:val="20"/>
        </w:rPr>
        <w:t>do konca roka.</w:t>
      </w: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Default="00CA717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k tvorbe odpisového plánu: </w:t>
      </w: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507AE7" w:rsidRDefault="00CA717C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4  </w:t>
      </w:r>
      <w:r w:rsidRPr="00507AE7">
        <w:rPr>
          <w:rFonts w:ascii="Cambria" w:hAnsi="Cambria" w:cs="Arial"/>
          <w:b/>
        </w:rPr>
        <w:t>Zmeny účtovných zásad a metód:</w:t>
      </w:r>
    </w:p>
    <w:p w:rsidR="00CA717C" w:rsidRDefault="00CA717C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A717C" w:rsidRPr="009E0212" w:rsidRDefault="00CA717C" w:rsidP="009E0212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A717C" w:rsidRPr="00A1752A" w:rsidRDefault="00CA717C" w:rsidP="003D440E">
      <w:pPr>
        <w:spacing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:rsidR="00CA717C" w:rsidRPr="00B47D63" w:rsidRDefault="00CA717C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Účtovné metódy a zásady boli aplikované v rámci platného ZoÚ</w:t>
      </w:r>
      <w:r>
        <w:rPr>
          <w:rFonts w:ascii="Cambria" w:hAnsi="Cambria" w:cs="Arial"/>
          <w:sz w:val="20"/>
          <w:szCs w:val="20"/>
        </w:rPr>
        <w:t xml:space="preserve">, </w:t>
      </w:r>
      <w:r w:rsidRPr="00B47D63">
        <w:rPr>
          <w:rFonts w:ascii="Cambria" w:hAnsi="Cambria" w:cs="Arial"/>
          <w:sz w:val="20"/>
          <w:szCs w:val="20"/>
        </w:rPr>
        <w:t xml:space="preserve"> s</w:t>
      </w:r>
      <w:r>
        <w:rPr>
          <w:rFonts w:ascii="Cambria" w:hAnsi="Cambria" w:cs="Arial"/>
          <w:sz w:val="20"/>
          <w:szCs w:val="20"/>
        </w:rPr>
        <w:t xml:space="preserve"> nasledovnými </w:t>
      </w:r>
      <w:r w:rsidRPr="00B47D63">
        <w:rPr>
          <w:rFonts w:ascii="Cambria" w:hAnsi="Cambria" w:cs="Arial"/>
          <w:sz w:val="20"/>
          <w:szCs w:val="20"/>
        </w:rPr>
        <w:t xml:space="preserve">osobitosťami: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977"/>
        <w:gridCol w:w="3203"/>
      </w:tblGrid>
      <w:tr w:rsidR="00CA717C" w:rsidRPr="009926AC">
        <w:tc>
          <w:tcPr>
            <w:tcW w:w="283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zmeny zásady</w:t>
            </w:r>
          </w:p>
          <w:p w:rsidR="00CA717C" w:rsidRPr="009926AC" w:rsidRDefault="00CA717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A717C" w:rsidRPr="009926AC">
        <w:trPr>
          <w:trHeight w:val="397"/>
        </w:trPr>
        <w:tc>
          <w:tcPr>
            <w:tcW w:w="2835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397"/>
        </w:trPr>
        <w:tc>
          <w:tcPr>
            <w:tcW w:w="2835" w:type="dxa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397"/>
        </w:trPr>
        <w:tc>
          <w:tcPr>
            <w:tcW w:w="2835" w:type="dxa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397"/>
        </w:trPr>
        <w:tc>
          <w:tcPr>
            <w:tcW w:w="2835" w:type="dxa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397"/>
        </w:trPr>
        <w:tc>
          <w:tcPr>
            <w:tcW w:w="2835" w:type="dxa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397"/>
        </w:trPr>
        <w:tc>
          <w:tcPr>
            <w:tcW w:w="2835" w:type="dxa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A717C" w:rsidRPr="00B47D63" w:rsidRDefault="00CA717C" w:rsidP="003D440E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A717C" w:rsidRDefault="00CA717C" w:rsidP="003D440E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FA30A7" w:rsidRDefault="00CA717C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 5</w:t>
      </w:r>
      <w:r w:rsidRPr="00FA30A7">
        <w:rPr>
          <w:rFonts w:ascii="Cambria" w:hAnsi="Cambria" w:cs="Arial"/>
          <w:b/>
        </w:rPr>
        <w:t xml:space="preserve"> Dotácie poskytnuté na obstaranie majetku:</w:t>
      </w:r>
      <w:r>
        <w:rPr>
          <w:rFonts w:ascii="Cambria" w:hAnsi="Cambria" w:cs="Arial"/>
          <w:b/>
        </w:rPr>
        <w:t xml:space="preserve"> neboli </w:t>
      </w:r>
    </w:p>
    <w:p w:rsidR="00CA717C" w:rsidRPr="00B47D63" w:rsidRDefault="00CA717C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A717C" w:rsidRPr="009926AC">
        <w:trPr>
          <w:trHeight w:val="394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Výška dotácie</w:t>
            </w:r>
          </w:p>
        </w:tc>
      </w:tr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717C" w:rsidRDefault="00CA717C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B47D63" w:rsidRDefault="00CA717C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8B2DBA" w:rsidRDefault="00CA717C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6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CA717C" w:rsidRPr="00B47D63" w:rsidRDefault="00CA717C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A717C" w:rsidRPr="009926AC">
        <w:trPr>
          <w:trHeight w:val="397"/>
        </w:trPr>
        <w:tc>
          <w:tcPr>
            <w:tcW w:w="2962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A717C" w:rsidRDefault="00CA717C" w:rsidP="00E136FB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Default="00CA717C" w:rsidP="006449B1">
      <w:pPr>
        <w:spacing w:after="0" w:line="240" w:lineRule="auto"/>
        <w:jc w:val="both"/>
        <w:rPr>
          <w:rFonts w:ascii="Cambria" w:hAnsi="Cambria" w:cs="Arial"/>
          <w:b/>
        </w:rPr>
      </w:pPr>
    </w:p>
    <w:p w:rsidR="00CA717C" w:rsidRPr="009916FF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– Informácie, ktoré vysvetľujú a dopĺňajú súvahu a výkaz ziskov a strát</w:t>
      </w:r>
    </w:p>
    <w:p w:rsidR="00CA717C" w:rsidRPr="00C42283" w:rsidRDefault="00CA71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A717C" w:rsidRPr="00C42283" w:rsidRDefault="00CA717C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 xml:space="preserve">III. 1 Informácie o sume a dôvodoch vzniku jednotlivých položiek nákladov alebo </w:t>
      </w:r>
      <w:r w:rsidRPr="00C42283">
        <w:rPr>
          <w:rFonts w:ascii="Cambria" w:eastAsia="MS Gothic" w:hAnsi="Cambria"/>
          <w:b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CA717C" w:rsidRPr="009926AC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</w:t>
            </w:r>
          </w:p>
        </w:tc>
      </w:tr>
      <w:tr w:rsidR="00CA717C" w:rsidRPr="009926AC">
        <w:tc>
          <w:tcPr>
            <w:tcW w:w="3672" w:type="dxa"/>
            <w:tcBorders>
              <w:top w:val="single" w:sz="12" w:space="0" w:color="auto"/>
            </w:tcBorders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</w:t>
            </w:r>
            <w:r>
              <w:rPr>
                <w:rFonts w:ascii="Cambria" w:eastAsia="MS Gothic" w:hAnsi="Cambria"/>
                <w:b/>
                <w:sz w:val="20"/>
                <w:szCs w:val="20"/>
              </w:rPr>
              <w:t xml:space="preserve">     </w:t>
            </w: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    </w:t>
            </w:r>
          </w:p>
        </w:tc>
      </w:tr>
      <w:tr w:rsidR="00CA717C" w:rsidRPr="009926AC">
        <w:tc>
          <w:tcPr>
            <w:tcW w:w="3672" w:type="dxa"/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A717C" w:rsidRPr="00D91F35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CA717C" w:rsidRPr="009926AC">
        <w:tc>
          <w:tcPr>
            <w:tcW w:w="3672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717C" w:rsidRPr="009926AC">
        <w:tc>
          <w:tcPr>
            <w:tcW w:w="3672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717C" w:rsidRPr="009926AC">
        <w:tc>
          <w:tcPr>
            <w:tcW w:w="3672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A717C" w:rsidRPr="009926AC">
        <w:tc>
          <w:tcPr>
            <w:tcW w:w="3672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</w:tbl>
    <w:p w:rsidR="00CA717C" w:rsidRDefault="00CA717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 xml:space="preserve">III. 2 </w:t>
      </w:r>
      <w:r>
        <w:rPr>
          <w:rFonts w:ascii="Cambria" w:eastAsia="MS Gothic" w:hAnsi="Cambria"/>
          <w:b/>
        </w:rPr>
        <w:t>Informácie o záväzkoch</w:t>
      </w:r>
    </w:p>
    <w:p w:rsidR="00CA717C" w:rsidRPr="00291DE9" w:rsidRDefault="00CA717C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291DE9">
        <w:rPr>
          <w:rFonts w:ascii="Cambria" w:eastAsia="MS Gothic" w:hAnsi="Cambria"/>
          <w:b/>
        </w:rPr>
        <w:t>III. 2 a) Záväzky so zostatkovou dobou splatnosti dlhšou ako päť rokov: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32.041,66 €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  28.238,60 €</w:t>
            </w:r>
          </w:p>
        </w:tc>
      </w:tr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32.041,66 €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  28.238,60 €</w:t>
            </w:r>
          </w:p>
        </w:tc>
      </w:tr>
      <w:tr w:rsidR="00CA717C" w:rsidRPr="009926AC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Default="00CA717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6F58E4" w:rsidRDefault="00CA717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6F58E4" w:rsidRDefault="00CA717C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2 b) </w:t>
      </w:r>
      <w:r w:rsidRPr="006F58E4">
        <w:rPr>
          <w:rFonts w:ascii="Cambria" w:eastAsia="MS Gothic" w:hAnsi="Cambria"/>
          <w:b/>
        </w:rPr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CA717C" w:rsidRPr="009926AC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CA717C" w:rsidRPr="009926AC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CA717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Default="00CA717C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3D04F2" w:rsidRDefault="00CA717C" w:rsidP="003D04F2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6449B1">
        <w:rPr>
          <w:rFonts w:ascii="Cambria" w:eastAsia="MS Gothic" w:hAnsi="Cambria"/>
          <w:b/>
        </w:rPr>
        <w:t>I</w:t>
      </w:r>
      <w:r>
        <w:rPr>
          <w:rFonts w:ascii="Cambria" w:eastAsia="MS Gothic" w:hAnsi="Cambria"/>
          <w:b/>
        </w:rPr>
        <w:t>II</w:t>
      </w:r>
      <w:r w:rsidRPr="006449B1">
        <w:rPr>
          <w:rFonts w:ascii="Cambria" w:eastAsia="MS Gothic" w:hAnsi="Cambria"/>
          <w:b/>
        </w:rPr>
        <w:t xml:space="preserve">. 3 </w:t>
      </w:r>
      <w:r w:rsidRPr="00684432">
        <w:rPr>
          <w:rFonts w:ascii="Cambria" w:eastAsia="MS Gothic" w:hAnsi="Cambria" w:cs="Arial"/>
          <w:b/>
        </w:rPr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CA717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</w:tr>
      <w:tr w:rsidR="00CA717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konci účtovného obdobia</w:t>
            </w:r>
          </w:p>
        </w:tc>
      </w:tr>
      <w:tr w:rsidR="00CA717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Pr="00B47D63" w:rsidRDefault="00CA717C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Ďalšie dôležité informácie o vlastných akciách:</w:t>
      </w:r>
    </w:p>
    <w:p w:rsidR="00CA717C" w:rsidRPr="00B47D63" w:rsidRDefault="00CA717C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B854F9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4 Informácia o tvorbe kapitálového fondu z príspevkov:</w:t>
      </w:r>
    </w:p>
    <w:p w:rsidR="00CA717C" w:rsidRPr="00B854F9" w:rsidRDefault="00CA717C" w:rsidP="006449B1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B854F9">
        <w:rPr>
          <w:rFonts w:ascii="Cambria" w:eastAsia="MS Gothic" w:hAnsi="Cambria"/>
          <w:b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</w:t>
      </w:r>
      <w:r>
        <w:rPr>
          <w:rFonts w:ascii="Cambria" w:eastAsia="MS Gothic" w:hAnsi="Cambria"/>
        </w:rPr>
        <w:t>(v znení neskorších predpisov)</w:t>
      </w: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i/>
          <w:sz w:val="20"/>
          <w:szCs w:val="20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CA717C" w:rsidRPr="00950934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5 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CA717C" w:rsidRPr="009926AC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CA717C" w:rsidRPr="009926AC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</w:tr>
      <w:tr w:rsidR="00CA717C" w:rsidRPr="009926AC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950934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5</w:t>
      </w:r>
      <w:r>
        <w:rPr>
          <w:rFonts w:ascii="Cambria" w:eastAsia="MS Gothic" w:hAnsi="Cambria"/>
          <w:b/>
        </w:rPr>
        <w:t xml:space="preserve"> c</w:t>
      </w:r>
      <w:r w:rsidRPr="00950934">
        <w:rPr>
          <w:rFonts w:ascii="Cambria" w:eastAsia="MS Gothic" w:hAnsi="Cambria"/>
          <w:b/>
        </w:rPr>
        <w:t xml:space="preserve">) Hlavné podmienky, na základe ktorých boli záruky alebo iné zabezpečenia </w:t>
      </w:r>
      <w:r w:rsidRPr="00950934">
        <w:rPr>
          <w:rFonts w:ascii="Cambria" w:eastAsia="MS Gothic" w:hAnsi="Cambria"/>
          <w:b/>
        </w:rPr>
        <w:tab/>
        <w:t>poskytnuté (pri pôžičkách sa uvádzajú úrokové sadzby):</w:t>
      </w:r>
    </w:p>
    <w:p w:rsidR="00CA717C" w:rsidRPr="00B47D63" w:rsidRDefault="00CA717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950934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a)</w:t>
      </w:r>
      <w:r w:rsidRPr="00950934">
        <w:rPr>
          <w:rFonts w:ascii="Cambria" w:eastAsia="MS Gothic" w:hAnsi="Cambria"/>
          <w:b/>
        </w:rPr>
        <w:t xml:space="preserve"> 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CA717C" w:rsidRPr="009926AC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a ÚJ s podstatným vplyvom</w:t>
            </w:r>
          </w:p>
        </w:tc>
      </w:tr>
      <w:tr w:rsidR="00CA717C" w:rsidRPr="009926AC">
        <w:tc>
          <w:tcPr>
            <w:tcW w:w="3823" w:type="dxa"/>
            <w:tcBorders>
              <w:top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82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82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823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Pr="00950934" w:rsidRDefault="00CA717C" w:rsidP="006449B1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Opis významných finančných povinností:</w:t>
      </w: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CA717C" w:rsidRPr="009926AC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Bežné účtovné obdobie</w:t>
            </w:r>
          </w:p>
        </w:tc>
      </w:tr>
      <w:tr w:rsidR="00CA717C" w:rsidRPr="009926AC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17C" w:rsidRPr="009926AC" w:rsidRDefault="00CA717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              a ÚJ s podstatným vplyvom</w:t>
            </w:r>
          </w:p>
        </w:tc>
      </w:tr>
      <w:tr w:rsidR="00CA717C" w:rsidRPr="009926AC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A717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717C" w:rsidRPr="009926AC" w:rsidRDefault="00CA717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A717C" w:rsidRPr="00F52202" w:rsidRDefault="00CA717C" w:rsidP="006449B1">
      <w:pPr>
        <w:spacing w:before="120" w:after="0" w:line="240" w:lineRule="auto"/>
        <w:jc w:val="both"/>
        <w:rPr>
          <w:rFonts w:ascii="Cambria" w:hAnsi="Cambria"/>
          <w:b/>
          <w:bCs/>
          <w:color w:val="000000"/>
          <w:lang w:eastAsia="sk-SK"/>
        </w:rPr>
      </w:pPr>
      <w:r w:rsidRPr="00F52202">
        <w:rPr>
          <w:rFonts w:ascii="Cambria" w:hAnsi="Cambria"/>
          <w:b/>
          <w:bCs/>
          <w:color w:val="000000"/>
          <w:lang w:eastAsia="sk-SK"/>
        </w:rPr>
        <w:t>Opis významných podmienených záväzkov:</w:t>
      </w: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</w:t>
      </w: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 e)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  <w:t>programov pre zamestnancov:</w:t>
      </w:r>
    </w:p>
    <w:p w:rsidR="00CA717C" w:rsidRPr="00B47D63" w:rsidRDefault="00CA717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A717C" w:rsidRPr="00F52202" w:rsidRDefault="00CA717C" w:rsidP="006449B1">
      <w:pPr>
        <w:spacing w:line="240" w:lineRule="auto"/>
        <w:jc w:val="both"/>
        <w:rPr>
          <w:rFonts w:ascii="Cambria" w:eastAsia="MS Gothic" w:hAnsi="Cambria"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7  Informácie</w:t>
      </w:r>
      <w:bookmarkStart w:id="1" w:name="_GoBack"/>
      <w:bookmarkEnd w:id="1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 w:rsidRPr="00F52202">
        <w:rPr>
          <w:rFonts w:ascii="Cambria" w:eastAsia="MS Gothic" w:hAnsi="Cambria"/>
          <w:b/>
        </w:rPr>
        <w:tab/>
        <w:t xml:space="preserve">právo poskytovať služby vo verejnom záujme (uvádza sa aj náhrada za túto </w:t>
      </w:r>
      <w:r w:rsidRPr="00F52202">
        <w:rPr>
          <w:rFonts w:ascii="Cambria" w:eastAsia="MS Gothic" w:hAnsi="Cambria"/>
          <w:b/>
        </w:rPr>
        <w:tab/>
        <w:t>činnosť v akejkoľvek forme):</w:t>
      </w:r>
    </w:p>
    <w:p w:rsidR="00CA717C" w:rsidRPr="00B47D63" w:rsidRDefault="00CA717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A717C" w:rsidRDefault="00CA717C" w:rsidP="005D2D0F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A717C" w:rsidRPr="00C23DFB" w:rsidRDefault="00CA717C" w:rsidP="00D25417">
      <w:pPr>
        <w:spacing w:before="24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Bratislava, 13.03.2023</w:t>
      </w:r>
      <w:r>
        <w:rPr>
          <w:rFonts w:ascii="Cambria" w:eastAsia="MS Gothic" w:hAnsi="Cambria" w:cs="Arial"/>
          <w:i/>
          <w:sz w:val="20"/>
          <w:szCs w:val="20"/>
        </w:rPr>
        <w:tab/>
      </w:r>
    </w:p>
    <w:sectPr w:rsidR="00CA717C" w:rsidRPr="00C23DFB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17C" w:rsidRDefault="00CA717C" w:rsidP="00F0301D">
      <w:pPr>
        <w:spacing w:after="0" w:line="240" w:lineRule="auto"/>
      </w:pPr>
      <w:r>
        <w:separator/>
      </w:r>
    </w:p>
  </w:endnote>
  <w:endnote w:type="continuationSeparator" w:id="0">
    <w:p w:rsidR="00CA717C" w:rsidRDefault="00CA71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7C" w:rsidRPr="00143D5B" w:rsidRDefault="00CA717C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5</w:t>
    </w:r>
    <w:r w:rsidRPr="00143D5B">
      <w:rPr>
        <w:rFonts w:ascii="Cambria" w:hAnsi="Cambria"/>
      </w:rPr>
      <w:fldChar w:fldCharType="end"/>
    </w:r>
  </w:p>
  <w:p w:rsidR="00CA717C" w:rsidRDefault="00CA71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17C" w:rsidRDefault="00CA717C" w:rsidP="00F0301D">
      <w:pPr>
        <w:spacing w:after="0" w:line="240" w:lineRule="auto"/>
      </w:pPr>
      <w:r>
        <w:separator/>
      </w:r>
    </w:p>
  </w:footnote>
  <w:footnote w:type="continuationSeparator" w:id="0">
    <w:p w:rsidR="00CA717C" w:rsidRDefault="00CA71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7C" w:rsidRDefault="00CA717C" w:rsidP="008A44F5">
    <w:pPr>
      <w:pStyle w:val="Header"/>
      <w:rPr>
        <w:rFonts w:ascii="Cambria" w:hAnsi="Cambria"/>
      </w:rPr>
    </w:pPr>
  </w:p>
  <w:p w:rsidR="00CA717C" w:rsidRPr="006A6ED1" w:rsidRDefault="00CA717C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5.25pt;height:70.05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CA717C" w:rsidRDefault="00CA717C" w:rsidP="00212D72">
    <w:pPr>
      <w:pStyle w:val="Header"/>
      <w:rPr>
        <w:rFonts w:ascii="Cambria" w:hAnsi="Cambria"/>
      </w:rPr>
    </w:pPr>
  </w:p>
  <w:p w:rsidR="00CA717C" w:rsidRDefault="00CA717C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A717C" w:rsidRPr="009926AC">
      <w:trPr>
        <w:trHeight w:val="340"/>
        <w:jc w:val="right"/>
      </w:trPr>
      <w:tc>
        <w:tcPr>
          <w:tcW w:w="62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A717C" w:rsidRPr="009926AC" w:rsidRDefault="00CA717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CA717C" w:rsidRDefault="00CA717C" w:rsidP="00212D72">
    <w:pPr>
      <w:pStyle w:val="Header"/>
      <w:rPr>
        <w:rFonts w:ascii="Cambria" w:hAnsi="Cambria"/>
      </w:rPr>
    </w:pPr>
  </w:p>
  <w:p w:rsidR="00CA717C" w:rsidRPr="00132CC6" w:rsidRDefault="00CA717C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F0F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79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5BF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1AC5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165E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3F64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94B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583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7BAF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43D2"/>
    <w:rsid w:val="00585D32"/>
    <w:rsid w:val="00586295"/>
    <w:rsid w:val="005902BB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53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160F"/>
    <w:rsid w:val="00693FDA"/>
    <w:rsid w:val="00694961"/>
    <w:rsid w:val="006A1DD4"/>
    <w:rsid w:val="006A235C"/>
    <w:rsid w:val="006A6ED1"/>
    <w:rsid w:val="006A6F83"/>
    <w:rsid w:val="006A7164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6AC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212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13D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688"/>
    <w:rsid w:val="00BA3B93"/>
    <w:rsid w:val="00BA3DFB"/>
    <w:rsid w:val="00BA4963"/>
    <w:rsid w:val="00BA4FA6"/>
    <w:rsid w:val="00BA6F78"/>
    <w:rsid w:val="00BB0F36"/>
    <w:rsid w:val="00BB1892"/>
    <w:rsid w:val="00BB2958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376F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697E"/>
    <w:rsid w:val="00C9322E"/>
    <w:rsid w:val="00C93DC7"/>
    <w:rsid w:val="00C947A3"/>
    <w:rsid w:val="00C977EC"/>
    <w:rsid w:val="00CA533A"/>
    <w:rsid w:val="00CA60B1"/>
    <w:rsid w:val="00CA717C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3FC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5417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1F35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1D24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AB2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8</Pages>
  <Words>1297</Words>
  <Characters>7394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Eva Macháčová</cp:lastModifiedBy>
  <cp:revision>10</cp:revision>
  <cp:lastPrinted>2018-01-31T17:17:00Z</cp:lastPrinted>
  <dcterms:created xsi:type="dcterms:W3CDTF">2021-05-27T09:04:00Z</dcterms:created>
  <dcterms:modified xsi:type="dcterms:W3CDTF">2023-03-13T09:33:00Z</dcterms:modified>
</cp:coreProperties>
</file>