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31.12.2022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ILIOS s.r.o.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</w:t>
      </w:r>
      <w:r>
        <w:rPr>
          <w:rFonts w:ascii="Courier New" w:hAnsi="Courier New" w:cs="Courier New"/>
        </w:rPr>
        <w:t>je o konsolidovanom celku: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</w:t>
      </w:r>
      <w:r w:rsidR="00226DFD">
        <w:rPr>
          <w:rFonts w:ascii="Courier New" w:hAnsi="Courier New" w:cs="Courier New"/>
          <w:b/>
          <w:bCs/>
        </w:rPr>
        <w:t xml:space="preserve">244,00 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>eur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1 2 4 2 1 0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8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ILIOS s.r.o.   Komenského 265/30  Komárno</w:t>
      </w:r>
      <w:r>
        <w:rPr>
          <w:rFonts w:ascii="Courier New" w:hAnsi="Courier New" w:cs="Courier New"/>
        </w:rPr>
        <w:t xml:space="preserve">            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190564" w:rsidRDefault="0019056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190564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26DFD"/>
    <w:rsid w:val="00190564"/>
    <w:rsid w:val="0022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1394</Words>
  <Characters>7947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2023-03-15T12:04:00Z</dcterms:created>
  <dcterms:modified xsi:type="dcterms:W3CDTF">2023-03-15T12:04:00Z</dcterms:modified>
</cp:coreProperties>
</file>