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58614" w14:textId="77777777" w:rsidR="00C41C67" w:rsidRDefault="00000000">
      <w:pPr>
        <w:pStyle w:val="Nadpis1"/>
        <w:ind w:left="-5"/>
      </w:pPr>
      <w:r>
        <w:t xml:space="preserve">I. VŠEOBECNÉ  ÚDAJE </w:t>
      </w:r>
    </w:p>
    <w:p w14:paraId="1AD5A035" w14:textId="77777777" w:rsidR="00C41C67" w:rsidRDefault="00000000">
      <w:pPr>
        <w:pStyle w:val="Nadpis2"/>
        <w:ind w:left="-5"/>
      </w:pPr>
      <w:r>
        <w:t>1.</w:t>
      </w:r>
      <w:r>
        <w:rPr>
          <w:rFonts w:ascii="Arial CE" w:eastAsia="Arial CE" w:hAnsi="Arial CE" w:cs="Arial CE"/>
        </w:rPr>
        <w:t xml:space="preserve"> </w:t>
      </w:r>
      <w:r>
        <w:t xml:space="preserve">Obchodné meno a sídlo spoločnosti </w:t>
      </w:r>
    </w:p>
    <w:p w14:paraId="106FDD29" w14:textId="77777777" w:rsidR="00C41C67" w:rsidRDefault="00000000">
      <w:pPr>
        <w:tabs>
          <w:tab w:val="center" w:pos="970"/>
          <w:tab w:val="center" w:pos="2946"/>
        </w:tabs>
        <w:spacing w:after="53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Obchodné meno: </w:t>
      </w:r>
      <w:r>
        <w:tab/>
      </w:r>
      <w:proofErr w:type="spellStart"/>
      <w:r>
        <w:t>Interdicta</w:t>
      </w:r>
      <w:proofErr w:type="spellEnd"/>
      <w:r>
        <w:t xml:space="preserve"> </w:t>
      </w:r>
      <w:proofErr w:type="spellStart"/>
      <w:r>
        <w:t>s.r.o</w:t>
      </w:r>
      <w:proofErr w:type="spellEnd"/>
      <w:r>
        <w:t xml:space="preserve">. </w:t>
      </w:r>
    </w:p>
    <w:p w14:paraId="2E842172" w14:textId="77777777" w:rsidR="00C41C67" w:rsidRDefault="00000000">
      <w:pPr>
        <w:tabs>
          <w:tab w:val="center" w:pos="522"/>
          <w:tab w:val="center" w:pos="3031"/>
        </w:tabs>
        <w:spacing w:after="33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Sídlo: </w:t>
      </w:r>
      <w:r>
        <w:tab/>
        <w:t xml:space="preserve">Bielocerkevská 4 </w:t>
      </w:r>
    </w:p>
    <w:p w14:paraId="1E03EB0E" w14:textId="77777777" w:rsidR="00C41C67" w:rsidRDefault="00000000">
      <w:pPr>
        <w:tabs>
          <w:tab w:val="center" w:pos="283"/>
          <w:tab w:val="center" w:pos="291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040 22 Košice </w:t>
      </w:r>
    </w:p>
    <w:p w14:paraId="175D4D5B" w14:textId="77777777" w:rsidR="00C41C67" w:rsidRDefault="00000000">
      <w:pPr>
        <w:spacing w:after="53" w:line="259" w:lineRule="auto"/>
        <w:ind w:left="283" w:firstLine="0"/>
        <w:jc w:val="left"/>
      </w:pPr>
      <w:r>
        <w:t xml:space="preserve"> </w:t>
      </w:r>
    </w:p>
    <w:p w14:paraId="716D6AA8" w14:textId="77777777" w:rsidR="00C41C67" w:rsidRDefault="00000000">
      <w:pPr>
        <w:ind w:left="295" w:right="57"/>
      </w:pPr>
      <w:r>
        <w:t xml:space="preserve">Spoločnosť </w:t>
      </w:r>
      <w:proofErr w:type="spellStart"/>
      <w:r>
        <w:t>Interdicta</w:t>
      </w:r>
      <w:proofErr w:type="spellEnd"/>
      <w:r>
        <w:t xml:space="preserve"> </w:t>
      </w:r>
      <w:proofErr w:type="spellStart"/>
      <w:r>
        <w:t>s.r.o</w:t>
      </w:r>
      <w:proofErr w:type="spellEnd"/>
      <w:r>
        <w:t xml:space="preserve">. vznikla zápisom do obchodného registra Okresného súdu Prešov dňa 12.10.2011 pod číslom  Odd. </w:t>
      </w:r>
      <w:proofErr w:type="spellStart"/>
      <w:r>
        <w:t>Sro</w:t>
      </w:r>
      <w:proofErr w:type="spellEnd"/>
      <w:r>
        <w:t xml:space="preserve">, vložka číslo 25016/P. Dňom 24.08.2012 spoločnosť zmenila svoje sídlo. </w:t>
      </w:r>
    </w:p>
    <w:p w14:paraId="0DA19DA1" w14:textId="77777777" w:rsidR="00C41C67" w:rsidRDefault="00000000">
      <w:pPr>
        <w:spacing w:after="254" w:line="259" w:lineRule="auto"/>
        <w:ind w:left="283" w:firstLine="0"/>
        <w:jc w:val="left"/>
      </w:pPr>
      <w:r>
        <w:t xml:space="preserve"> </w:t>
      </w:r>
    </w:p>
    <w:p w14:paraId="0C28E0DD" w14:textId="77777777" w:rsidR="00C41C67" w:rsidRDefault="00000000">
      <w:pPr>
        <w:pStyle w:val="Nadpis2"/>
        <w:spacing w:after="230"/>
        <w:ind w:left="-5"/>
      </w:pPr>
      <w:r>
        <w:t>2.</w:t>
      </w:r>
      <w:r>
        <w:rPr>
          <w:rFonts w:ascii="Arial CE" w:eastAsia="Arial CE" w:hAnsi="Arial CE" w:cs="Arial CE"/>
        </w:rPr>
        <w:t xml:space="preserve"> </w:t>
      </w:r>
      <w:r>
        <w:t xml:space="preserve">Údaje o konsolidovanom celku </w:t>
      </w:r>
    </w:p>
    <w:p w14:paraId="17473AAE" w14:textId="77777777" w:rsidR="00C41C67" w:rsidRDefault="00000000">
      <w:pPr>
        <w:numPr>
          <w:ilvl w:val="0"/>
          <w:numId w:val="1"/>
        </w:numPr>
        <w:spacing w:after="76" w:line="259" w:lineRule="auto"/>
        <w:ind w:hanging="283"/>
        <w:jc w:val="left"/>
      </w:pPr>
      <w:r>
        <w:rPr>
          <w:b/>
        </w:rPr>
        <w:t xml:space="preserve">Obchodné meno a sídlo konsolidujúcej účtovnej jednotky, ktorá zostavuje konsolidovanú účtovnú závierku, ktorej súčasťou je aj účtovná jednotka </w:t>
      </w:r>
    </w:p>
    <w:p w14:paraId="22A2E820" w14:textId="77777777" w:rsidR="00C41C67" w:rsidRDefault="00000000">
      <w:pPr>
        <w:spacing w:after="233"/>
        <w:ind w:left="610" w:right="57"/>
      </w:pPr>
      <w:r>
        <w:t xml:space="preserve">Materskou účtovnou jednotkou je </w:t>
      </w:r>
      <w:proofErr w:type="spellStart"/>
      <w:r>
        <w:t>ProDynamic</w:t>
      </w:r>
      <w:proofErr w:type="spellEnd"/>
      <w:r>
        <w:t xml:space="preserve"> </w:t>
      </w:r>
      <w:proofErr w:type="spellStart"/>
      <w:r>
        <w:t>s.r.o</w:t>
      </w:r>
      <w:proofErr w:type="spellEnd"/>
      <w:r>
        <w:t xml:space="preserve">., Belehradská 14, 04023 Košice. Účtovnej jednotke nevzniká povinnosť konsolidácie. </w:t>
      </w:r>
    </w:p>
    <w:p w14:paraId="5EAFCEF7" w14:textId="77777777" w:rsidR="00C41C67" w:rsidRDefault="00000000">
      <w:pPr>
        <w:numPr>
          <w:ilvl w:val="0"/>
          <w:numId w:val="1"/>
        </w:numPr>
        <w:spacing w:after="76" w:line="259" w:lineRule="auto"/>
        <w:ind w:hanging="283"/>
        <w:jc w:val="left"/>
      </w:pPr>
      <w:r>
        <w:rPr>
          <w:b/>
        </w:rPr>
        <w:t xml:space="preserve">Postavenie účtovnej jednotky v konsolidovanom celku  </w:t>
      </w:r>
    </w:p>
    <w:p w14:paraId="19A3D48A" w14:textId="77777777" w:rsidR="00C41C67" w:rsidRDefault="00000000">
      <w:pPr>
        <w:spacing w:after="279"/>
        <w:ind w:left="610" w:right="57"/>
      </w:pPr>
      <w:r>
        <w:t xml:space="preserve">Účtovná jednotka  je dcérskou spoločnosťou </w:t>
      </w:r>
      <w:proofErr w:type="spellStart"/>
      <w:r>
        <w:t>ProDynamic</w:t>
      </w:r>
      <w:proofErr w:type="spellEnd"/>
      <w:r>
        <w:t xml:space="preserve"> </w:t>
      </w:r>
      <w:proofErr w:type="spellStart"/>
      <w:r>
        <w:t>s.r.o</w:t>
      </w:r>
      <w:proofErr w:type="spellEnd"/>
      <w:r>
        <w:t xml:space="preserve">.. </w:t>
      </w:r>
    </w:p>
    <w:p w14:paraId="3D1D80CF" w14:textId="77777777" w:rsidR="00C41C67" w:rsidRDefault="00000000">
      <w:pPr>
        <w:spacing w:after="104" w:line="270" w:lineRule="auto"/>
        <w:ind w:left="-5"/>
        <w:jc w:val="left"/>
      </w:pPr>
      <w:r>
        <w:rPr>
          <w:b/>
          <w:sz w:val="22"/>
        </w:rPr>
        <w:t>3.</w:t>
      </w:r>
      <w:r>
        <w:rPr>
          <w:rFonts w:ascii="Arial CE" w:eastAsia="Arial CE" w:hAnsi="Arial CE" w:cs="Arial CE"/>
          <w:b/>
          <w:sz w:val="22"/>
        </w:rPr>
        <w:t xml:space="preserve"> </w:t>
      </w:r>
      <w:r>
        <w:rPr>
          <w:b/>
          <w:sz w:val="22"/>
        </w:rPr>
        <w:t xml:space="preserve">Priemerný počet zamestnancov počas účtovného obdobia </w:t>
      </w:r>
    </w:p>
    <w:p w14:paraId="2FE35466" w14:textId="77777777" w:rsidR="00C41C67" w:rsidRDefault="00000000">
      <w:pPr>
        <w:spacing w:after="269"/>
        <w:ind w:left="295" w:right="57"/>
      </w:pPr>
      <w:r>
        <w:t xml:space="preserve">Účtovná jednotka počas účtovného obdobia nezamestnávala  zamestnancov.  </w:t>
      </w:r>
    </w:p>
    <w:p w14:paraId="3F29A6AB" w14:textId="77777777" w:rsidR="00C41C67" w:rsidRDefault="00000000">
      <w:pPr>
        <w:pStyle w:val="Nadpis1"/>
        <w:ind w:left="-5"/>
      </w:pPr>
      <w:r>
        <w:t xml:space="preserve">II. INFORMÁCIE O PRIJATÝCH POSTUPOCH   </w:t>
      </w:r>
    </w:p>
    <w:p w14:paraId="3BEBD140" w14:textId="77777777" w:rsidR="00C41C67" w:rsidRDefault="00000000">
      <w:pPr>
        <w:pStyle w:val="Nadpis2"/>
        <w:spacing w:after="66"/>
        <w:ind w:left="-5"/>
      </w:pPr>
      <w:r>
        <w:t>1.</w:t>
      </w:r>
      <w:r>
        <w:rPr>
          <w:rFonts w:ascii="Arial CE" w:eastAsia="Arial CE" w:hAnsi="Arial CE" w:cs="Arial CE"/>
        </w:rPr>
        <w:t xml:space="preserve"> </w:t>
      </w:r>
      <w:r>
        <w:t xml:space="preserve">Východiská pre zostavenie účtovnej závierky </w:t>
      </w:r>
    </w:p>
    <w:p w14:paraId="60C76A00" w14:textId="77777777" w:rsidR="00C41C67" w:rsidRDefault="00000000">
      <w:pPr>
        <w:ind w:left="295" w:right="57"/>
      </w:pPr>
      <w:r>
        <w:t xml:space="preserve">Účtovná závierka bola vypracovaná v súlade so zákonom  č. 431/2002 </w:t>
      </w:r>
      <w:proofErr w:type="spellStart"/>
      <w:r>
        <w:t>Z.z</w:t>
      </w:r>
      <w:proofErr w:type="spellEnd"/>
      <w:r>
        <w:t xml:space="preserve">. o účtovníctve a Opatrením MF SR č. 23054/2002-92 v znení neskorších zmien, ktorým sa ustanovujú podrobnosti o postupoch účtovania a rámcovej účtovej osnove pre podnikateľov. Funkčnou menou pre vykazovanie je euro. </w:t>
      </w:r>
    </w:p>
    <w:p w14:paraId="5D3A7577" w14:textId="77777777" w:rsidR="00C41C67" w:rsidRDefault="00000000">
      <w:pPr>
        <w:ind w:left="295" w:right="57"/>
      </w:pPr>
      <w:r>
        <w:t xml:space="preserve">Táto účtovná závierka bola vypracovaná na základe historických cien a za predpokladu nepretržitého trvania účtovnej jednotky. Nie je predpoklad, že spoločnosť bude realizovať svoje aktíva, záväzky a dohody v rámci riadneho chodu svojej činnosti v budúcnosti .Spoločnosť v účtovnom období  nevykonávala žiadnu činnosť. </w:t>
      </w:r>
    </w:p>
    <w:p w14:paraId="26B92C8D" w14:textId="77777777" w:rsidR="00C41C67" w:rsidRDefault="00000000">
      <w:pPr>
        <w:spacing w:after="58" w:line="259" w:lineRule="auto"/>
        <w:ind w:left="283" w:firstLine="0"/>
        <w:jc w:val="left"/>
      </w:pPr>
      <w:r>
        <w:t xml:space="preserve"> </w:t>
      </w:r>
    </w:p>
    <w:p w14:paraId="28EEDA4A" w14:textId="77777777" w:rsidR="00C41C67" w:rsidRDefault="00000000">
      <w:pPr>
        <w:spacing w:after="250"/>
        <w:ind w:left="295" w:right="57"/>
      </w:pPr>
      <w:r>
        <w:t xml:space="preserve"> Spôsob oceňovania jednotlivých položiek majetku a záväzkov </w:t>
      </w:r>
    </w:p>
    <w:p w14:paraId="6E392425" w14:textId="77777777" w:rsidR="00C41C67" w:rsidRDefault="00000000">
      <w:pPr>
        <w:spacing w:after="41" w:line="259" w:lineRule="auto"/>
        <w:ind w:left="295"/>
        <w:jc w:val="left"/>
      </w:pPr>
      <w:r>
        <w:rPr>
          <w:b/>
        </w:rPr>
        <w:t>a)</w:t>
      </w:r>
      <w:r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Dlhodobý nehmotný majetok,  dlhodobý hmotný majetok a dlhodobý finančný majetok </w:t>
      </w:r>
    </w:p>
    <w:p w14:paraId="212C826D" w14:textId="77777777" w:rsidR="00C41C67" w:rsidRDefault="00000000">
      <w:pPr>
        <w:spacing w:after="46"/>
        <w:ind w:left="295" w:right="57"/>
      </w:pPr>
      <w:r>
        <w:t xml:space="preserve">Dlhodobý nehmotný a hmotný majetok  sa vykazuje v obstarávacích cenách mínus oprávky a straty zo zníženia hodnoty (opravné položky). Obstarávacia cena zahrňuje cenu obstarania a náklady súvisiace s obstaraním (clo, dovoznú prirážku, prepravu, montáž  a pod.)..  </w:t>
      </w:r>
    </w:p>
    <w:p w14:paraId="43944120" w14:textId="77777777" w:rsidR="00C41C67" w:rsidRDefault="00000000">
      <w:pPr>
        <w:spacing w:after="43"/>
        <w:ind w:left="295" w:right="57"/>
      </w:pPr>
      <w:r>
        <w:t xml:space="preserve">Dlhodobý nehmotný a hmotný majetok vytvorený vlastnou činnosťou sa oceňuje vlastnými nákladmi.  Cenné papiere a podiely (okrem cenných papierov na obchodovanie) sa oceňujú obstarávacími cenami, vrátane nákladov súvisiacich s obstaraním. </w:t>
      </w:r>
    </w:p>
    <w:p w14:paraId="299344F0" w14:textId="77777777" w:rsidR="00C41C67" w:rsidRDefault="00000000">
      <w:pPr>
        <w:spacing w:line="400" w:lineRule="auto"/>
        <w:ind w:left="295" w:right="57"/>
      </w:pPr>
      <w:r>
        <w:t xml:space="preserve">Zníženie hodnoty dlhodobého nehmotného, dlhodobého hmotného majetku a dlhodobého finančného majetku sa ku dňu, ku ktorému sa zostavuje účtovná závierka vyjadruje prostredníctvom opravnej položky. </w:t>
      </w:r>
      <w:r>
        <w:rPr>
          <w:b/>
        </w:rPr>
        <w:t>b)</w:t>
      </w:r>
      <w:r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Zásoby  </w:t>
      </w:r>
    </w:p>
    <w:p w14:paraId="11C87CA3" w14:textId="77777777" w:rsidR="00C41C67" w:rsidRDefault="00000000">
      <w:pPr>
        <w:ind w:left="295" w:right="57"/>
      </w:pPr>
      <w:r>
        <w:t xml:space="preserve">Zásoby sa oceňujú nižšou z nasledujúcich hodnôt: obstarávacou cenou (nakupované zásoby) alebo vlastnými nákladmi (zásoby vytvorené vlastnou činnosťou) alebo čistou realizačnou hodnotou. </w:t>
      </w:r>
    </w:p>
    <w:p w14:paraId="53623DB3" w14:textId="77777777" w:rsidR="00C41C67" w:rsidRDefault="00000000">
      <w:pPr>
        <w:spacing w:after="47"/>
        <w:ind w:left="295" w:right="57"/>
      </w:pPr>
      <w:r>
        <w:lastRenderedPageBreak/>
        <w:t xml:space="preserve">Nakupované zásoby sa oceňujú obstarávacou cenou, ktorá zahŕňa cenu zásob a náklady súvisiace s obstaraním (clo, prepravu, poistné, provízie, skonto a pod.). Úroky z cudzích zdrojov nie sú súčasťou obstarávacej ceny. Zásoby obstarané zámenou sa oceňujú reálnou hodnotu.  </w:t>
      </w:r>
    </w:p>
    <w:p w14:paraId="7AE5D69D" w14:textId="77777777" w:rsidR="00C41C67" w:rsidRDefault="00000000">
      <w:pPr>
        <w:ind w:left="10" w:right="57"/>
      </w:pPr>
      <w:r>
        <w:t xml:space="preserve">       Zásoby vlastnej výroby sa oceňujú na úrovni  vlastných  nákladov. Vlastné náklady zahŕňajú priame náklady      </w:t>
      </w:r>
    </w:p>
    <w:p w14:paraId="5E673607" w14:textId="77777777" w:rsidR="00C41C67" w:rsidRDefault="00000000">
      <w:pPr>
        <w:spacing w:after="52" w:line="259" w:lineRule="auto"/>
        <w:ind w:left="0" w:firstLine="0"/>
        <w:jc w:val="left"/>
      </w:pPr>
      <w:r>
        <w:rPr>
          <w:rFonts w:ascii="Arial CE" w:eastAsia="Arial CE" w:hAnsi="Arial CE" w:cs="Arial CE"/>
          <w:i/>
          <w:sz w:val="16"/>
        </w:rPr>
        <w:t xml:space="preserve"> </w:t>
      </w:r>
    </w:p>
    <w:p w14:paraId="38908116" w14:textId="77777777" w:rsidR="00C41C67" w:rsidRDefault="00000000">
      <w:pPr>
        <w:tabs>
          <w:tab w:val="center" w:pos="4674"/>
          <w:tab w:val="center" w:pos="6983"/>
          <w:tab w:val="center" w:pos="7223"/>
          <w:tab w:val="center" w:pos="7466"/>
          <w:tab w:val="center" w:pos="7718"/>
          <w:tab w:val="center" w:pos="8001"/>
          <w:tab w:val="center" w:pos="8285"/>
          <w:tab w:val="center" w:pos="8570"/>
          <w:tab w:val="center" w:pos="8853"/>
        </w:tabs>
        <w:spacing w:after="36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 CE" w:eastAsia="Arial CE" w:hAnsi="Arial CE" w:cs="Arial CE"/>
          <w:i/>
          <w:sz w:val="16"/>
        </w:rPr>
        <w:t xml:space="preserve">                                                            IČO:            </w:t>
      </w:r>
      <w:r>
        <w:rPr>
          <w:rFonts w:ascii="Arial CE" w:eastAsia="Arial CE" w:hAnsi="Arial CE" w:cs="Arial CE"/>
          <w:i/>
          <w:sz w:val="16"/>
        </w:rPr>
        <w:tab/>
        <w:t xml:space="preserve">4 </w:t>
      </w:r>
      <w:r>
        <w:rPr>
          <w:rFonts w:ascii="Arial CE" w:eastAsia="Arial CE" w:hAnsi="Arial CE" w:cs="Arial CE"/>
          <w:i/>
          <w:sz w:val="16"/>
        </w:rPr>
        <w:tab/>
        <w:t xml:space="preserve">6 </w:t>
      </w:r>
      <w:r>
        <w:rPr>
          <w:rFonts w:ascii="Arial CE" w:eastAsia="Arial CE" w:hAnsi="Arial CE" w:cs="Arial CE"/>
          <w:i/>
          <w:sz w:val="16"/>
        </w:rPr>
        <w:tab/>
        <w:t xml:space="preserve">3 </w:t>
      </w:r>
      <w:r>
        <w:rPr>
          <w:rFonts w:ascii="Arial CE" w:eastAsia="Arial CE" w:hAnsi="Arial CE" w:cs="Arial CE"/>
          <w:i/>
          <w:sz w:val="16"/>
        </w:rPr>
        <w:tab/>
        <w:t xml:space="preserve">3 </w:t>
      </w:r>
      <w:r>
        <w:rPr>
          <w:rFonts w:ascii="Arial CE" w:eastAsia="Arial CE" w:hAnsi="Arial CE" w:cs="Arial CE"/>
          <w:i/>
          <w:sz w:val="16"/>
        </w:rPr>
        <w:tab/>
        <w:t xml:space="preserve">5 </w:t>
      </w:r>
      <w:r>
        <w:rPr>
          <w:rFonts w:ascii="Arial CE" w:eastAsia="Arial CE" w:hAnsi="Arial CE" w:cs="Arial CE"/>
          <w:i/>
          <w:sz w:val="16"/>
        </w:rPr>
        <w:tab/>
        <w:t xml:space="preserve">8 </w:t>
      </w:r>
      <w:r>
        <w:rPr>
          <w:rFonts w:ascii="Arial CE" w:eastAsia="Arial CE" w:hAnsi="Arial CE" w:cs="Arial CE"/>
          <w:i/>
          <w:sz w:val="16"/>
        </w:rPr>
        <w:tab/>
        <w:t xml:space="preserve">8 </w:t>
      </w:r>
      <w:r>
        <w:rPr>
          <w:rFonts w:ascii="Arial CE" w:eastAsia="Arial CE" w:hAnsi="Arial CE" w:cs="Arial CE"/>
          <w:i/>
          <w:sz w:val="16"/>
        </w:rPr>
        <w:tab/>
        <w:t xml:space="preserve">9 </w:t>
      </w:r>
    </w:p>
    <w:p w14:paraId="1AB4FAF7" w14:textId="77777777" w:rsidR="00C41C67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C0CA4A2" w14:textId="77777777" w:rsidR="00C41C67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7C149897" w14:textId="77777777" w:rsidR="00C41C67" w:rsidRDefault="00000000">
      <w:pPr>
        <w:spacing w:after="41"/>
        <w:ind w:left="10" w:right="57"/>
      </w:pPr>
      <w:r>
        <w:t xml:space="preserve">      (priamy materiál, priame mzdy a ostatné priame náklady) a časť nepriamych nákladov bezprostredne         súvisiacich s vytvorením zásob vlastnou činnosťou (výrobná réžia).  </w:t>
      </w:r>
    </w:p>
    <w:p w14:paraId="3D2ECC78" w14:textId="77777777" w:rsidR="00C41C67" w:rsidRDefault="00000000">
      <w:pPr>
        <w:spacing w:after="202" w:line="320" w:lineRule="auto"/>
        <w:ind w:left="-5"/>
        <w:jc w:val="left"/>
      </w:pPr>
      <w:r>
        <w:t xml:space="preserve">      Ku dňu zostavenia účtovnej závierky sa zásoby ocenia v čistej realizačnej hodnote v prípadoch, ak          predpokladaná predajná cena zásob znížená o predpokladané náklady na ich dokončenie a náklady súvisiace           s predajom je nižšia ako ich ocenenie v účtovníctve. Toto ocenenie zásob sa upravuje o zníženie hodnoty            zásob zistené inventarizáciou (tvorbou opravnej položky). </w:t>
      </w:r>
    </w:p>
    <w:p w14:paraId="4766FBEC" w14:textId="77777777" w:rsidR="00C41C67" w:rsidRDefault="00000000">
      <w:pPr>
        <w:spacing w:after="39" w:line="259" w:lineRule="auto"/>
        <w:ind w:left="295"/>
        <w:jc w:val="left"/>
      </w:pPr>
      <w:r>
        <w:rPr>
          <w:b/>
        </w:rPr>
        <w:t>c)</w:t>
      </w:r>
      <w:r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Pohľadávky </w:t>
      </w:r>
    </w:p>
    <w:p w14:paraId="54DB6EE4" w14:textId="77777777" w:rsidR="00C41C67" w:rsidRDefault="00000000">
      <w:pPr>
        <w:spacing w:line="351" w:lineRule="auto"/>
        <w:ind w:left="295" w:right="57"/>
      </w:pPr>
      <w:r>
        <w:t xml:space="preserve">Pohľadávky sa pri ich vzniku oceňujú ich menovitou hodnotou; postúpené pohľadávky a pohľadávky nadobudnuté vkladom do základného imania sa oceňujú obstarávacou cenou, vrátane nákladov súvisiacich s obstaraním. Toto ocenenie sa znižuje o pochybné a nevymožiteľné pohľadávky (tvorbou opravnej položky). </w:t>
      </w:r>
      <w:r>
        <w:rPr>
          <w:b/>
        </w:rPr>
        <w:t>d)</w:t>
      </w:r>
      <w:r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Krátkodobý finančný majetok </w:t>
      </w:r>
    </w:p>
    <w:p w14:paraId="0139F8B9" w14:textId="77777777" w:rsidR="00C41C67" w:rsidRDefault="00000000">
      <w:pPr>
        <w:spacing w:after="252"/>
        <w:ind w:left="295" w:right="57"/>
      </w:pPr>
      <w:r>
        <w:t xml:space="preserve">Peňažné prostriedky a ceniny sa oceňujú ich menovitou hodnotou. Zníženie ich hodnoty sa vyjadruje opravnou položkou. </w:t>
      </w:r>
    </w:p>
    <w:p w14:paraId="28078728" w14:textId="77777777" w:rsidR="00C41C67" w:rsidRDefault="00000000">
      <w:pPr>
        <w:spacing w:after="41" w:line="259" w:lineRule="auto"/>
        <w:ind w:left="295"/>
        <w:jc w:val="left"/>
      </w:pPr>
      <w:r>
        <w:rPr>
          <w:b/>
        </w:rPr>
        <w:t>e)</w:t>
      </w:r>
      <w:r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Záväzky vrátane rezerv, dlhopisy, pôžičky, úvery </w:t>
      </w:r>
    </w:p>
    <w:p w14:paraId="43D8DAFB" w14:textId="77777777" w:rsidR="00C41C67" w:rsidRDefault="00000000">
      <w:pPr>
        <w:ind w:left="295" w:right="57"/>
      </w:pPr>
      <w:r>
        <w:t xml:space="preserve"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  </w:t>
      </w:r>
    </w:p>
    <w:tbl>
      <w:tblPr>
        <w:tblStyle w:val="TableGrid"/>
        <w:tblpPr w:vertAnchor="page" w:horzAnchor="page" w:tblpX="1491" w:tblpY="571"/>
        <w:tblOverlap w:val="never"/>
        <w:tblW w:w="8961" w:type="dxa"/>
        <w:tblInd w:w="0" w:type="dxa"/>
        <w:tblCellMar>
          <w:top w:w="80" w:type="dxa"/>
          <w:left w:w="70" w:type="dxa"/>
          <w:bottom w:w="0" w:type="dxa"/>
          <w:right w:w="33" w:type="dxa"/>
        </w:tblCellMar>
        <w:tblLook w:val="04A0" w:firstRow="1" w:lastRow="0" w:firstColumn="1" w:lastColumn="0" w:noHBand="0" w:noVBand="1"/>
      </w:tblPr>
      <w:tblGrid>
        <w:gridCol w:w="2784"/>
        <w:gridCol w:w="3457"/>
        <w:gridCol w:w="283"/>
        <w:gridCol w:w="242"/>
        <w:gridCol w:w="290"/>
        <w:gridCol w:w="290"/>
        <w:gridCol w:w="291"/>
        <w:gridCol w:w="240"/>
        <w:gridCol w:w="290"/>
        <w:gridCol w:w="290"/>
        <w:gridCol w:w="290"/>
        <w:gridCol w:w="214"/>
      </w:tblGrid>
      <w:tr w:rsidR="00C41C67" w14:paraId="73E58DEC" w14:textId="77777777">
        <w:trPr>
          <w:trHeight w:val="238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9F2B" w14:textId="77777777" w:rsidR="00C41C67" w:rsidRDefault="00000000">
            <w:pPr>
              <w:spacing w:after="0" w:line="259" w:lineRule="auto"/>
              <w:ind w:left="74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Poznámky </w:t>
            </w:r>
            <w:proofErr w:type="spellStart"/>
            <w:r>
              <w:rPr>
                <w:rFonts w:ascii="Arial CE" w:eastAsia="Arial CE" w:hAnsi="Arial CE" w:cs="Arial CE"/>
                <w:i/>
                <w:sz w:val="16"/>
              </w:rPr>
              <w:t>Úč</w:t>
            </w:r>
            <w:proofErr w:type="spellEnd"/>
            <w:r>
              <w:rPr>
                <w:rFonts w:ascii="Arial CE" w:eastAsia="Arial CE" w:hAnsi="Arial CE" w:cs="Arial CE"/>
                <w:i/>
                <w:sz w:val="16"/>
              </w:rPr>
              <w:t xml:space="preserve"> MÚJ  3 - 01 </w:t>
            </w:r>
          </w:p>
        </w:tc>
        <w:tc>
          <w:tcPr>
            <w:tcW w:w="34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C81DD1" w14:textId="77777777" w:rsidR="00C41C67" w:rsidRDefault="00000000">
            <w:pPr>
              <w:spacing w:after="0" w:line="259" w:lineRule="auto"/>
              <w:ind w:left="85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                                      DIČ:               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DC07" w14:textId="77777777" w:rsidR="00C41C67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2 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D12E" w14:textId="77777777" w:rsidR="00C41C67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0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CD58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2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7791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3 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E446" w14:textId="77777777" w:rsidR="00C41C67" w:rsidRDefault="00000000">
            <w:pPr>
              <w:spacing w:after="0" w:line="259" w:lineRule="auto"/>
              <w:ind w:left="1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3 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08CE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5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833A" w14:textId="77777777" w:rsidR="00C41C67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6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3159" w14:textId="77777777" w:rsidR="00C41C67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8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DEAD" w14:textId="77777777" w:rsidR="00C41C67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4 </w:t>
            </w:r>
          </w:p>
        </w:tc>
        <w:tc>
          <w:tcPr>
            <w:tcW w:w="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674B" w14:textId="77777777" w:rsidR="00C41C67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1 </w:t>
            </w:r>
          </w:p>
        </w:tc>
      </w:tr>
    </w:tbl>
    <w:p w14:paraId="4882833B" w14:textId="77777777" w:rsidR="00C41C67" w:rsidRDefault="00000000">
      <w:pPr>
        <w:spacing w:after="59"/>
        <w:ind w:left="295" w:right="57"/>
      </w:pPr>
      <w:r>
        <w:t xml:space="preserve">Rezervy sa tvoria na budúce straty a záväzky, u ktorých je viac než pravdepodobné, že nastanú na základe minulých udalostí a ktoré sa dajú odhadnúť. Tvorba sa účtuje na príslušný nákladový účet s výnimkou tvorby rezervy na reklamácie, skontá a rabaty. Rezervy sa zaúčtujú vtedy, keď existuje právna alebo konštruktívna povinnosť ako výsledok minulých udalostí, a je pravdepodobné, že bude  treba použiť zdroje, ktoré predstavujú ekonomické úžitky na usporiadanie tejto povinnosti a je možné spoľahlivo odhadnúť sumu povinnosti. </w:t>
      </w:r>
      <w:r>
        <w:rPr>
          <w:b/>
        </w:rPr>
        <w:t>f)</w:t>
      </w:r>
      <w:r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Ocenenie derivátov </w:t>
      </w:r>
    </w:p>
    <w:p w14:paraId="51F148DF" w14:textId="77777777" w:rsidR="00C41C67" w:rsidRDefault="00000000">
      <w:pPr>
        <w:spacing w:after="2" w:line="320" w:lineRule="auto"/>
        <w:ind w:right="511"/>
        <w:jc w:val="left"/>
      </w:pPr>
      <w:r>
        <w:t xml:space="preserve">Deriváty sa oceňujú reálnou hodnotou.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Zmena reálnej hodnoty zabezpečovacích derivátov sa účtuje bez vplyvu na výsledok hospodárenia,  </w:t>
      </w:r>
      <w:r>
        <w:tab/>
        <w:t xml:space="preserve"> priamo do vlastného imania.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Zmena reálnej hodnoty derivátov určených na obchodovanie na burze alebo verejnom trhu sa účtuje s  </w:t>
      </w:r>
      <w:proofErr w:type="spellStart"/>
      <w:r>
        <w:t>s</w:t>
      </w:r>
      <w:proofErr w:type="spellEnd"/>
      <w:r>
        <w:t xml:space="preserve"> vplyvom na výsledok hospodárenia.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30857611" w14:textId="77777777" w:rsidR="00C41C67" w:rsidRDefault="00000000">
      <w:pPr>
        <w:spacing w:after="294" w:line="259" w:lineRule="auto"/>
        <w:ind w:left="283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0B0F48F7" w14:textId="77777777" w:rsidR="00C41C67" w:rsidRDefault="00000000">
      <w:pPr>
        <w:pStyle w:val="Nadpis2"/>
        <w:ind w:left="-5"/>
      </w:pPr>
      <w:r>
        <w:t>2.</w:t>
      </w:r>
      <w:r>
        <w:rPr>
          <w:rFonts w:ascii="Arial CE" w:eastAsia="Arial CE" w:hAnsi="Arial CE" w:cs="Arial CE"/>
        </w:rPr>
        <w:t xml:space="preserve"> </w:t>
      </w:r>
      <w:r>
        <w:t xml:space="preserve">Spôsob zostavenia odpisového plánu pre dlhodobý  majetok </w:t>
      </w:r>
    </w:p>
    <w:p w14:paraId="646ED696" w14:textId="77777777" w:rsidR="00C41C67" w:rsidRDefault="00000000">
      <w:pPr>
        <w:spacing w:after="20" w:line="259" w:lineRule="auto"/>
        <w:ind w:left="278"/>
        <w:jc w:val="left"/>
      </w:pPr>
      <w:r>
        <w:rPr>
          <w:u w:val="single" w:color="000000"/>
        </w:rPr>
        <w:t>Dlhodobý nehmotný majetok /DNM/</w:t>
      </w:r>
      <w:r>
        <w:t xml:space="preserve"> </w:t>
      </w:r>
    </w:p>
    <w:p w14:paraId="0B2B34CD" w14:textId="77777777" w:rsidR="00C41C67" w:rsidRDefault="00000000">
      <w:pPr>
        <w:spacing w:after="56" w:line="259" w:lineRule="auto"/>
        <w:ind w:left="283" w:firstLine="0"/>
        <w:jc w:val="left"/>
      </w:pPr>
      <w:r>
        <w:t xml:space="preserve"> </w:t>
      </w:r>
    </w:p>
    <w:p w14:paraId="13955D10" w14:textId="77777777" w:rsidR="00C41C67" w:rsidRDefault="00000000">
      <w:pPr>
        <w:ind w:left="295" w:right="57"/>
      </w:pPr>
      <w:r>
        <w:t xml:space="preserve">Odpisy dlhodobého nehmotného majetku v obstarávacej cene vyššej ako 2 400 € sú stanovené individuálne vychádzajúc z predpokladanej doby jeho používania. Odpisovať sa začína počnúc mesiacom zaradenia majetku  do používania.  </w:t>
      </w:r>
    </w:p>
    <w:p w14:paraId="641FF851" w14:textId="77777777" w:rsidR="00C41C67" w:rsidRDefault="00000000">
      <w:pPr>
        <w:ind w:left="295" w:right="57"/>
      </w:pPr>
      <w:r>
        <w:t xml:space="preserve">Dlhodobý nehmotný  majetok, ktorého obstarávacia cena je  nižšia ako 2 400 €, spoločnosť pri obstaraní účtuje priamo do nákladov. Spoločnosť nevedie evidenciu tohto majetku. </w:t>
      </w:r>
    </w:p>
    <w:p w14:paraId="39861C89" w14:textId="77777777" w:rsidR="00C41C67" w:rsidRDefault="00000000">
      <w:pPr>
        <w:spacing w:after="61" w:line="259" w:lineRule="auto"/>
        <w:ind w:left="283" w:firstLine="0"/>
        <w:jc w:val="left"/>
      </w:pPr>
      <w:r>
        <w:t xml:space="preserve"> </w:t>
      </w:r>
    </w:p>
    <w:p w14:paraId="690176D4" w14:textId="77777777" w:rsidR="00C41C67" w:rsidRDefault="00000000">
      <w:pPr>
        <w:spacing w:after="59" w:line="259" w:lineRule="auto"/>
        <w:ind w:left="278"/>
        <w:jc w:val="left"/>
      </w:pPr>
      <w:r>
        <w:rPr>
          <w:u w:val="single" w:color="000000"/>
        </w:rPr>
        <w:t>Dlhodobý hmotný majetok  /DHM/</w:t>
      </w:r>
      <w:r>
        <w:t xml:space="preserve"> </w:t>
      </w:r>
    </w:p>
    <w:p w14:paraId="783892A8" w14:textId="77777777" w:rsidR="00C41C67" w:rsidRDefault="00000000">
      <w:pPr>
        <w:ind w:left="295" w:right="57"/>
      </w:pPr>
      <w:r>
        <w:lastRenderedPageBreak/>
        <w:t xml:space="preserve">Odpisy dlhodobého hmotného majetku v obstarávacej cene vyššej ako 1 700 € sú stanovené individuálne vychádzajúc z predpokladanej doby jeho používania a predpokladaného priebehu jeho opotrebovania. Odpisovať sa začína počnúc mesiacom zaradenia majetku do používania pri uplatnení metódy lineárneho odpisovania. </w:t>
      </w:r>
    </w:p>
    <w:p w14:paraId="2D5F2999" w14:textId="77777777" w:rsidR="00C41C67" w:rsidRDefault="00000000">
      <w:pPr>
        <w:spacing w:after="0" w:line="240" w:lineRule="auto"/>
        <w:ind w:left="283" w:firstLine="0"/>
        <w:jc w:val="left"/>
      </w:pPr>
      <w:r>
        <w:t xml:space="preserve">Drobný HM, ktorého obstarávacia cena je nižšia ako 1 700 €, sa pri obstaraní účtuje priamo do nákladov. Spoločnosť vedie evidenciu tohto majetku od obstarávacej ceny 20,00 eur. </w:t>
      </w:r>
    </w:p>
    <w:p w14:paraId="36CBA215" w14:textId="77777777" w:rsidR="00C41C67" w:rsidRDefault="00000000">
      <w:pPr>
        <w:spacing w:after="0" w:line="259" w:lineRule="auto"/>
        <w:ind w:left="283" w:firstLine="0"/>
        <w:jc w:val="left"/>
      </w:pPr>
      <w:r>
        <w:t xml:space="preserve"> </w:t>
      </w:r>
    </w:p>
    <w:p w14:paraId="3D15CEC1" w14:textId="77777777" w:rsidR="00C41C67" w:rsidRDefault="00000000">
      <w:pPr>
        <w:spacing w:after="19" w:line="259" w:lineRule="auto"/>
        <w:ind w:left="283" w:firstLine="0"/>
        <w:jc w:val="left"/>
      </w:pPr>
      <w:r>
        <w:t xml:space="preserve"> </w:t>
      </w:r>
    </w:p>
    <w:p w14:paraId="08A994C3" w14:textId="77777777" w:rsidR="00C41C67" w:rsidRDefault="00000000">
      <w:pPr>
        <w:spacing w:after="20" w:line="259" w:lineRule="auto"/>
        <w:ind w:left="283" w:firstLine="0"/>
        <w:jc w:val="left"/>
      </w:pPr>
      <w:r>
        <w:t xml:space="preserve"> </w:t>
      </w:r>
    </w:p>
    <w:p w14:paraId="6CBCBDBA" w14:textId="77777777" w:rsidR="00C41C67" w:rsidRDefault="00000000">
      <w:pPr>
        <w:spacing w:after="0" w:line="259" w:lineRule="auto"/>
        <w:ind w:left="283" w:firstLine="0"/>
        <w:jc w:val="left"/>
      </w:pPr>
      <w:r>
        <w:rPr>
          <w:u w:val="single" w:color="000000"/>
        </w:rPr>
        <w:t>Technické zhodnotenie dlhodobého majetku:</w:t>
      </w:r>
      <w:r>
        <w:t xml:space="preserve"> </w:t>
      </w:r>
    </w:p>
    <w:p w14:paraId="1FC76DF3" w14:textId="77777777" w:rsidR="00C41C67" w:rsidRDefault="00000000">
      <w:pPr>
        <w:numPr>
          <w:ilvl w:val="0"/>
          <w:numId w:val="2"/>
        </w:numPr>
        <w:spacing w:after="51"/>
        <w:ind w:right="57" w:hanging="360"/>
      </w:pPr>
      <w:r>
        <w:t xml:space="preserve">do 1 700 € sa účtuje priamo do nákladov (spotreba materiálu, resp. ostatné služby) </w:t>
      </w:r>
    </w:p>
    <w:p w14:paraId="40D1D3FA" w14:textId="77777777" w:rsidR="00C41C67" w:rsidRDefault="00000000">
      <w:pPr>
        <w:numPr>
          <w:ilvl w:val="0"/>
          <w:numId w:val="2"/>
        </w:numPr>
        <w:ind w:right="57" w:hanging="360"/>
      </w:pPr>
      <w:r>
        <w:t xml:space="preserve">nad 1 700 € vstupuje do ceny dlhodobého majetku. </w:t>
      </w:r>
    </w:p>
    <w:p w14:paraId="4CBDE959" w14:textId="77777777" w:rsidR="00C41C67" w:rsidRDefault="00000000">
      <w:pPr>
        <w:spacing w:after="287" w:line="259" w:lineRule="auto"/>
        <w:ind w:left="283" w:firstLine="0"/>
        <w:jc w:val="left"/>
      </w:pPr>
      <w:r>
        <w:t xml:space="preserve"> </w:t>
      </w:r>
    </w:p>
    <w:p w14:paraId="2CADD8C5" w14:textId="77777777" w:rsidR="00C41C67" w:rsidRDefault="00000000">
      <w:pPr>
        <w:pStyle w:val="Nadpis2"/>
        <w:ind w:left="-5"/>
      </w:pPr>
      <w:r>
        <w:t>3.</w:t>
      </w:r>
      <w:r>
        <w:rPr>
          <w:rFonts w:ascii="Arial CE" w:eastAsia="Arial CE" w:hAnsi="Arial CE" w:cs="Arial CE"/>
        </w:rPr>
        <w:t xml:space="preserve"> </w:t>
      </w:r>
      <w:r>
        <w:t xml:space="preserve">Zmeny účtovných zásad a zmeny účtovných metód </w:t>
      </w:r>
    </w:p>
    <w:p w14:paraId="2461C473" w14:textId="77777777" w:rsidR="00C41C67" w:rsidRDefault="00000000">
      <w:pPr>
        <w:spacing w:after="47"/>
        <w:ind w:left="295" w:right="57"/>
      </w:pPr>
      <w:r>
        <w:t xml:space="preserve">Zákonom č. 431/2002 </w:t>
      </w:r>
      <w:proofErr w:type="spellStart"/>
      <w:r>
        <w:t>Z.z</w:t>
      </w:r>
      <w:proofErr w:type="spellEnd"/>
      <w:r>
        <w:t xml:space="preserve">. o účtovníctve bola od 1.1.2014 zavedená kategorizácia podnikateľských účtovných jednotiek podľa veľkosti. Účtovná jednotka spĺňa podmienky veľkostnej skupiny  </w:t>
      </w:r>
      <w:proofErr w:type="spellStart"/>
      <w:r>
        <w:t>mikro</w:t>
      </w:r>
      <w:proofErr w:type="spellEnd"/>
      <w:r>
        <w:t xml:space="preserve"> účtovnej jednotky  stanovené v § 2, ods. 6 zákona a rozhodla sa štatút </w:t>
      </w:r>
      <w:proofErr w:type="spellStart"/>
      <w:r>
        <w:t>mikro</w:t>
      </w:r>
      <w:proofErr w:type="spellEnd"/>
      <w:r>
        <w:t xml:space="preserve"> účtovnej jednotky uplatniť v účtovnom období začínajúcom v roku 2014.  </w:t>
      </w:r>
    </w:p>
    <w:p w14:paraId="55BA432C" w14:textId="77777777" w:rsidR="00C41C67" w:rsidRDefault="00000000">
      <w:pPr>
        <w:spacing w:after="50"/>
        <w:ind w:left="295" w:right="57"/>
      </w:pPr>
      <w:r>
        <w:t xml:space="preserve">Nadväzne na zavedenie tejto veľkostnej skupiny účtovná jednotka aplikuje tieto postupy  účtovania: </w:t>
      </w:r>
    </w:p>
    <w:p w14:paraId="65AFCF31" w14:textId="77777777" w:rsidR="00C41C67" w:rsidRDefault="00000000">
      <w:pPr>
        <w:numPr>
          <w:ilvl w:val="0"/>
          <w:numId w:val="3"/>
        </w:numPr>
        <w:spacing w:after="46"/>
        <w:ind w:right="57" w:hanging="425"/>
      </w:pPr>
      <w:r>
        <w:t xml:space="preserve">cenné papiere určené na obchodovanie  sa pri ich nadobudnutí neoceňujú reálnou hodnotou, pri prvotnom účtovaní  sa oceňujú ich obstarávacou cenou, </w:t>
      </w:r>
    </w:p>
    <w:p w14:paraId="24AC6D55" w14:textId="77777777" w:rsidR="00C41C67" w:rsidRDefault="00000000">
      <w:pPr>
        <w:numPr>
          <w:ilvl w:val="0"/>
          <w:numId w:val="3"/>
        </w:numPr>
        <w:spacing w:after="47"/>
        <w:ind w:right="57" w:hanging="425"/>
      </w:pPr>
      <w:r>
        <w:t xml:space="preserve">k súvahovému dňu neoceňuje sa  majetok a záväzky reálnou hodnotou a neoceňovanie podielov metódou vlastného imania, </w:t>
      </w:r>
    </w:p>
    <w:p w14:paraId="05EB2A41" w14:textId="77777777" w:rsidR="00C41C67" w:rsidRDefault="00000000">
      <w:pPr>
        <w:numPr>
          <w:ilvl w:val="0"/>
          <w:numId w:val="3"/>
        </w:numPr>
        <w:spacing w:after="58"/>
        <w:ind w:right="57" w:hanging="425"/>
      </w:pPr>
      <w:r>
        <w:t xml:space="preserve">zjednodušené účtovanie o finančných derivátoch, </w:t>
      </w:r>
    </w:p>
    <w:p w14:paraId="29C0A0F5" w14:textId="77777777" w:rsidR="00C41C67" w:rsidRDefault="00000000">
      <w:pPr>
        <w:numPr>
          <w:ilvl w:val="0"/>
          <w:numId w:val="3"/>
        </w:numPr>
        <w:spacing w:after="56"/>
        <w:ind w:right="57" w:hanging="425"/>
      </w:pPr>
      <w:r>
        <w:t xml:space="preserve">nepoužívajú sa  účty mimoriadnych nákladov a mimoriadnych výnosov, </w:t>
      </w:r>
    </w:p>
    <w:p w14:paraId="5DEBAA53" w14:textId="77777777" w:rsidR="00C41C67" w:rsidRDefault="00000000">
      <w:pPr>
        <w:numPr>
          <w:ilvl w:val="0"/>
          <w:numId w:val="3"/>
        </w:numPr>
        <w:ind w:right="57" w:hanging="425"/>
      </w:pPr>
      <w:r>
        <w:t xml:space="preserve">nepoužívajú sa  podsúvahové účty pri účtovaní pohľadávok a záväzkov vyžadujúcich sledovanie v </w:t>
      </w:r>
      <w:proofErr w:type="spellStart"/>
      <w:r>
        <w:t>podsúvahe</w:t>
      </w:r>
      <w:proofErr w:type="spellEnd"/>
      <w:r>
        <w:t xml:space="preserve">. </w:t>
      </w:r>
    </w:p>
    <w:p w14:paraId="34F20B65" w14:textId="77777777" w:rsidR="00C41C67" w:rsidRDefault="00000000">
      <w:pPr>
        <w:spacing w:after="61" w:line="259" w:lineRule="auto"/>
        <w:ind w:left="283" w:firstLine="0"/>
        <w:jc w:val="left"/>
      </w:pPr>
      <w:r>
        <w:t xml:space="preserve"> </w:t>
      </w:r>
    </w:p>
    <w:p w14:paraId="44ABE1FB" w14:textId="77777777" w:rsidR="00C41C67" w:rsidRDefault="00000000">
      <w:pPr>
        <w:ind w:left="295" w:right="57"/>
      </w:pPr>
      <w:r>
        <w:t xml:space="preserve">Účtovníctvo účtovnej jednotky   je vedené na akruálnom princípe, </w:t>
      </w:r>
      <w:proofErr w:type="spellStart"/>
      <w:r>
        <w:t>t.j</w:t>
      </w:r>
      <w:proofErr w:type="spellEnd"/>
      <w:r>
        <w:t xml:space="preserve">. o nákladoch a výnosoch sa účtuje v momente, keď sú plnené bez ohľadu na dátum ich úhrady, inkasa alebo deň vyrovnania iným spôsobom. Dodržuje sa pri tom zásada vecnej a časovej súvislosti nákladov a výnosov s výnimkou účtovania  nevýznamných a stále sa opakujúcich účtovných prípadov medzi dvoma účtovnými obdobiami.  </w:t>
      </w:r>
    </w:p>
    <w:p w14:paraId="11092E2E" w14:textId="77777777" w:rsidR="00C41C67" w:rsidRDefault="00000000">
      <w:pPr>
        <w:spacing w:after="286" w:line="259" w:lineRule="auto"/>
        <w:ind w:left="283" w:firstLine="0"/>
        <w:jc w:val="left"/>
      </w:pPr>
      <w:r>
        <w:t xml:space="preserve"> </w:t>
      </w:r>
    </w:p>
    <w:p w14:paraId="283D65F1" w14:textId="77777777" w:rsidR="00C41C67" w:rsidRDefault="00000000">
      <w:pPr>
        <w:pStyle w:val="Nadpis2"/>
        <w:ind w:left="-5"/>
      </w:pPr>
      <w:r>
        <w:t>4.</w:t>
      </w:r>
      <w:r>
        <w:rPr>
          <w:rFonts w:ascii="Arial CE" w:eastAsia="Arial CE" w:hAnsi="Arial CE" w:cs="Arial CE"/>
        </w:rPr>
        <w:t xml:space="preserve"> </w:t>
      </w:r>
      <w:r>
        <w:t xml:space="preserve">Informácie o dotáciách a ich oceňovanie v účtovníctve </w:t>
      </w:r>
    </w:p>
    <w:p w14:paraId="567C901D" w14:textId="77777777" w:rsidR="00C41C67" w:rsidRDefault="00000000">
      <w:pPr>
        <w:spacing w:after="47"/>
        <w:ind w:left="295" w:right="57"/>
      </w:pPr>
      <w:r>
        <w:t xml:space="preserve">O nároku na dotácie zo štátneho rozpočtu sa účtuje, ak je takmer  isté, že na základe splnených podmienok na poskytnutie dotácie sa spoločnosti daná dotácia poskytne. </w:t>
      </w:r>
    </w:p>
    <w:p w14:paraId="03B17FE8" w14:textId="77777777" w:rsidR="00C41C67" w:rsidRDefault="00000000">
      <w:pPr>
        <w:ind w:left="295" w:right="57"/>
      </w:pPr>
      <w:r>
        <w:t xml:space="preserve">Dotácie na hospodársku činnosť spoločnosti sa najskôr vykazujú ako výnosy budúcich období a do výkazu ziskov a strát sa rozpúšťajú ako výnosy z hospodárskej činnosti v časovej a vecnej súvislosti s vynaložením nákladov na príslušný účel. </w:t>
      </w:r>
    </w:p>
    <w:p w14:paraId="4B8492D0" w14:textId="77777777" w:rsidR="00C41C67" w:rsidRDefault="00000000">
      <w:pPr>
        <w:ind w:left="295" w:right="57"/>
      </w:pPr>
      <w:r>
        <w:t xml:space="preserve">Dotácie na obstaranie dlhodobého hmotného majetku a dlhodobého nehmotného majetku sa najskôr vykazujú ako výnosy budúcich období a do výkazu ziskov a strát sa rozpúšťajú v časovej a vecnej súvislosti so zaúčtovaním odpisov z tohto dlhodobého majetku. </w:t>
      </w:r>
    </w:p>
    <w:p w14:paraId="380123DC" w14:textId="77777777" w:rsidR="00C41C67" w:rsidRDefault="00000000">
      <w:pPr>
        <w:spacing w:after="58" w:line="259" w:lineRule="auto"/>
        <w:ind w:left="283" w:firstLine="0"/>
        <w:jc w:val="left"/>
      </w:pPr>
      <w:r>
        <w:t xml:space="preserve"> </w:t>
      </w:r>
    </w:p>
    <w:p w14:paraId="1EC970C9" w14:textId="77777777" w:rsidR="00C41C67" w:rsidRDefault="00000000">
      <w:pPr>
        <w:ind w:left="295" w:right="57"/>
      </w:pPr>
      <w:r>
        <w:t xml:space="preserve">Spoločnosť  vo vykazovanom období nezískala žiadne dotácie na prevádzku ani na obstaranie dlhodobého majetku. </w:t>
      </w:r>
    </w:p>
    <w:p w14:paraId="30F89BE6" w14:textId="77777777" w:rsidR="00C41C67" w:rsidRDefault="00000000">
      <w:pPr>
        <w:spacing w:after="288" w:line="259" w:lineRule="auto"/>
        <w:ind w:left="283" w:firstLine="0"/>
        <w:jc w:val="left"/>
      </w:pPr>
      <w:r>
        <w:t xml:space="preserve"> </w:t>
      </w:r>
    </w:p>
    <w:p w14:paraId="4C8187F7" w14:textId="77777777" w:rsidR="00C41C67" w:rsidRDefault="00000000">
      <w:pPr>
        <w:pStyle w:val="Nadpis2"/>
        <w:ind w:left="268" w:hanging="283"/>
      </w:pPr>
      <w:r>
        <w:lastRenderedPageBreak/>
        <w:t>5.</w:t>
      </w:r>
      <w:r>
        <w:rPr>
          <w:rFonts w:ascii="Arial CE" w:eastAsia="Arial CE" w:hAnsi="Arial CE" w:cs="Arial CE"/>
        </w:rPr>
        <w:t xml:space="preserve"> </w:t>
      </w:r>
      <w:r>
        <w:t xml:space="preserve">Informácie o  účtovaní významných opráv chýb minulých účtovných období v bežnom účtovnom období </w:t>
      </w:r>
    </w:p>
    <w:p w14:paraId="2049FE87" w14:textId="77777777" w:rsidR="00C41C67" w:rsidRDefault="00000000">
      <w:pPr>
        <w:ind w:left="370" w:right="57"/>
      </w:pPr>
      <w:r>
        <w:t xml:space="preserve">Účtovná jednotka vo vykazovanom období neúčtovala o oprave významných chýb minulých účtovných období.   </w:t>
      </w:r>
    </w:p>
    <w:p w14:paraId="51B634D1" w14:textId="77777777" w:rsidR="00C41C67" w:rsidRDefault="00000000">
      <w:pPr>
        <w:spacing w:after="22" w:line="259" w:lineRule="auto"/>
        <w:ind w:left="0" w:firstLine="0"/>
        <w:jc w:val="left"/>
      </w:pPr>
      <w:r>
        <w:t xml:space="preserve"> </w:t>
      </w:r>
    </w:p>
    <w:p w14:paraId="56152378" w14:textId="77777777" w:rsidR="00C41C67" w:rsidRDefault="00000000">
      <w:pPr>
        <w:spacing w:after="140" w:line="259" w:lineRule="auto"/>
        <w:ind w:left="0" w:firstLine="0"/>
        <w:jc w:val="left"/>
      </w:pPr>
      <w:r>
        <w:t xml:space="preserve"> </w:t>
      </w:r>
    </w:p>
    <w:p w14:paraId="03FEA1DE" w14:textId="77777777" w:rsidR="00C41C67" w:rsidRDefault="00000000">
      <w:pPr>
        <w:pStyle w:val="Nadpis1"/>
        <w:ind w:left="-5"/>
      </w:pPr>
      <w:r>
        <w:t xml:space="preserve">III. INFORMÁCIE O ÚDAJOCH SÚVAHY A VÝKAZU ZISKOV A STRÁT </w:t>
      </w:r>
    </w:p>
    <w:p w14:paraId="5A946B02" w14:textId="77777777" w:rsidR="00C41C67" w:rsidRDefault="00000000">
      <w:pPr>
        <w:pStyle w:val="Nadpis2"/>
        <w:ind w:left="-5"/>
      </w:pPr>
      <w:r>
        <w:t>1.</w:t>
      </w:r>
      <w:r>
        <w:rPr>
          <w:rFonts w:ascii="Arial CE" w:eastAsia="Arial CE" w:hAnsi="Arial CE" w:cs="Arial CE"/>
        </w:rPr>
        <w:t xml:space="preserve"> </w:t>
      </w:r>
      <w:r>
        <w:t xml:space="preserve">Informácie o vzniku výnimočných  položiek nákladov alebo výnosov </w:t>
      </w:r>
    </w:p>
    <w:p w14:paraId="0ADA0FC2" w14:textId="77777777" w:rsidR="00C41C67" w:rsidRDefault="00000000">
      <w:pPr>
        <w:ind w:left="295" w:right="57"/>
      </w:pPr>
      <w:r>
        <w:t xml:space="preserve">Účtovná jednotka vo vykazovanom období neúčtovala o vzniku položiek nákladov alebo výnosov, ktoré majú výnimočný rozsah alebo výskyt. </w:t>
      </w:r>
    </w:p>
    <w:p w14:paraId="6A9B4BC2" w14:textId="77777777" w:rsidR="00C41C67" w:rsidRDefault="00000000">
      <w:pPr>
        <w:spacing w:after="0" w:line="259" w:lineRule="auto"/>
        <w:ind w:left="341" w:firstLine="0"/>
        <w:jc w:val="left"/>
      </w:pPr>
      <w:r>
        <w:t xml:space="preserve"> </w:t>
      </w:r>
    </w:p>
    <w:p w14:paraId="62B639DA" w14:textId="77777777" w:rsidR="00C41C67" w:rsidRDefault="00000000">
      <w:pPr>
        <w:tabs>
          <w:tab w:val="center" w:pos="4674"/>
          <w:tab w:val="center" w:pos="6983"/>
          <w:tab w:val="center" w:pos="7223"/>
          <w:tab w:val="center" w:pos="7466"/>
          <w:tab w:val="center" w:pos="7718"/>
          <w:tab w:val="center" w:pos="8001"/>
          <w:tab w:val="center" w:pos="8285"/>
          <w:tab w:val="center" w:pos="8570"/>
          <w:tab w:val="center" w:pos="8853"/>
        </w:tabs>
        <w:spacing w:after="267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 CE" w:eastAsia="Arial CE" w:hAnsi="Arial CE" w:cs="Arial CE"/>
          <w:i/>
          <w:sz w:val="16"/>
        </w:rPr>
        <w:t xml:space="preserve">                                                            IČO:            </w:t>
      </w:r>
      <w:r>
        <w:rPr>
          <w:rFonts w:ascii="Arial CE" w:eastAsia="Arial CE" w:hAnsi="Arial CE" w:cs="Arial CE"/>
          <w:i/>
          <w:sz w:val="16"/>
        </w:rPr>
        <w:tab/>
        <w:t xml:space="preserve">4 </w:t>
      </w:r>
      <w:r>
        <w:rPr>
          <w:rFonts w:ascii="Arial CE" w:eastAsia="Arial CE" w:hAnsi="Arial CE" w:cs="Arial CE"/>
          <w:i/>
          <w:sz w:val="16"/>
        </w:rPr>
        <w:tab/>
        <w:t xml:space="preserve">6 </w:t>
      </w:r>
      <w:r>
        <w:rPr>
          <w:rFonts w:ascii="Arial CE" w:eastAsia="Arial CE" w:hAnsi="Arial CE" w:cs="Arial CE"/>
          <w:i/>
          <w:sz w:val="16"/>
        </w:rPr>
        <w:tab/>
        <w:t xml:space="preserve">3 </w:t>
      </w:r>
      <w:r>
        <w:rPr>
          <w:rFonts w:ascii="Arial CE" w:eastAsia="Arial CE" w:hAnsi="Arial CE" w:cs="Arial CE"/>
          <w:i/>
          <w:sz w:val="16"/>
        </w:rPr>
        <w:tab/>
        <w:t xml:space="preserve">3 </w:t>
      </w:r>
      <w:r>
        <w:rPr>
          <w:rFonts w:ascii="Arial CE" w:eastAsia="Arial CE" w:hAnsi="Arial CE" w:cs="Arial CE"/>
          <w:i/>
          <w:sz w:val="16"/>
        </w:rPr>
        <w:tab/>
        <w:t xml:space="preserve">5 </w:t>
      </w:r>
      <w:r>
        <w:rPr>
          <w:rFonts w:ascii="Arial CE" w:eastAsia="Arial CE" w:hAnsi="Arial CE" w:cs="Arial CE"/>
          <w:i/>
          <w:sz w:val="16"/>
        </w:rPr>
        <w:tab/>
        <w:t xml:space="preserve">8 </w:t>
      </w:r>
      <w:r>
        <w:rPr>
          <w:rFonts w:ascii="Arial CE" w:eastAsia="Arial CE" w:hAnsi="Arial CE" w:cs="Arial CE"/>
          <w:i/>
          <w:sz w:val="16"/>
        </w:rPr>
        <w:tab/>
        <w:t xml:space="preserve">8 </w:t>
      </w:r>
      <w:r>
        <w:rPr>
          <w:rFonts w:ascii="Arial CE" w:eastAsia="Arial CE" w:hAnsi="Arial CE" w:cs="Arial CE"/>
          <w:i/>
          <w:sz w:val="16"/>
        </w:rPr>
        <w:tab/>
        <w:t xml:space="preserve">9 </w:t>
      </w:r>
    </w:p>
    <w:p w14:paraId="03D63B03" w14:textId="77777777" w:rsidR="00C41C67" w:rsidRDefault="00000000">
      <w:pPr>
        <w:spacing w:after="43" w:line="259" w:lineRule="auto"/>
        <w:ind w:left="0" w:firstLine="0"/>
        <w:jc w:val="left"/>
      </w:pPr>
      <w:r>
        <w:t xml:space="preserve"> </w:t>
      </w:r>
    </w:p>
    <w:p w14:paraId="4CA29B42" w14:textId="77777777" w:rsidR="00C41C67" w:rsidRDefault="00000000">
      <w:pPr>
        <w:pStyle w:val="Nadpis2"/>
        <w:spacing w:after="230"/>
        <w:ind w:left="-5"/>
      </w:pPr>
      <w:r>
        <w:t xml:space="preserve">2.Informácie o záväzkoch </w:t>
      </w:r>
    </w:p>
    <w:p w14:paraId="152B2386" w14:textId="77777777" w:rsidR="00C41C67" w:rsidRDefault="00000000">
      <w:pPr>
        <w:numPr>
          <w:ilvl w:val="0"/>
          <w:numId w:val="4"/>
        </w:numPr>
        <w:spacing w:after="76" w:line="259" w:lineRule="auto"/>
        <w:ind w:hanging="300"/>
        <w:jc w:val="left"/>
      </w:pPr>
      <w:r>
        <w:rPr>
          <w:b/>
        </w:rPr>
        <w:t xml:space="preserve">Záväzky podľa zostatkovej doby splatnosti  </w:t>
      </w:r>
    </w:p>
    <w:p w14:paraId="32FE786A" w14:textId="77777777" w:rsidR="00C41C67" w:rsidRDefault="00000000">
      <w:pPr>
        <w:ind w:left="610" w:right="1308"/>
      </w:pPr>
      <w:r>
        <w:t xml:space="preserve">Štruktúra záväzkov  podľa zostatkovej doby splatnosti je uvedená v nasledujúcej tabuľke:   </w:t>
      </w:r>
    </w:p>
    <w:tbl>
      <w:tblPr>
        <w:tblStyle w:val="TableGrid"/>
        <w:tblW w:w="8510" w:type="dxa"/>
        <w:tblInd w:w="572" w:type="dxa"/>
        <w:tblCellMar>
          <w:top w:w="27" w:type="dxa"/>
          <w:left w:w="34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6707"/>
        <w:gridCol w:w="1803"/>
      </w:tblGrid>
      <w:tr w:rsidR="00C41C67" w14:paraId="2DA0C522" w14:textId="77777777">
        <w:trPr>
          <w:trHeight w:val="267"/>
        </w:trPr>
        <w:tc>
          <w:tcPr>
            <w:tcW w:w="670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75E3ED7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1"/>
              </w:rPr>
              <w:t>Záväzky celkom</w:t>
            </w:r>
          </w:p>
        </w:tc>
        <w:tc>
          <w:tcPr>
            <w:tcW w:w="180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59DB11F" w14:textId="77777777" w:rsidR="00C41C67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21"/>
              </w:rPr>
              <w:t>1 920</w:t>
            </w:r>
          </w:p>
        </w:tc>
      </w:tr>
      <w:tr w:rsidR="00C41C67" w14:paraId="187A6541" w14:textId="77777777">
        <w:trPr>
          <w:trHeight w:val="266"/>
        </w:trPr>
        <w:tc>
          <w:tcPr>
            <w:tcW w:w="670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BB77F26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1"/>
              </w:rPr>
              <w:t>Dlhodobé záväzky celkom</w:t>
            </w:r>
          </w:p>
        </w:tc>
        <w:tc>
          <w:tcPr>
            <w:tcW w:w="180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58775" w14:textId="77777777" w:rsidR="00C41C67" w:rsidRDefault="00C41C67">
            <w:pPr>
              <w:spacing w:after="160" w:line="259" w:lineRule="auto"/>
              <w:ind w:left="0" w:firstLine="0"/>
              <w:jc w:val="left"/>
            </w:pPr>
          </w:p>
        </w:tc>
      </w:tr>
      <w:tr w:rsidR="00C41C67" w14:paraId="5154486B" w14:textId="77777777">
        <w:trPr>
          <w:trHeight w:val="269"/>
        </w:trPr>
        <w:tc>
          <w:tcPr>
            <w:tcW w:w="6707" w:type="dxa"/>
            <w:tcBorders>
              <w:top w:val="single" w:sz="5" w:space="0" w:color="000000"/>
              <w:left w:val="single" w:sz="4" w:space="0" w:color="000000"/>
              <w:bottom w:val="single" w:sz="5" w:space="0" w:color="auto"/>
              <w:right w:val="single" w:sz="4" w:space="0" w:color="000000"/>
            </w:tcBorders>
          </w:tcPr>
          <w:p w14:paraId="2A8B289C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1"/>
              </w:rPr>
              <w:t>v tom: dlhodobé záväzky okrem rezerv a úverov</w:t>
            </w:r>
          </w:p>
        </w:tc>
        <w:tc>
          <w:tcPr>
            <w:tcW w:w="1803" w:type="dxa"/>
            <w:tcBorders>
              <w:top w:val="single" w:sz="5" w:space="0" w:color="000000"/>
              <w:left w:val="single" w:sz="4" w:space="0" w:color="000000"/>
              <w:bottom w:val="single" w:sz="5" w:space="0" w:color="auto"/>
              <w:right w:val="single" w:sz="4" w:space="0" w:color="000000"/>
            </w:tcBorders>
            <w:shd w:val="clear" w:color="auto" w:fill="EBF1DE"/>
          </w:tcPr>
          <w:p w14:paraId="37A1B2C7" w14:textId="77777777" w:rsidR="00C41C67" w:rsidRDefault="00C41C67">
            <w:pPr>
              <w:spacing w:after="160" w:line="259" w:lineRule="auto"/>
              <w:ind w:left="0" w:firstLine="0"/>
              <w:jc w:val="left"/>
            </w:pPr>
          </w:p>
        </w:tc>
      </w:tr>
      <w:tr w:rsidR="00C41C67" w14:paraId="0A962529" w14:textId="77777777">
        <w:trPr>
          <w:trHeight w:val="267"/>
        </w:trPr>
        <w:tc>
          <w:tcPr>
            <w:tcW w:w="6707" w:type="dxa"/>
            <w:tcBorders>
              <w:top w:val="single" w:sz="5" w:space="0" w:color="auto"/>
              <w:left w:val="single" w:sz="4" w:space="0" w:color="000000"/>
              <w:bottom w:val="single" w:sz="5" w:space="0" w:color="auto"/>
              <w:right w:val="single" w:sz="4" w:space="0" w:color="000000"/>
            </w:tcBorders>
          </w:tcPr>
          <w:p w14:paraId="296B1FB1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1"/>
              </w:rPr>
              <w:t>Dlhodobé rezervy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4" w:space="0" w:color="000000"/>
              <w:bottom w:val="single" w:sz="5" w:space="0" w:color="auto"/>
              <w:right w:val="single" w:sz="4" w:space="0" w:color="000000"/>
            </w:tcBorders>
            <w:shd w:val="clear" w:color="auto" w:fill="EBF1DE"/>
          </w:tcPr>
          <w:p w14:paraId="0DAB9595" w14:textId="77777777" w:rsidR="00C41C67" w:rsidRDefault="00C41C67">
            <w:pPr>
              <w:spacing w:after="160" w:line="259" w:lineRule="auto"/>
              <w:ind w:left="0" w:firstLine="0"/>
              <w:jc w:val="left"/>
            </w:pPr>
          </w:p>
        </w:tc>
      </w:tr>
      <w:tr w:rsidR="00C41C67" w14:paraId="7EDFB54C" w14:textId="77777777">
        <w:trPr>
          <w:trHeight w:val="269"/>
        </w:trPr>
        <w:tc>
          <w:tcPr>
            <w:tcW w:w="6707" w:type="dxa"/>
            <w:tcBorders>
              <w:top w:val="single" w:sz="5" w:space="0" w:color="auto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D1C59EE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1"/>
              </w:rPr>
              <w:t>Dlhodobé bankové úvery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EBF1DE"/>
          </w:tcPr>
          <w:p w14:paraId="03B2D69B" w14:textId="77777777" w:rsidR="00C41C67" w:rsidRDefault="00C41C67">
            <w:pPr>
              <w:spacing w:after="160" w:line="259" w:lineRule="auto"/>
              <w:ind w:left="0" w:firstLine="0"/>
              <w:jc w:val="left"/>
            </w:pPr>
          </w:p>
        </w:tc>
      </w:tr>
      <w:tr w:rsidR="00C41C67" w14:paraId="344A4826" w14:textId="77777777">
        <w:trPr>
          <w:trHeight w:val="264"/>
        </w:trPr>
        <w:tc>
          <w:tcPr>
            <w:tcW w:w="670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73B1F44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1"/>
              </w:rPr>
              <w:t>Krátkodobé záväzky celkom</w:t>
            </w:r>
          </w:p>
        </w:tc>
        <w:tc>
          <w:tcPr>
            <w:tcW w:w="180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22B5AE1" w14:textId="77777777" w:rsidR="00C41C67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21"/>
              </w:rPr>
              <w:t>1 920</w:t>
            </w:r>
          </w:p>
        </w:tc>
      </w:tr>
      <w:tr w:rsidR="00C41C67" w14:paraId="4C9749DC" w14:textId="77777777">
        <w:trPr>
          <w:trHeight w:val="269"/>
        </w:trPr>
        <w:tc>
          <w:tcPr>
            <w:tcW w:w="6707" w:type="dxa"/>
            <w:tcBorders>
              <w:top w:val="single" w:sz="5" w:space="0" w:color="000000"/>
              <w:left w:val="single" w:sz="4" w:space="0" w:color="000000"/>
              <w:bottom w:val="single" w:sz="5" w:space="0" w:color="auto"/>
              <w:right w:val="single" w:sz="4" w:space="0" w:color="000000"/>
            </w:tcBorders>
          </w:tcPr>
          <w:p w14:paraId="20BEAE8D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1"/>
              </w:rPr>
              <w:t>v tom: krátkodobé záväzky okrem rezerv a úverov</w:t>
            </w:r>
          </w:p>
        </w:tc>
        <w:tc>
          <w:tcPr>
            <w:tcW w:w="1803" w:type="dxa"/>
            <w:tcBorders>
              <w:top w:val="single" w:sz="5" w:space="0" w:color="000000"/>
              <w:left w:val="single" w:sz="4" w:space="0" w:color="000000"/>
              <w:bottom w:val="single" w:sz="5" w:space="0" w:color="auto"/>
              <w:right w:val="single" w:sz="4" w:space="0" w:color="000000"/>
            </w:tcBorders>
            <w:shd w:val="clear" w:color="auto" w:fill="EBF1DE"/>
          </w:tcPr>
          <w:p w14:paraId="4E3B1B68" w14:textId="77777777" w:rsidR="00C41C67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21"/>
              </w:rPr>
              <w:t>1 920</w:t>
            </w:r>
          </w:p>
        </w:tc>
      </w:tr>
      <w:tr w:rsidR="00C41C67" w14:paraId="7DD1AB1E" w14:textId="77777777">
        <w:trPr>
          <w:trHeight w:val="267"/>
        </w:trPr>
        <w:tc>
          <w:tcPr>
            <w:tcW w:w="6707" w:type="dxa"/>
            <w:tcBorders>
              <w:top w:val="single" w:sz="5" w:space="0" w:color="auto"/>
              <w:left w:val="single" w:sz="4" w:space="0" w:color="000000"/>
              <w:bottom w:val="single" w:sz="5" w:space="0" w:color="auto"/>
              <w:right w:val="single" w:sz="4" w:space="0" w:color="000000"/>
            </w:tcBorders>
          </w:tcPr>
          <w:p w14:paraId="62F95808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1"/>
              </w:rPr>
              <w:t>Krátkodobé rezervy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4" w:space="0" w:color="000000"/>
              <w:bottom w:val="single" w:sz="5" w:space="0" w:color="auto"/>
              <w:right w:val="single" w:sz="4" w:space="0" w:color="000000"/>
            </w:tcBorders>
            <w:shd w:val="clear" w:color="auto" w:fill="EBF1DE"/>
          </w:tcPr>
          <w:p w14:paraId="12B32651" w14:textId="77777777" w:rsidR="00C41C67" w:rsidRDefault="00C41C67">
            <w:pPr>
              <w:spacing w:after="160" w:line="259" w:lineRule="auto"/>
              <w:ind w:left="0" w:firstLine="0"/>
              <w:jc w:val="left"/>
            </w:pPr>
          </w:p>
        </w:tc>
      </w:tr>
      <w:tr w:rsidR="00C41C67" w14:paraId="643FCCE3" w14:textId="77777777">
        <w:trPr>
          <w:trHeight w:val="267"/>
        </w:trPr>
        <w:tc>
          <w:tcPr>
            <w:tcW w:w="6707" w:type="dxa"/>
            <w:tcBorders>
              <w:top w:val="single" w:sz="5" w:space="0" w:color="auto"/>
              <w:left w:val="single" w:sz="4" w:space="0" w:color="000000"/>
              <w:bottom w:val="single" w:sz="5" w:space="0" w:color="auto"/>
              <w:right w:val="single" w:sz="4" w:space="0" w:color="000000"/>
            </w:tcBorders>
          </w:tcPr>
          <w:p w14:paraId="6F9E98DA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1"/>
              </w:rPr>
              <w:t>Bežné bankové úvery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4" w:space="0" w:color="000000"/>
              <w:bottom w:val="single" w:sz="5" w:space="0" w:color="auto"/>
              <w:right w:val="single" w:sz="4" w:space="0" w:color="000000"/>
            </w:tcBorders>
            <w:shd w:val="clear" w:color="auto" w:fill="EBF1DE"/>
          </w:tcPr>
          <w:p w14:paraId="325AE63F" w14:textId="77777777" w:rsidR="00C41C67" w:rsidRDefault="00C41C67">
            <w:pPr>
              <w:spacing w:after="160" w:line="259" w:lineRule="auto"/>
              <w:ind w:left="0" w:firstLine="0"/>
              <w:jc w:val="left"/>
            </w:pPr>
          </w:p>
        </w:tc>
      </w:tr>
      <w:tr w:rsidR="00C41C67" w14:paraId="7CF24744" w14:textId="77777777">
        <w:trPr>
          <w:trHeight w:val="269"/>
        </w:trPr>
        <w:tc>
          <w:tcPr>
            <w:tcW w:w="6707" w:type="dxa"/>
            <w:tcBorders>
              <w:top w:val="single" w:sz="5" w:space="0" w:color="auto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EA3FDAC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1"/>
              </w:rPr>
              <w:t>Krátkodobé finančné výpomoci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EBF1DE"/>
          </w:tcPr>
          <w:p w14:paraId="7447AE2F" w14:textId="77777777" w:rsidR="00C41C67" w:rsidRDefault="00C41C67">
            <w:pPr>
              <w:spacing w:after="160" w:line="259" w:lineRule="auto"/>
              <w:ind w:left="0" w:firstLine="0"/>
              <w:jc w:val="left"/>
            </w:pPr>
          </w:p>
        </w:tc>
      </w:tr>
      <w:tr w:rsidR="00C41C67" w14:paraId="218F540C" w14:textId="77777777">
        <w:trPr>
          <w:trHeight w:val="266"/>
        </w:trPr>
        <w:tc>
          <w:tcPr>
            <w:tcW w:w="6707" w:type="dxa"/>
            <w:tcBorders>
              <w:top w:val="single" w:sz="5" w:space="0" w:color="000000"/>
              <w:left w:val="single" w:sz="4" w:space="0" w:color="D4D4D4"/>
              <w:bottom w:val="single" w:sz="5" w:space="0" w:color="D4D4D4"/>
              <w:right w:val="single" w:sz="4" w:space="0" w:color="D4D4D4"/>
            </w:tcBorders>
          </w:tcPr>
          <w:p w14:paraId="75A50831" w14:textId="77777777" w:rsidR="00C41C67" w:rsidRDefault="00C41C6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03" w:type="dxa"/>
            <w:tcBorders>
              <w:top w:val="single" w:sz="5" w:space="0" w:color="000000"/>
              <w:left w:val="single" w:sz="4" w:space="0" w:color="D4D4D4"/>
              <w:bottom w:val="single" w:sz="5" w:space="0" w:color="D4D4D4"/>
              <w:right w:val="single" w:sz="4" w:space="0" w:color="D4D4D4"/>
            </w:tcBorders>
          </w:tcPr>
          <w:p w14:paraId="57382FD1" w14:textId="77777777" w:rsidR="00C41C67" w:rsidRDefault="00C41C67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12981226" w14:textId="77777777" w:rsidR="00C41C67" w:rsidRDefault="00000000">
      <w:pPr>
        <w:spacing w:after="1486" w:line="259" w:lineRule="auto"/>
        <w:ind w:left="566" w:firstLine="0"/>
        <w:jc w:val="left"/>
      </w:pPr>
      <w:r>
        <w:t xml:space="preserve"> </w:t>
      </w:r>
    </w:p>
    <w:tbl>
      <w:tblPr>
        <w:tblStyle w:val="TableGrid"/>
        <w:tblpPr w:vertAnchor="page" w:horzAnchor="page" w:tblpX="1491" w:tblpY="571"/>
        <w:tblOverlap w:val="never"/>
        <w:tblW w:w="8961" w:type="dxa"/>
        <w:tblInd w:w="0" w:type="dxa"/>
        <w:tblCellMar>
          <w:top w:w="80" w:type="dxa"/>
          <w:left w:w="70" w:type="dxa"/>
          <w:bottom w:w="0" w:type="dxa"/>
          <w:right w:w="33" w:type="dxa"/>
        </w:tblCellMar>
        <w:tblLook w:val="04A0" w:firstRow="1" w:lastRow="0" w:firstColumn="1" w:lastColumn="0" w:noHBand="0" w:noVBand="1"/>
      </w:tblPr>
      <w:tblGrid>
        <w:gridCol w:w="2784"/>
        <w:gridCol w:w="3457"/>
        <w:gridCol w:w="283"/>
        <w:gridCol w:w="242"/>
        <w:gridCol w:w="290"/>
        <w:gridCol w:w="290"/>
        <w:gridCol w:w="291"/>
        <w:gridCol w:w="240"/>
        <w:gridCol w:w="290"/>
        <w:gridCol w:w="290"/>
        <w:gridCol w:w="290"/>
        <w:gridCol w:w="214"/>
      </w:tblGrid>
      <w:tr w:rsidR="00C41C67" w14:paraId="0C633312" w14:textId="77777777">
        <w:trPr>
          <w:trHeight w:val="238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01B6" w14:textId="77777777" w:rsidR="00C41C67" w:rsidRDefault="00000000">
            <w:pPr>
              <w:spacing w:after="0" w:line="259" w:lineRule="auto"/>
              <w:ind w:left="74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Poznámky </w:t>
            </w:r>
            <w:proofErr w:type="spellStart"/>
            <w:r>
              <w:rPr>
                <w:rFonts w:ascii="Arial CE" w:eastAsia="Arial CE" w:hAnsi="Arial CE" w:cs="Arial CE"/>
                <w:i/>
                <w:sz w:val="16"/>
              </w:rPr>
              <w:t>Úč</w:t>
            </w:r>
            <w:proofErr w:type="spellEnd"/>
            <w:r>
              <w:rPr>
                <w:rFonts w:ascii="Arial CE" w:eastAsia="Arial CE" w:hAnsi="Arial CE" w:cs="Arial CE"/>
                <w:i/>
                <w:sz w:val="16"/>
              </w:rPr>
              <w:t xml:space="preserve"> MÚJ  3 - 01 </w:t>
            </w:r>
          </w:p>
        </w:tc>
        <w:tc>
          <w:tcPr>
            <w:tcW w:w="34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378F03" w14:textId="77777777" w:rsidR="00C41C67" w:rsidRDefault="00000000">
            <w:pPr>
              <w:spacing w:after="0" w:line="259" w:lineRule="auto"/>
              <w:ind w:left="85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                                      DIČ:               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5583" w14:textId="77777777" w:rsidR="00C41C67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2 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39F6" w14:textId="77777777" w:rsidR="00C41C67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0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7520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2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0F89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3 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DC79" w14:textId="77777777" w:rsidR="00C41C67" w:rsidRDefault="00000000">
            <w:pPr>
              <w:spacing w:after="0" w:line="259" w:lineRule="auto"/>
              <w:ind w:left="1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3 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08C3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5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15F4" w14:textId="77777777" w:rsidR="00C41C67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6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07CF" w14:textId="77777777" w:rsidR="00C41C67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8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65B1" w14:textId="77777777" w:rsidR="00C41C67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4 </w:t>
            </w:r>
          </w:p>
        </w:tc>
        <w:tc>
          <w:tcPr>
            <w:tcW w:w="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1ACE" w14:textId="77777777" w:rsidR="00C41C67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rFonts w:ascii="Arial CE" w:eastAsia="Arial CE" w:hAnsi="Arial CE" w:cs="Arial CE"/>
                <w:i/>
                <w:sz w:val="16"/>
              </w:rPr>
              <w:t xml:space="preserve">1 </w:t>
            </w:r>
          </w:p>
        </w:tc>
      </w:tr>
    </w:tbl>
    <w:tbl>
      <w:tblPr>
        <w:tblStyle w:val="TableGrid"/>
        <w:tblpPr w:vertAnchor="text" w:tblpX="572" w:tblpY="-1687"/>
        <w:tblOverlap w:val="never"/>
        <w:tblW w:w="8510" w:type="dxa"/>
        <w:tblInd w:w="0" w:type="dxa"/>
        <w:tblCellMar>
          <w:top w:w="26" w:type="dxa"/>
          <w:left w:w="34" w:type="dxa"/>
          <w:bottom w:w="0" w:type="dxa"/>
          <w:right w:w="39" w:type="dxa"/>
        </w:tblCellMar>
        <w:tblLook w:val="04A0" w:firstRow="1" w:lastRow="0" w:firstColumn="1" w:lastColumn="0" w:noHBand="0" w:noVBand="1"/>
      </w:tblPr>
      <w:tblGrid>
        <w:gridCol w:w="6707"/>
        <w:gridCol w:w="1803"/>
      </w:tblGrid>
      <w:tr w:rsidR="00C41C67" w14:paraId="476E4FB0" w14:textId="77777777">
        <w:trPr>
          <w:trHeight w:val="264"/>
        </w:trPr>
        <w:tc>
          <w:tcPr>
            <w:tcW w:w="6707" w:type="dxa"/>
            <w:tcBorders>
              <w:top w:val="single" w:sz="5" w:space="0" w:color="000000"/>
              <w:left w:val="single" w:sz="4" w:space="0" w:color="000000"/>
              <w:bottom w:val="single" w:sz="5" w:space="0" w:color="auto"/>
              <w:right w:val="single" w:sz="4" w:space="0" w:color="000000"/>
            </w:tcBorders>
          </w:tcPr>
          <w:p w14:paraId="54AAF209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1"/>
              </w:rPr>
              <w:lastRenderedPageBreak/>
              <w:t>Záväzky v lehote splatnosti</w:t>
            </w:r>
          </w:p>
        </w:tc>
        <w:tc>
          <w:tcPr>
            <w:tcW w:w="1803" w:type="dxa"/>
            <w:tcBorders>
              <w:top w:val="single" w:sz="5" w:space="0" w:color="000000"/>
              <w:left w:val="single" w:sz="4" w:space="0" w:color="000000"/>
              <w:bottom w:val="single" w:sz="5" w:space="0" w:color="auto"/>
              <w:right w:val="single" w:sz="4" w:space="0" w:color="000000"/>
            </w:tcBorders>
            <w:shd w:val="clear" w:color="auto" w:fill="EBF1DE"/>
          </w:tcPr>
          <w:p w14:paraId="3D141B76" w14:textId="77777777" w:rsidR="00C41C67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21"/>
              </w:rPr>
              <w:t>0</w:t>
            </w:r>
          </w:p>
        </w:tc>
      </w:tr>
      <w:tr w:rsidR="00C41C67" w14:paraId="5523D497" w14:textId="77777777">
        <w:trPr>
          <w:trHeight w:val="267"/>
        </w:trPr>
        <w:tc>
          <w:tcPr>
            <w:tcW w:w="6707" w:type="dxa"/>
            <w:tcBorders>
              <w:top w:val="single" w:sz="5" w:space="0" w:color="auto"/>
              <w:left w:val="single" w:sz="4" w:space="0" w:color="000000"/>
              <w:bottom w:val="single" w:sz="5" w:space="0" w:color="auto"/>
              <w:right w:val="single" w:sz="4" w:space="0" w:color="000000"/>
            </w:tcBorders>
          </w:tcPr>
          <w:p w14:paraId="6DF3FA43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1"/>
              </w:rPr>
              <w:t>Záväzky po lehote splatnosti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4" w:space="0" w:color="000000"/>
              <w:bottom w:val="single" w:sz="5" w:space="0" w:color="auto"/>
              <w:right w:val="single" w:sz="4" w:space="0" w:color="000000"/>
            </w:tcBorders>
            <w:shd w:val="clear" w:color="auto" w:fill="EBF1DE"/>
          </w:tcPr>
          <w:p w14:paraId="43D4C8B0" w14:textId="77777777" w:rsidR="00C41C67" w:rsidRDefault="00000000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1"/>
              </w:rPr>
              <w:t>1 920</w:t>
            </w:r>
          </w:p>
        </w:tc>
      </w:tr>
      <w:tr w:rsidR="00C41C67" w14:paraId="2ED1F8CD" w14:textId="77777777">
        <w:trPr>
          <w:trHeight w:val="262"/>
        </w:trPr>
        <w:tc>
          <w:tcPr>
            <w:tcW w:w="6707" w:type="dxa"/>
            <w:tcBorders>
              <w:top w:val="single" w:sz="5" w:space="0" w:color="auto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A9F77BA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1"/>
              </w:rPr>
              <w:t>Krátkodobé záväzky spolu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2C0F05D" w14:textId="77777777" w:rsidR="00C41C67" w:rsidRDefault="00000000">
            <w:pPr>
              <w:spacing w:after="0" w:line="259" w:lineRule="auto"/>
              <w:ind w:left="0" w:right="1" w:firstLine="0"/>
              <w:jc w:val="right"/>
            </w:pPr>
            <w:r>
              <w:rPr>
                <w:b/>
                <w:sz w:val="21"/>
              </w:rPr>
              <w:t>1 920</w:t>
            </w:r>
          </w:p>
        </w:tc>
      </w:tr>
      <w:tr w:rsidR="00C41C67" w14:paraId="65E4A97E" w14:textId="77777777">
        <w:trPr>
          <w:trHeight w:val="267"/>
        </w:trPr>
        <w:tc>
          <w:tcPr>
            <w:tcW w:w="6707" w:type="dxa"/>
            <w:tcBorders>
              <w:top w:val="single" w:sz="5" w:space="0" w:color="000000"/>
              <w:left w:val="single" w:sz="4" w:space="0" w:color="000000"/>
              <w:bottom w:val="single" w:sz="5" w:space="0" w:color="auto"/>
              <w:right w:val="single" w:sz="4" w:space="0" w:color="000000"/>
            </w:tcBorders>
          </w:tcPr>
          <w:p w14:paraId="4842A238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1"/>
              </w:rPr>
              <w:t>Záväzky so zostatkovou dobou splatnosti 1 rok až 5 rokov</w:t>
            </w:r>
          </w:p>
        </w:tc>
        <w:tc>
          <w:tcPr>
            <w:tcW w:w="1803" w:type="dxa"/>
            <w:tcBorders>
              <w:top w:val="single" w:sz="5" w:space="0" w:color="000000"/>
              <w:left w:val="single" w:sz="4" w:space="0" w:color="000000"/>
              <w:bottom w:val="single" w:sz="5" w:space="0" w:color="auto"/>
              <w:right w:val="single" w:sz="4" w:space="0" w:color="000000"/>
            </w:tcBorders>
            <w:shd w:val="clear" w:color="auto" w:fill="EBF1DE"/>
          </w:tcPr>
          <w:p w14:paraId="3F561EB4" w14:textId="77777777" w:rsidR="00C41C67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21"/>
              </w:rPr>
              <w:t>0</w:t>
            </w:r>
          </w:p>
        </w:tc>
      </w:tr>
      <w:tr w:rsidR="00C41C67" w14:paraId="3F62272C" w14:textId="77777777">
        <w:trPr>
          <w:trHeight w:val="267"/>
        </w:trPr>
        <w:tc>
          <w:tcPr>
            <w:tcW w:w="6707" w:type="dxa"/>
            <w:tcBorders>
              <w:top w:val="single" w:sz="5" w:space="0" w:color="auto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0473944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1"/>
              </w:rPr>
              <w:t>Záväzky so zostatkovou dobou splatnosti nad 5 rokov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EBF1DE"/>
          </w:tcPr>
          <w:p w14:paraId="176CAE29" w14:textId="77777777" w:rsidR="00C41C67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21"/>
              </w:rPr>
              <w:t>0</w:t>
            </w:r>
          </w:p>
        </w:tc>
      </w:tr>
      <w:tr w:rsidR="00C41C67" w14:paraId="3E4A6E92" w14:textId="77777777">
        <w:trPr>
          <w:trHeight w:val="264"/>
        </w:trPr>
        <w:tc>
          <w:tcPr>
            <w:tcW w:w="670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3859961" w14:textId="77777777" w:rsidR="00C41C6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1"/>
              </w:rPr>
              <w:t>Dlhodobé záväzky spolu</w:t>
            </w:r>
          </w:p>
        </w:tc>
        <w:tc>
          <w:tcPr>
            <w:tcW w:w="180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759E246" w14:textId="77777777" w:rsidR="00C41C67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21"/>
              </w:rPr>
              <w:t>0</w:t>
            </w:r>
          </w:p>
        </w:tc>
      </w:tr>
      <w:tr w:rsidR="00C41C67" w14:paraId="574312A6" w14:textId="77777777">
        <w:trPr>
          <w:trHeight w:val="266"/>
        </w:trPr>
        <w:tc>
          <w:tcPr>
            <w:tcW w:w="6707" w:type="dxa"/>
            <w:tcBorders>
              <w:top w:val="single" w:sz="5" w:space="0" w:color="000000"/>
              <w:left w:val="single" w:sz="4" w:space="0" w:color="D4D4D4"/>
              <w:bottom w:val="single" w:sz="5" w:space="0" w:color="D4D4D4"/>
              <w:right w:val="single" w:sz="4" w:space="0" w:color="D4D4D4"/>
            </w:tcBorders>
          </w:tcPr>
          <w:p w14:paraId="4880BA65" w14:textId="77777777" w:rsidR="00C41C67" w:rsidRDefault="00C41C6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03" w:type="dxa"/>
            <w:tcBorders>
              <w:top w:val="single" w:sz="5" w:space="0" w:color="000000"/>
              <w:left w:val="single" w:sz="4" w:space="0" w:color="D4D4D4"/>
              <w:bottom w:val="single" w:sz="5" w:space="0" w:color="D4D4D4"/>
              <w:right w:val="single" w:sz="4" w:space="0" w:color="D4D4D4"/>
            </w:tcBorders>
          </w:tcPr>
          <w:p w14:paraId="0D7B88FD" w14:textId="77777777" w:rsidR="00C41C67" w:rsidRDefault="00C41C67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32F41BF" w14:textId="77777777" w:rsidR="00C41C67" w:rsidRDefault="00C41C67">
      <w:pPr>
        <w:spacing w:after="0" w:line="259" w:lineRule="auto"/>
        <w:ind w:left="-1416" w:right="54" w:firstLine="0"/>
        <w:jc w:val="right"/>
      </w:pPr>
    </w:p>
    <w:p w14:paraId="06FA1541" w14:textId="77777777" w:rsidR="00C41C67" w:rsidRDefault="00000000">
      <w:pPr>
        <w:numPr>
          <w:ilvl w:val="0"/>
          <w:numId w:val="4"/>
        </w:numPr>
        <w:spacing w:after="76" w:line="259" w:lineRule="auto"/>
        <w:ind w:hanging="300"/>
        <w:jc w:val="left"/>
      </w:pPr>
      <w:r>
        <w:rPr>
          <w:b/>
        </w:rPr>
        <w:t xml:space="preserve">Záväzky zabezpečené záložným právom alebo zabezpečené inou formou zabezpečenia </w:t>
      </w:r>
    </w:p>
    <w:p w14:paraId="430E226C" w14:textId="77777777" w:rsidR="00C41C67" w:rsidRDefault="00000000">
      <w:pPr>
        <w:ind w:left="610" w:right="57"/>
      </w:pPr>
      <w:r>
        <w:t xml:space="preserve">Spoločnosť neeviduje žiadne záväzky zabezpečené záložným právom alebo zabezpečené inou formou zabezpečenia. </w:t>
      </w:r>
    </w:p>
    <w:p w14:paraId="104B71D6" w14:textId="77777777" w:rsidR="00C41C67" w:rsidRDefault="00000000">
      <w:pPr>
        <w:spacing w:after="275" w:line="259" w:lineRule="auto"/>
        <w:ind w:left="600" w:firstLine="0"/>
        <w:jc w:val="left"/>
      </w:pPr>
      <w:r>
        <w:t xml:space="preserve"> </w:t>
      </w:r>
    </w:p>
    <w:p w14:paraId="395AE819" w14:textId="77777777" w:rsidR="00C41C67" w:rsidRDefault="00000000">
      <w:pPr>
        <w:spacing w:after="104" w:line="270" w:lineRule="auto"/>
        <w:ind w:left="-5"/>
        <w:jc w:val="left"/>
      </w:pPr>
      <w:r>
        <w:rPr>
          <w:b/>
          <w:sz w:val="22"/>
        </w:rPr>
        <w:t>2.</w:t>
      </w:r>
      <w:r>
        <w:rPr>
          <w:rFonts w:ascii="Arial CE" w:eastAsia="Arial CE" w:hAnsi="Arial CE" w:cs="Arial CE"/>
          <w:b/>
          <w:sz w:val="22"/>
        </w:rPr>
        <w:t xml:space="preserve"> </w:t>
      </w:r>
      <w:r>
        <w:rPr>
          <w:b/>
          <w:sz w:val="22"/>
        </w:rPr>
        <w:t xml:space="preserve">Informácie o vlastných akciách a podieloch </w:t>
      </w:r>
    </w:p>
    <w:p w14:paraId="6F86DA40" w14:textId="77777777" w:rsidR="00C41C67" w:rsidRDefault="00000000">
      <w:pPr>
        <w:spacing w:after="274"/>
        <w:ind w:left="10" w:right="57"/>
      </w:pPr>
      <w:r>
        <w:t xml:space="preserve">       Spoločnosť neeviduje vlastné akcie. </w:t>
      </w:r>
    </w:p>
    <w:p w14:paraId="236FBAEB" w14:textId="77777777" w:rsidR="00C41C67" w:rsidRDefault="00000000">
      <w:pPr>
        <w:pStyle w:val="Nadpis2"/>
        <w:ind w:left="-5"/>
      </w:pPr>
      <w:r>
        <w:t>3.</w:t>
      </w:r>
      <w:r>
        <w:rPr>
          <w:rFonts w:ascii="Arial CE" w:eastAsia="Arial CE" w:hAnsi="Arial CE" w:cs="Arial CE"/>
        </w:rPr>
        <w:t xml:space="preserve"> </w:t>
      </w:r>
      <w:r>
        <w:t xml:space="preserve">Informácie o poskytnutých plneniach a výhodách členom orgánov účtovnej jednotky  </w:t>
      </w:r>
    </w:p>
    <w:p w14:paraId="106291FB" w14:textId="77777777" w:rsidR="00C41C67" w:rsidRDefault="00000000">
      <w:pPr>
        <w:spacing w:after="258"/>
        <w:ind w:left="10" w:right="57"/>
      </w:pPr>
      <w:r>
        <w:t xml:space="preserve">     Spoločnosť  neposkytla členom orgánov účtovnej jednotky záruky, zabezpečenia, pôžičky ani iné plnenia                    na súkromné účely.    </w:t>
      </w:r>
    </w:p>
    <w:p w14:paraId="3086FE09" w14:textId="77777777" w:rsidR="00C41C67" w:rsidRDefault="00000000">
      <w:pPr>
        <w:spacing w:after="104" w:line="270" w:lineRule="auto"/>
        <w:ind w:left="-5"/>
        <w:jc w:val="left"/>
      </w:pPr>
      <w:r>
        <w:rPr>
          <w:b/>
          <w:sz w:val="22"/>
        </w:rPr>
        <w:t>4.</w:t>
      </w:r>
      <w:r>
        <w:rPr>
          <w:rFonts w:ascii="Arial CE" w:eastAsia="Arial CE" w:hAnsi="Arial CE" w:cs="Arial CE"/>
          <w:b/>
          <w:sz w:val="22"/>
        </w:rPr>
        <w:t xml:space="preserve"> </w:t>
      </w:r>
      <w:r>
        <w:rPr>
          <w:b/>
          <w:sz w:val="22"/>
        </w:rPr>
        <w:t xml:space="preserve">Informácie o povinnostiach účtovnej jednotky, a to:  </w:t>
      </w:r>
    </w:p>
    <w:p w14:paraId="45CC6D6B" w14:textId="77777777" w:rsidR="00C41C67" w:rsidRDefault="00000000">
      <w:pPr>
        <w:ind w:left="10" w:right="57"/>
      </w:pPr>
      <w:r>
        <w:t xml:space="preserve">      Spoločnosť neeviduje finančné povinnosti, ktoré sa nevykazujú v súvahe.  </w:t>
      </w:r>
    </w:p>
    <w:p w14:paraId="4E8E8D05" w14:textId="77777777" w:rsidR="00C41C67" w:rsidRDefault="00000000">
      <w:pPr>
        <w:spacing w:after="25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p w14:paraId="4DC4C8EA" w14:textId="77777777" w:rsidR="00C41C67" w:rsidRDefault="00000000">
      <w:pPr>
        <w:spacing w:after="68" w:line="259" w:lineRule="auto"/>
        <w:ind w:left="283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115C9985" w14:textId="77777777" w:rsidR="00C41C67" w:rsidRDefault="00000000">
      <w:pPr>
        <w:numPr>
          <w:ilvl w:val="0"/>
          <w:numId w:val="5"/>
        </w:numPr>
        <w:spacing w:after="76" w:line="259" w:lineRule="auto"/>
        <w:ind w:right="508" w:hanging="283"/>
        <w:jc w:val="left"/>
      </w:pPr>
      <w:r>
        <w:rPr>
          <w:b/>
        </w:rPr>
        <w:t>Informácie o celkovej sume významných podmienených záväzkov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 </w:t>
      </w:r>
    </w:p>
    <w:p w14:paraId="287A34FF" w14:textId="77777777" w:rsidR="00C41C67" w:rsidRDefault="00000000">
      <w:pPr>
        <w:ind w:left="576" w:right="57"/>
      </w:pPr>
      <w:r>
        <w:t xml:space="preserve">Spoločnosť neeviduje podmienené záväzky.  </w:t>
      </w:r>
    </w:p>
    <w:p w14:paraId="734FDE85" w14:textId="77777777" w:rsidR="00C41C67" w:rsidRDefault="00000000">
      <w:pPr>
        <w:spacing w:after="62" w:line="259" w:lineRule="auto"/>
        <w:ind w:left="0" w:firstLine="0"/>
        <w:jc w:val="left"/>
      </w:pPr>
      <w:r>
        <w:t xml:space="preserve"> </w:t>
      </w:r>
    </w:p>
    <w:p w14:paraId="5A1883E2" w14:textId="77777777" w:rsidR="00C41C67" w:rsidRDefault="00000000">
      <w:pPr>
        <w:numPr>
          <w:ilvl w:val="0"/>
          <w:numId w:val="5"/>
        </w:numPr>
        <w:spacing w:after="272"/>
        <w:ind w:right="508" w:hanging="283"/>
        <w:jc w:val="left"/>
      </w:pPr>
      <w:r>
        <w:rPr>
          <w:b/>
        </w:rPr>
        <w:t xml:space="preserve">Informácie o významnej povinnosti vyplývajúcej z dôchodkových programov </w:t>
      </w:r>
      <w:r>
        <w:t xml:space="preserve">Spoločnosť neposkytla účasť na dôchodkových programoch pre zamestnancov.   </w:t>
      </w:r>
    </w:p>
    <w:p w14:paraId="798860C5" w14:textId="77777777" w:rsidR="00C41C67" w:rsidRDefault="00000000">
      <w:pPr>
        <w:pStyle w:val="Nadpis2"/>
        <w:ind w:left="268" w:hanging="283"/>
      </w:pPr>
      <w:r>
        <w:t>5.</w:t>
      </w:r>
      <w:r>
        <w:rPr>
          <w:rFonts w:ascii="Arial CE" w:eastAsia="Arial CE" w:hAnsi="Arial CE" w:cs="Arial CE"/>
        </w:rPr>
        <w:t xml:space="preserve"> </w:t>
      </w:r>
      <w:r>
        <w:t xml:space="preserve">Informácie o udelení výlučného práva alebo osobitného práva, ktorým sa udelilo právo poskytovať služby vo verejnom záujme  </w:t>
      </w:r>
    </w:p>
    <w:p w14:paraId="7FF56671" w14:textId="77777777" w:rsidR="00C41C67" w:rsidRDefault="00000000">
      <w:pPr>
        <w:ind w:left="295" w:right="57"/>
      </w:pPr>
      <w:r>
        <w:t xml:space="preserve">Spoločnosti nie je udelené výlučné právo alebo osobitné právo na poskytovanie služieb vo verejnom záujme. </w:t>
      </w:r>
    </w:p>
    <w:p w14:paraId="0467E714" w14:textId="77777777" w:rsidR="00C41C67" w:rsidRDefault="00000000">
      <w:pPr>
        <w:spacing w:after="20" w:line="259" w:lineRule="auto"/>
        <w:ind w:left="600" w:firstLine="0"/>
        <w:jc w:val="left"/>
      </w:pPr>
      <w:r>
        <w:t xml:space="preserve"> </w:t>
      </w:r>
    </w:p>
    <w:p w14:paraId="21189EA5" w14:textId="77777777" w:rsidR="00C41C67" w:rsidRDefault="00000000">
      <w:pPr>
        <w:spacing w:after="0" w:line="259" w:lineRule="auto"/>
        <w:ind w:left="30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488AD225" w14:textId="77777777" w:rsidR="00C41C67" w:rsidRDefault="00000000">
      <w:pPr>
        <w:spacing w:after="0" w:line="259" w:lineRule="auto"/>
        <w:ind w:left="30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10ACA3BF" w14:textId="77777777" w:rsidR="00C41C67" w:rsidRDefault="00000000">
      <w:pPr>
        <w:spacing w:after="25" w:line="259" w:lineRule="auto"/>
        <w:ind w:left="30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4A1282BE" w14:textId="77777777" w:rsidR="00C41C67" w:rsidRDefault="00000000">
      <w:pPr>
        <w:spacing w:after="0" w:line="259" w:lineRule="auto"/>
        <w:ind w:left="30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432EA13E" w14:textId="77777777" w:rsidR="00C41C67" w:rsidRDefault="00000000">
      <w:pPr>
        <w:spacing w:after="0" w:line="259" w:lineRule="auto"/>
        <w:ind w:left="30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6EECA8C7" w14:textId="77777777" w:rsidR="00C41C67" w:rsidRDefault="00000000">
      <w:pPr>
        <w:spacing w:after="25" w:line="259" w:lineRule="auto"/>
        <w:ind w:left="30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0813D1A8" w14:textId="77777777" w:rsidR="00C41C67" w:rsidRDefault="00000000">
      <w:pPr>
        <w:spacing w:after="0" w:line="259" w:lineRule="auto"/>
        <w:ind w:left="30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7B5EDB24" w14:textId="77777777" w:rsidR="00C41C67" w:rsidRDefault="00000000">
      <w:pPr>
        <w:spacing w:after="0" w:line="259" w:lineRule="auto"/>
        <w:ind w:left="30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0109EE5E" w14:textId="77777777" w:rsidR="00C41C67" w:rsidRDefault="00000000">
      <w:pPr>
        <w:spacing w:after="0" w:line="259" w:lineRule="auto"/>
        <w:ind w:left="30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750A2A0B" w14:textId="77777777" w:rsidR="00C41C67" w:rsidRDefault="00000000">
      <w:pPr>
        <w:spacing w:after="0" w:line="259" w:lineRule="auto"/>
        <w:ind w:left="30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21FBD40C" w14:textId="77777777" w:rsidR="00C41C67" w:rsidRDefault="00000000">
      <w:pPr>
        <w:spacing w:after="0" w:line="259" w:lineRule="auto"/>
        <w:ind w:left="30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5028C87" w14:textId="77777777" w:rsidR="00C41C67" w:rsidRDefault="00000000">
      <w:pPr>
        <w:spacing w:after="25" w:line="259" w:lineRule="auto"/>
        <w:ind w:left="0" w:right="588" w:firstLine="0"/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DD5EB69" w14:textId="77777777" w:rsidR="00C41C67" w:rsidRDefault="00000000">
      <w:pPr>
        <w:spacing w:after="22" w:line="259" w:lineRule="auto"/>
        <w:ind w:left="600" w:firstLine="0"/>
        <w:jc w:val="left"/>
      </w:pPr>
      <w:r>
        <w:t xml:space="preserve"> </w:t>
      </w:r>
    </w:p>
    <w:p w14:paraId="72B50936" w14:textId="77777777" w:rsidR="00C41C67" w:rsidRDefault="00000000">
      <w:pPr>
        <w:spacing w:after="0" w:line="259" w:lineRule="auto"/>
        <w:ind w:left="600" w:firstLine="0"/>
        <w:jc w:val="left"/>
      </w:pPr>
      <w:r>
        <w:t xml:space="preserve"> </w:t>
      </w:r>
    </w:p>
    <w:p w14:paraId="262F564D" w14:textId="77777777" w:rsidR="00C41C67" w:rsidRDefault="00000000">
      <w:pPr>
        <w:spacing w:after="17" w:line="259" w:lineRule="auto"/>
        <w:ind w:left="600" w:firstLine="0"/>
        <w:jc w:val="left"/>
      </w:pPr>
      <w:r>
        <w:t xml:space="preserve"> </w:t>
      </w:r>
    </w:p>
    <w:p w14:paraId="010EA137" w14:textId="77777777" w:rsidR="00C41C67" w:rsidRDefault="00000000">
      <w:pPr>
        <w:spacing w:after="0" w:line="259" w:lineRule="auto"/>
        <w:ind w:left="283" w:firstLine="0"/>
        <w:jc w:val="left"/>
      </w:pPr>
      <w:r>
        <w:rPr>
          <w:sz w:val="24"/>
        </w:rPr>
        <w:lastRenderedPageBreak/>
        <w:t xml:space="preserve"> </w:t>
      </w:r>
    </w:p>
    <w:p w14:paraId="294B7B45" w14:textId="77777777" w:rsidR="00C41C67" w:rsidRDefault="00000000">
      <w:pPr>
        <w:spacing w:after="20" w:line="259" w:lineRule="auto"/>
        <w:ind w:left="0" w:firstLine="0"/>
        <w:jc w:val="left"/>
      </w:pPr>
      <w:r>
        <w:t xml:space="preserve"> </w:t>
      </w:r>
    </w:p>
    <w:p w14:paraId="4FC4DA10" w14:textId="77777777" w:rsidR="00C41C67" w:rsidRDefault="00000000">
      <w:pPr>
        <w:spacing w:after="25" w:line="259" w:lineRule="auto"/>
        <w:ind w:left="341" w:firstLine="0"/>
        <w:jc w:val="left"/>
      </w:pPr>
      <w:r>
        <w:t xml:space="preserve"> </w:t>
      </w:r>
      <w:r>
        <w:tab/>
        <w:t xml:space="preserve"> </w:t>
      </w:r>
    </w:p>
    <w:p w14:paraId="4DEE6E8B" w14:textId="77777777" w:rsidR="00C41C67" w:rsidRDefault="00000000">
      <w:pPr>
        <w:spacing w:after="22" w:line="259" w:lineRule="auto"/>
        <w:ind w:left="341" w:firstLine="0"/>
        <w:jc w:val="left"/>
      </w:pPr>
      <w:r>
        <w:t xml:space="preserve"> </w:t>
      </w:r>
    </w:p>
    <w:p w14:paraId="4F139AAB" w14:textId="77777777" w:rsidR="00C41C67" w:rsidRDefault="00000000">
      <w:pPr>
        <w:spacing w:after="20" w:line="259" w:lineRule="auto"/>
        <w:ind w:left="341" w:firstLine="0"/>
        <w:jc w:val="left"/>
      </w:pPr>
      <w:r>
        <w:t xml:space="preserve"> </w:t>
      </w:r>
    </w:p>
    <w:p w14:paraId="3E217999" w14:textId="77777777" w:rsidR="00C41C67" w:rsidRDefault="00000000">
      <w:pPr>
        <w:spacing w:after="22" w:line="259" w:lineRule="auto"/>
        <w:ind w:left="341" w:firstLine="0"/>
        <w:jc w:val="left"/>
      </w:pPr>
      <w:r>
        <w:t xml:space="preserve"> </w:t>
      </w:r>
    </w:p>
    <w:p w14:paraId="2542B681" w14:textId="77777777" w:rsidR="00C41C67" w:rsidRDefault="00000000">
      <w:pPr>
        <w:spacing w:after="17" w:line="259" w:lineRule="auto"/>
        <w:ind w:left="341" w:firstLine="0"/>
        <w:jc w:val="left"/>
      </w:pPr>
      <w:r>
        <w:t xml:space="preserve"> </w:t>
      </w:r>
    </w:p>
    <w:p w14:paraId="0B603720" w14:textId="77777777" w:rsidR="00C41C67" w:rsidRDefault="00000000">
      <w:pPr>
        <w:spacing w:after="0" w:line="259" w:lineRule="auto"/>
        <w:ind w:left="300" w:firstLine="0"/>
        <w:jc w:val="left"/>
      </w:pPr>
      <w:r>
        <w:rPr>
          <w:sz w:val="24"/>
        </w:rPr>
        <w:t xml:space="preserve"> </w:t>
      </w:r>
    </w:p>
    <w:p w14:paraId="052F8C50" w14:textId="77777777" w:rsidR="00C41C67" w:rsidRDefault="00000000">
      <w:pPr>
        <w:spacing w:after="22" w:line="259" w:lineRule="auto"/>
        <w:ind w:left="300" w:firstLine="0"/>
        <w:jc w:val="left"/>
      </w:pPr>
      <w:r>
        <w:t xml:space="preserve"> </w:t>
      </w:r>
    </w:p>
    <w:p w14:paraId="0C2689B2" w14:textId="77777777" w:rsidR="00C41C67" w:rsidRDefault="00000000">
      <w:pPr>
        <w:spacing w:after="20" w:line="259" w:lineRule="auto"/>
        <w:ind w:left="300" w:firstLine="0"/>
        <w:jc w:val="left"/>
      </w:pPr>
      <w:r>
        <w:t xml:space="preserve"> </w:t>
      </w:r>
    </w:p>
    <w:p w14:paraId="3D7D20B8" w14:textId="77777777" w:rsidR="00C41C67" w:rsidRDefault="00000000">
      <w:pPr>
        <w:spacing w:after="22" w:line="259" w:lineRule="auto"/>
        <w:ind w:left="300" w:firstLine="0"/>
        <w:jc w:val="left"/>
      </w:pPr>
      <w:r>
        <w:t xml:space="preserve"> </w:t>
      </w:r>
    </w:p>
    <w:p w14:paraId="045D0F62" w14:textId="77777777" w:rsidR="00C41C67" w:rsidRDefault="00000000">
      <w:pPr>
        <w:spacing w:after="0" w:line="259" w:lineRule="auto"/>
        <w:ind w:left="300" w:firstLine="0"/>
        <w:jc w:val="left"/>
      </w:pPr>
      <w:r>
        <w:t xml:space="preserve"> </w:t>
      </w:r>
    </w:p>
    <w:sectPr w:rsidR="00C41C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71" w:right="1355" w:bottom="1587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89373" w14:textId="77777777" w:rsidR="002179D3" w:rsidRDefault="002179D3">
      <w:pPr>
        <w:spacing w:after="0" w:line="240" w:lineRule="auto"/>
      </w:pPr>
      <w:r>
        <w:separator/>
      </w:r>
    </w:p>
  </w:endnote>
  <w:endnote w:type="continuationSeparator" w:id="0">
    <w:p w14:paraId="2DC8FF01" w14:textId="77777777" w:rsidR="002179D3" w:rsidRDefault="00217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6B5F5" w14:textId="77777777" w:rsidR="00C41C67" w:rsidRDefault="00C41C67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9D31C" w14:textId="77777777" w:rsidR="00C41C67" w:rsidRDefault="00000000">
    <w:pPr>
      <w:tabs>
        <w:tab w:val="center" w:pos="4357"/>
        <w:tab w:val="right" w:pos="913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9E978" w14:textId="77777777" w:rsidR="00C41C67" w:rsidRDefault="00000000">
    <w:pPr>
      <w:tabs>
        <w:tab w:val="center" w:pos="4357"/>
        <w:tab w:val="right" w:pos="913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CF63C" w14:textId="77777777" w:rsidR="002179D3" w:rsidRDefault="002179D3">
      <w:pPr>
        <w:spacing w:after="0" w:line="240" w:lineRule="auto"/>
      </w:pPr>
      <w:r>
        <w:separator/>
      </w:r>
    </w:p>
  </w:footnote>
  <w:footnote w:type="continuationSeparator" w:id="0">
    <w:p w14:paraId="4719A552" w14:textId="77777777" w:rsidR="002179D3" w:rsidRDefault="00217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0DF94" w14:textId="77777777" w:rsidR="00C41C67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CCD4C35" wp14:editId="1AF17DB9">
              <wp:simplePos x="0" y="0"/>
              <wp:positionH relativeFrom="page">
                <wp:posOffset>5261737</wp:posOffset>
              </wp:positionH>
              <wp:positionV relativeFrom="page">
                <wp:posOffset>633984</wp:posOffset>
              </wp:positionV>
              <wp:extent cx="1373505" cy="156972"/>
              <wp:effectExtent l="0" t="0" r="0" b="0"/>
              <wp:wrapNone/>
              <wp:docPr id="15807" name="Group 158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73505" cy="156972"/>
                        <a:chOff x="0" y="0"/>
                        <a:chExt cx="1373505" cy="156972"/>
                      </a:xfrm>
                    </wpg:grpSpPr>
                    <wps:wsp>
                      <wps:cNvPr id="16319" name="Shape 16319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20" name="Shape 16320"/>
                      <wps:cNvSpPr/>
                      <wps:spPr>
                        <a:xfrm>
                          <a:off x="6096" y="0"/>
                          <a:ext cx="14782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828" h="9144">
                              <a:moveTo>
                                <a:pt x="0" y="0"/>
                              </a:moveTo>
                              <a:lnTo>
                                <a:pt x="147828" y="0"/>
                              </a:lnTo>
                              <a:lnTo>
                                <a:pt x="14782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21" name="Shape 16321"/>
                      <wps:cNvSpPr/>
                      <wps:spPr>
                        <a:xfrm>
                          <a:off x="15392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22" name="Shape 16322"/>
                      <wps:cNvSpPr/>
                      <wps:spPr>
                        <a:xfrm>
                          <a:off x="160020" y="0"/>
                          <a:ext cx="1463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9144">
                              <a:moveTo>
                                <a:pt x="0" y="0"/>
                              </a:moveTo>
                              <a:lnTo>
                                <a:pt x="146304" y="0"/>
                              </a:lnTo>
                              <a:lnTo>
                                <a:pt x="1463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23" name="Shape 16323"/>
                      <wps:cNvSpPr/>
                      <wps:spPr>
                        <a:xfrm>
                          <a:off x="30632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24" name="Shape 16324"/>
                      <wps:cNvSpPr/>
                      <wps:spPr>
                        <a:xfrm>
                          <a:off x="312420" y="0"/>
                          <a:ext cx="15422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229" h="9144">
                              <a:moveTo>
                                <a:pt x="0" y="0"/>
                              </a:moveTo>
                              <a:lnTo>
                                <a:pt x="154229" y="0"/>
                              </a:lnTo>
                              <a:lnTo>
                                <a:pt x="15422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25" name="Shape 16325"/>
                      <wps:cNvSpPr/>
                      <wps:spPr>
                        <a:xfrm>
                          <a:off x="46672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26" name="Shape 16326"/>
                      <wps:cNvSpPr/>
                      <wps:spPr>
                        <a:xfrm>
                          <a:off x="472821" y="0"/>
                          <a:ext cx="1752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9144">
                              <a:moveTo>
                                <a:pt x="0" y="0"/>
                              </a:moveTo>
                              <a:lnTo>
                                <a:pt x="175260" y="0"/>
                              </a:lnTo>
                              <a:lnTo>
                                <a:pt x="1752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27" name="Shape 16327"/>
                      <wps:cNvSpPr/>
                      <wps:spPr>
                        <a:xfrm>
                          <a:off x="648081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28" name="Shape 16328"/>
                      <wps:cNvSpPr/>
                      <wps:spPr>
                        <a:xfrm>
                          <a:off x="654177" y="0"/>
                          <a:ext cx="173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736" h="9144">
                              <a:moveTo>
                                <a:pt x="0" y="0"/>
                              </a:moveTo>
                              <a:lnTo>
                                <a:pt x="173736" y="0"/>
                              </a:lnTo>
                              <a:lnTo>
                                <a:pt x="173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29" name="Shape 16329"/>
                      <wps:cNvSpPr/>
                      <wps:spPr>
                        <a:xfrm>
                          <a:off x="827913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30" name="Shape 16330"/>
                      <wps:cNvSpPr/>
                      <wps:spPr>
                        <a:xfrm>
                          <a:off x="834009" y="0"/>
                          <a:ext cx="173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736" h="9144">
                              <a:moveTo>
                                <a:pt x="0" y="0"/>
                              </a:moveTo>
                              <a:lnTo>
                                <a:pt x="173736" y="0"/>
                              </a:lnTo>
                              <a:lnTo>
                                <a:pt x="173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31" name="Shape 16331"/>
                      <wps:cNvSpPr/>
                      <wps:spPr>
                        <a:xfrm>
                          <a:off x="100774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32" name="Shape 16332"/>
                      <wps:cNvSpPr/>
                      <wps:spPr>
                        <a:xfrm>
                          <a:off x="1013841" y="0"/>
                          <a:ext cx="173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736" h="9144">
                              <a:moveTo>
                                <a:pt x="0" y="0"/>
                              </a:moveTo>
                              <a:lnTo>
                                <a:pt x="173736" y="0"/>
                              </a:lnTo>
                              <a:lnTo>
                                <a:pt x="173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33" name="Shape 16333"/>
                      <wps:cNvSpPr/>
                      <wps:spPr>
                        <a:xfrm>
                          <a:off x="1187577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34" name="Shape 16334"/>
                      <wps:cNvSpPr/>
                      <wps:spPr>
                        <a:xfrm>
                          <a:off x="1193673" y="0"/>
                          <a:ext cx="173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736" h="9144">
                              <a:moveTo>
                                <a:pt x="0" y="0"/>
                              </a:moveTo>
                              <a:lnTo>
                                <a:pt x="173736" y="0"/>
                              </a:lnTo>
                              <a:lnTo>
                                <a:pt x="173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35" name="Shape 16335"/>
                      <wps:cNvSpPr/>
                      <wps:spPr>
                        <a:xfrm>
                          <a:off x="1367409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36" name="Shape 16336"/>
                      <wps:cNvSpPr/>
                      <wps:spPr>
                        <a:xfrm>
                          <a:off x="0" y="6096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37" name="Shape 16337"/>
                      <wps:cNvSpPr/>
                      <wps:spPr>
                        <a:xfrm>
                          <a:off x="0" y="15087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38" name="Shape 16338"/>
                      <wps:cNvSpPr/>
                      <wps:spPr>
                        <a:xfrm>
                          <a:off x="6096" y="150876"/>
                          <a:ext cx="14782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828" h="9144">
                              <a:moveTo>
                                <a:pt x="0" y="0"/>
                              </a:moveTo>
                              <a:lnTo>
                                <a:pt x="147828" y="0"/>
                              </a:lnTo>
                              <a:lnTo>
                                <a:pt x="14782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39" name="Shape 16339"/>
                      <wps:cNvSpPr/>
                      <wps:spPr>
                        <a:xfrm>
                          <a:off x="153924" y="6096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40" name="Shape 16340"/>
                      <wps:cNvSpPr/>
                      <wps:spPr>
                        <a:xfrm>
                          <a:off x="153924" y="15087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41" name="Shape 16341"/>
                      <wps:cNvSpPr/>
                      <wps:spPr>
                        <a:xfrm>
                          <a:off x="160020" y="150876"/>
                          <a:ext cx="1463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9144">
                              <a:moveTo>
                                <a:pt x="0" y="0"/>
                              </a:moveTo>
                              <a:lnTo>
                                <a:pt x="146304" y="0"/>
                              </a:lnTo>
                              <a:lnTo>
                                <a:pt x="1463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42" name="Shape 16342"/>
                      <wps:cNvSpPr/>
                      <wps:spPr>
                        <a:xfrm>
                          <a:off x="306324" y="6096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43" name="Shape 16343"/>
                      <wps:cNvSpPr/>
                      <wps:spPr>
                        <a:xfrm>
                          <a:off x="306324" y="15087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44" name="Shape 16344"/>
                      <wps:cNvSpPr/>
                      <wps:spPr>
                        <a:xfrm>
                          <a:off x="312420" y="150876"/>
                          <a:ext cx="15422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229" h="9144">
                              <a:moveTo>
                                <a:pt x="0" y="0"/>
                              </a:moveTo>
                              <a:lnTo>
                                <a:pt x="154229" y="0"/>
                              </a:lnTo>
                              <a:lnTo>
                                <a:pt x="15422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45" name="Shape 16345"/>
                      <wps:cNvSpPr/>
                      <wps:spPr>
                        <a:xfrm>
                          <a:off x="466725" y="6096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46" name="Shape 16346"/>
                      <wps:cNvSpPr/>
                      <wps:spPr>
                        <a:xfrm>
                          <a:off x="466725" y="15087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47" name="Shape 16347"/>
                      <wps:cNvSpPr/>
                      <wps:spPr>
                        <a:xfrm>
                          <a:off x="472821" y="150876"/>
                          <a:ext cx="1752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0" h="9144">
                              <a:moveTo>
                                <a:pt x="0" y="0"/>
                              </a:moveTo>
                              <a:lnTo>
                                <a:pt x="175260" y="0"/>
                              </a:lnTo>
                              <a:lnTo>
                                <a:pt x="1752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48" name="Shape 16348"/>
                      <wps:cNvSpPr/>
                      <wps:spPr>
                        <a:xfrm>
                          <a:off x="648081" y="6096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49" name="Shape 16349"/>
                      <wps:cNvSpPr/>
                      <wps:spPr>
                        <a:xfrm>
                          <a:off x="648081" y="15087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50" name="Shape 16350"/>
                      <wps:cNvSpPr/>
                      <wps:spPr>
                        <a:xfrm>
                          <a:off x="654177" y="150876"/>
                          <a:ext cx="173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736" h="9144">
                              <a:moveTo>
                                <a:pt x="0" y="0"/>
                              </a:moveTo>
                              <a:lnTo>
                                <a:pt x="173736" y="0"/>
                              </a:lnTo>
                              <a:lnTo>
                                <a:pt x="173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51" name="Shape 16351"/>
                      <wps:cNvSpPr/>
                      <wps:spPr>
                        <a:xfrm>
                          <a:off x="827913" y="6096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52" name="Shape 16352"/>
                      <wps:cNvSpPr/>
                      <wps:spPr>
                        <a:xfrm>
                          <a:off x="827913" y="15087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53" name="Shape 16353"/>
                      <wps:cNvSpPr/>
                      <wps:spPr>
                        <a:xfrm>
                          <a:off x="834009" y="150876"/>
                          <a:ext cx="173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736" h="9144">
                              <a:moveTo>
                                <a:pt x="0" y="0"/>
                              </a:moveTo>
                              <a:lnTo>
                                <a:pt x="173736" y="0"/>
                              </a:lnTo>
                              <a:lnTo>
                                <a:pt x="173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54" name="Shape 16354"/>
                      <wps:cNvSpPr/>
                      <wps:spPr>
                        <a:xfrm>
                          <a:off x="1007745" y="6096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55" name="Shape 16355"/>
                      <wps:cNvSpPr/>
                      <wps:spPr>
                        <a:xfrm>
                          <a:off x="1007745" y="15087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56" name="Shape 16356"/>
                      <wps:cNvSpPr/>
                      <wps:spPr>
                        <a:xfrm>
                          <a:off x="1013841" y="150876"/>
                          <a:ext cx="173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736" h="9144">
                              <a:moveTo>
                                <a:pt x="0" y="0"/>
                              </a:moveTo>
                              <a:lnTo>
                                <a:pt x="173736" y="0"/>
                              </a:lnTo>
                              <a:lnTo>
                                <a:pt x="173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57" name="Shape 16357"/>
                      <wps:cNvSpPr/>
                      <wps:spPr>
                        <a:xfrm>
                          <a:off x="1187577" y="6096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58" name="Shape 16358"/>
                      <wps:cNvSpPr/>
                      <wps:spPr>
                        <a:xfrm>
                          <a:off x="1187577" y="15087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59" name="Shape 16359"/>
                      <wps:cNvSpPr/>
                      <wps:spPr>
                        <a:xfrm>
                          <a:off x="1193673" y="150876"/>
                          <a:ext cx="173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736" h="9144">
                              <a:moveTo>
                                <a:pt x="0" y="0"/>
                              </a:moveTo>
                              <a:lnTo>
                                <a:pt x="173736" y="0"/>
                              </a:lnTo>
                              <a:lnTo>
                                <a:pt x="173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60" name="Shape 16360"/>
                      <wps:cNvSpPr/>
                      <wps:spPr>
                        <a:xfrm>
                          <a:off x="1367409" y="6096"/>
                          <a:ext cx="9144" cy="144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47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4780"/>
                              </a:lnTo>
                              <a:lnTo>
                                <a:pt x="0" y="144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61" name="Shape 16361"/>
                      <wps:cNvSpPr/>
                      <wps:spPr>
                        <a:xfrm>
                          <a:off x="1367409" y="15087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807" style="width:108.15pt;height:12.36pt;position:absolute;z-index:-2147483648;mso-position-horizontal-relative:page;mso-position-horizontal:absolute;margin-left:414.31pt;mso-position-vertical-relative:page;margin-top:49.92pt;" coordsize="13735,1569">
              <v:shape id="Shape 16362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63" style="position:absolute;width:1478;height:91;left:60;top:0;" coordsize="147828,9144" path="m0,0l147828,0l147828,9144l0,9144l0,0">
                <v:stroke weight="0pt" endcap="flat" joinstyle="miter" miterlimit="10" on="false" color="#000000" opacity="0"/>
                <v:fill on="true" color="#000000"/>
              </v:shape>
              <v:shape id="Shape 16364" style="position:absolute;width:91;height:91;left:1539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65" style="position:absolute;width:1463;height:91;left:1600;top:0;" coordsize="146304,9144" path="m0,0l146304,0l146304,9144l0,9144l0,0">
                <v:stroke weight="0pt" endcap="flat" joinstyle="miter" miterlimit="10" on="false" color="#000000" opacity="0"/>
                <v:fill on="true" color="#000000"/>
              </v:shape>
              <v:shape id="Shape 16366" style="position:absolute;width:91;height:91;left:3063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67" style="position:absolute;width:1542;height:91;left:3124;top:0;" coordsize="154229,9144" path="m0,0l154229,0l154229,9144l0,9144l0,0">
                <v:stroke weight="0pt" endcap="flat" joinstyle="miter" miterlimit="10" on="false" color="#000000" opacity="0"/>
                <v:fill on="true" color="#000000"/>
              </v:shape>
              <v:shape id="Shape 16368" style="position:absolute;width:91;height:91;left:4667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69" style="position:absolute;width:1752;height:91;left:4728;top:0;" coordsize="175260,9144" path="m0,0l175260,0l175260,9144l0,9144l0,0">
                <v:stroke weight="0pt" endcap="flat" joinstyle="miter" miterlimit="10" on="false" color="#000000" opacity="0"/>
                <v:fill on="true" color="#000000"/>
              </v:shape>
              <v:shape id="Shape 16370" style="position:absolute;width:91;height:91;left:648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71" style="position:absolute;width:1737;height:91;left:6541;top:0;" coordsize="173736,9144" path="m0,0l173736,0l173736,9144l0,9144l0,0">
                <v:stroke weight="0pt" endcap="flat" joinstyle="miter" miterlimit="10" on="false" color="#000000" opacity="0"/>
                <v:fill on="true" color="#000000"/>
              </v:shape>
              <v:shape id="Shape 16372" style="position:absolute;width:91;height:91;left:8279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73" style="position:absolute;width:1737;height:91;left:8340;top:0;" coordsize="173736,9144" path="m0,0l173736,0l173736,9144l0,9144l0,0">
                <v:stroke weight="0pt" endcap="flat" joinstyle="miter" miterlimit="10" on="false" color="#000000" opacity="0"/>
                <v:fill on="true" color="#000000"/>
              </v:shape>
              <v:shape id="Shape 16374" style="position:absolute;width:91;height:91;left:10077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75" style="position:absolute;width:1737;height:91;left:10138;top:0;" coordsize="173736,9144" path="m0,0l173736,0l173736,9144l0,9144l0,0">
                <v:stroke weight="0pt" endcap="flat" joinstyle="miter" miterlimit="10" on="false" color="#000000" opacity="0"/>
                <v:fill on="true" color="#000000"/>
              </v:shape>
              <v:shape id="Shape 16376" style="position:absolute;width:91;height:91;left:11875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77" style="position:absolute;width:1737;height:91;left:11936;top:0;" coordsize="173736,9144" path="m0,0l173736,0l173736,9144l0,9144l0,0">
                <v:stroke weight="0pt" endcap="flat" joinstyle="miter" miterlimit="10" on="false" color="#000000" opacity="0"/>
                <v:fill on="true" color="#000000"/>
              </v:shape>
              <v:shape id="Shape 16378" style="position:absolute;width:91;height:91;left:13674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79" style="position:absolute;width:91;height:1447;left:0;top:6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16380" style="position:absolute;width:91;height:91;left:0;top:150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81" style="position:absolute;width:1478;height:91;left:60;top:1508;" coordsize="147828,9144" path="m0,0l147828,0l147828,9144l0,9144l0,0">
                <v:stroke weight="0pt" endcap="flat" joinstyle="miter" miterlimit="10" on="false" color="#000000" opacity="0"/>
                <v:fill on="true" color="#000000"/>
              </v:shape>
              <v:shape id="Shape 16382" style="position:absolute;width:91;height:1447;left:1539;top:6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16383" style="position:absolute;width:91;height:91;left:1539;top:150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84" style="position:absolute;width:1463;height:91;left:1600;top:1508;" coordsize="146304,9144" path="m0,0l146304,0l146304,9144l0,9144l0,0">
                <v:stroke weight="0pt" endcap="flat" joinstyle="miter" miterlimit="10" on="false" color="#000000" opacity="0"/>
                <v:fill on="true" color="#000000"/>
              </v:shape>
              <v:shape id="Shape 16385" style="position:absolute;width:91;height:1447;left:3063;top:6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16386" style="position:absolute;width:91;height:91;left:3063;top:150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87" style="position:absolute;width:1542;height:91;left:3124;top:1508;" coordsize="154229,9144" path="m0,0l154229,0l154229,9144l0,9144l0,0">
                <v:stroke weight="0pt" endcap="flat" joinstyle="miter" miterlimit="10" on="false" color="#000000" opacity="0"/>
                <v:fill on="true" color="#000000"/>
              </v:shape>
              <v:shape id="Shape 16388" style="position:absolute;width:91;height:1447;left:4667;top:6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16389" style="position:absolute;width:91;height:91;left:4667;top:150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90" style="position:absolute;width:1752;height:91;left:4728;top:1508;" coordsize="175260,9144" path="m0,0l175260,0l175260,9144l0,9144l0,0">
                <v:stroke weight="0pt" endcap="flat" joinstyle="miter" miterlimit="10" on="false" color="#000000" opacity="0"/>
                <v:fill on="true" color="#000000"/>
              </v:shape>
              <v:shape id="Shape 16391" style="position:absolute;width:91;height:1447;left:6480;top:6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16392" style="position:absolute;width:91;height:91;left:6480;top:150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93" style="position:absolute;width:1737;height:91;left:6541;top:1508;" coordsize="173736,9144" path="m0,0l173736,0l173736,9144l0,9144l0,0">
                <v:stroke weight="0pt" endcap="flat" joinstyle="miter" miterlimit="10" on="false" color="#000000" opacity="0"/>
                <v:fill on="true" color="#000000"/>
              </v:shape>
              <v:shape id="Shape 16394" style="position:absolute;width:91;height:1447;left:8279;top:6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16395" style="position:absolute;width:91;height:91;left:8279;top:150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96" style="position:absolute;width:1737;height:91;left:8340;top:1508;" coordsize="173736,9144" path="m0,0l173736,0l173736,9144l0,9144l0,0">
                <v:stroke weight="0pt" endcap="flat" joinstyle="miter" miterlimit="10" on="false" color="#000000" opacity="0"/>
                <v:fill on="true" color="#000000"/>
              </v:shape>
              <v:shape id="Shape 16397" style="position:absolute;width:91;height:1447;left:10077;top:6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16398" style="position:absolute;width:91;height:91;left:10077;top:150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399" style="position:absolute;width:1737;height:91;left:10138;top:1508;" coordsize="173736,9144" path="m0,0l173736,0l173736,9144l0,9144l0,0">
                <v:stroke weight="0pt" endcap="flat" joinstyle="miter" miterlimit="10" on="false" color="#000000" opacity="0"/>
                <v:fill on="true" color="#000000"/>
              </v:shape>
              <v:shape id="Shape 16400" style="position:absolute;width:91;height:1447;left:11875;top:6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16401" style="position:absolute;width:91;height:91;left:11875;top:150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6402" style="position:absolute;width:1737;height:91;left:11936;top:1508;" coordsize="173736,9144" path="m0,0l173736,0l173736,9144l0,9144l0,0">
                <v:stroke weight="0pt" endcap="flat" joinstyle="miter" miterlimit="10" on="false" color="#000000" opacity="0"/>
                <v:fill on="true" color="#000000"/>
              </v:shape>
              <v:shape id="Shape 16403" style="position:absolute;width:91;height:1447;left:13674;top:60;" coordsize="9144,144780" path="m0,0l9144,0l9144,144780l0,144780l0,0">
                <v:stroke weight="0pt" endcap="flat" joinstyle="miter" miterlimit="10" on="false" color="#000000" opacity="0"/>
                <v:fill on="true" color="#000000"/>
              </v:shape>
              <v:shape id="Shape 16404" style="position:absolute;width:91;height:91;left:13674;top:150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8291" w:tblpY="1003"/>
      <w:tblOverlap w:val="never"/>
      <w:tblW w:w="2153" w:type="dxa"/>
      <w:tblInd w:w="0" w:type="dxa"/>
      <w:tblCellMar>
        <w:top w:w="80" w:type="dxa"/>
        <w:left w:w="70" w:type="dxa"/>
        <w:bottom w:w="0" w:type="dxa"/>
        <w:right w:w="62" w:type="dxa"/>
      </w:tblCellMar>
      <w:tblLook w:val="04A0" w:firstRow="1" w:lastRow="0" w:firstColumn="1" w:lastColumn="0" w:noHBand="0" w:noVBand="1"/>
    </w:tblPr>
    <w:tblGrid>
      <w:gridCol w:w="242"/>
      <w:gridCol w:w="240"/>
      <w:gridCol w:w="253"/>
      <w:gridCol w:w="286"/>
      <w:gridCol w:w="283"/>
      <w:gridCol w:w="283"/>
      <w:gridCol w:w="283"/>
      <w:gridCol w:w="283"/>
    </w:tblGrid>
    <w:tr w:rsidR="00C41C67" w14:paraId="27EF21A2" w14:textId="77777777">
      <w:trPr>
        <w:trHeight w:val="238"/>
      </w:trPr>
      <w:tc>
        <w:tcPr>
          <w:tcW w:w="2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FD67D3E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4 </w:t>
          </w:r>
        </w:p>
      </w:tc>
      <w:tc>
        <w:tcPr>
          <w:tcW w:w="2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28F807A" w14:textId="77777777" w:rsidR="00C41C67" w:rsidRDefault="00000000">
          <w:pPr>
            <w:spacing w:after="0" w:line="259" w:lineRule="auto"/>
            <w:ind w:left="0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6 </w:t>
          </w:r>
        </w:p>
      </w:tc>
      <w:tc>
        <w:tcPr>
          <w:tcW w:w="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4090B3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3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5FC0EB4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3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CCC39D" w14:textId="77777777" w:rsidR="00C41C67" w:rsidRDefault="00000000">
          <w:pPr>
            <w:spacing w:after="0" w:line="259" w:lineRule="auto"/>
            <w:ind w:left="0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794F07" w14:textId="77777777" w:rsidR="00C41C67" w:rsidRDefault="00000000">
          <w:pPr>
            <w:spacing w:after="0" w:line="259" w:lineRule="auto"/>
            <w:ind w:left="0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8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D99616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8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D5F9BF8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9 </w:t>
          </w:r>
        </w:p>
      </w:tc>
    </w:tr>
  </w:tbl>
  <w:tbl>
    <w:tblPr>
      <w:tblStyle w:val="TableGrid"/>
      <w:tblpPr w:vertAnchor="page" w:horzAnchor="page" w:tblpX="1491" w:tblpY="571"/>
      <w:tblOverlap w:val="never"/>
      <w:tblW w:w="8961" w:type="dxa"/>
      <w:tblInd w:w="0" w:type="dxa"/>
      <w:tblCellMar>
        <w:top w:w="80" w:type="dxa"/>
        <w:left w:w="70" w:type="dxa"/>
        <w:bottom w:w="0" w:type="dxa"/>
        <w:right w:w="33" w:type="dxa"/>
      </w:tblCellMar>
      <w:tblLook w:val="04A0" w:firstRow="1" w:lastRow="0" w:firstColumn="1" w:lastColumn="0" w:noHBand="0" w:noVBand="1"/>
    </w:tblPr>
    <w:tblGrid>
      <w:gridCol w:w="2784"/>
      <w:gridCol w:w="3457"/>
      <w:gridCol w:w="283"/>
      <w:gridCol w:w="242"/>
      <w:gridCol w:w="290"/>
      <w:gridCol w:w="290"/>
      <w:gridCol w:w="291"/>
      <w:gridCol w:w="240"/>
      <w:gridCol w:w="290"/>
      <w:gridCol w:w="290"/>
      <w:gridCol w:w="290"/>
      <w:gridCol w:w="214"/>
    </w:tblGrid>
    <w:tr w:rsidR="00C41C67" w14:paraId="2C2EF42C" w14:textId="77777777">
      <w:trPr>
        <w:trHeight w:val="238"/>
      </w:trPr>
      <w:tc>
        <w:tcPr>
          <w:tcW w:w="27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EA0198" w14:textId="77777777" w:rsidR="00C41C67" w:rsidRDefault="00000000">
          <w:pPr>
            <w:spacing w:after="0" w:line="259" w:lineRule="auto"/>
            <w:ind w:left="74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Poznámky </w:t>
          </w:r>
          <w:proofErr w:type="spellStart"/>
          <w:r>
            <w:rPr>
              <w:rFonts w:ascii="Arial CE" w:eastAsia="Arial CE" w:hAnsi="Arial CE" w:cs="Arial CE"/>
              <w:i/>
              <w:sz w:val="16"/>
            </w:rPr>
            <w:t>Úč</w:t>
          </w:r>
          <w:proofErr w:type="spellEnd"/>
          <w:r>
            <w:rPr>
              <w:rFonts w:ascii="Arial CE" w:eastAsia="Arial CE" w:hAnsi="Arial CE" w:cs="Arial CE"/>
              <w:i/>
              <w:sz w:val="16"/>
            </w:rPr>
            <w:t xml:space="preserve"> MÚJ  3 - 01 </w:t>
          </w:r>
        </w:p>
      </w:tc>
      <w:tc>
        <w:tcPr>
          <w:tcW w:w="3456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B4BF177" w14:textId="77777777" w:rsidR="00C41C67" w:rsidRDefault="00000000">
          <w:pPr>
            <w:spacing w:after="0" w:line="259" w:lineRule="auto"/>
            <w:ind w:left="85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                                      DIČ:                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7B6CD9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2 </w:t>
          </w:r>
        </w:p>
      </w:tc>
      <w:tc>
        <w:tcPr>
          <w:tcW w:w="2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0B9C2C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0 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D730793" w14:textId="77777777" w:rsidR="00C41C67" w:rsidRDefault="00000000">
          <w:pPr>
            <w:spacing w:after="0" w:line="259" w:lineRule="auto"/>
            <w:ind w:left="0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2 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0F63FBD" w14:textId="77777777" w:rsidR="00C41C67" w:rsidRDefault="00000000">
          <w:pPr>
            <w:spacing w:after="0" w:line="259" w:lineRule="auto"/>
            <w:ind w:left="0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3 </w:t>
          </w:r>
        </w:p>
      </w:tc>
      <w:tc>
        <w:tcPr>
          <w:tcW w:w="29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F7E504" w14:textId="77777777" w:rsidR="00C41C67" w:rsidRDefault="00000000">
          <w:pPr>
            <w:spacing w:after="0" w:line="259" w:lineRule="auto"/>
            <w:ind w:left="1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3 </w:t>
          </w:r>
        </w:p>
      </w:tc>
      <w:tc>
        <w:tcPr>
          <w:tcW w:w="2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E199C80" w14:textId="77777777" w:rsidR="00C41C67" w:rsidRDefault="00000000">
          <w:pPr>
            <w:spacing w:after="0" w:line="259" w:lineRule="auto"/>
            <w:ind w:left="0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5 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795B05F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6 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9BE622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8 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D873FA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4 </w:t>
          </w:r>
        </w:p>
      </w:tc>
      <w:tc>
        <w:tcPr>
          <w:tcW w:w="21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E61E8E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1 </w:t>
          </w:r>
        </w:p>
      </w:tc>
    </w:tr>
  </w:tbl>
  <w:p w14:paraId="2059F382" w14:textId="77777777" w:rsidR="00C41C67" w:rsidRDefault="00000000">
    <w:pPr>
      <w:spacing w:after="0" w:line="309" w:lineRule="auto"/>
      <w:ind w:left="3445" w:right="107" w:hanging="3445"/>
      <w:jc w:val="left"/>
    </w:pPr>
    <w:r>
      <w:rPr>
        <w:rFonts w:ascii="Arial CE" w:eastAsia="Arial CE" w:hAnsi="Arial CE" w:cs="Arial CE"/>
        <w:i/>
        <w:sz w:val="16"/>
      </w:rPr>
      <w:t xml:space="preserve">                                                             IČO:            </w:t>
    </w:r>
  </w:p>
  <w:p w14:paraId="35DF8C8E" w14:textId="77777777" w:rsidR="00C41C67" w:rsidRDefault="00000000">
    <w:pPr>
      <w:spacing w:after="0" w:line="259" w:lineRule="auto"/>
      <w:ind w:left="0" w:firstLine="0"/>
      <w:jc w:val="left"/>
    </w:pPr>
    <w:r>
      <w:t xml:space="preserve"> </w:t>
    </w:r>
  </w:p>
  <w:p w14:paraId="5C20049E" w14:textId="77777777" w:rsidR="00C41C67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D70EE69" wp14:editId="3077019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5797" name="Group 157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797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8291" w:tblpY="1003"/>
      <w:tblOverlap w:val="never"/>
      <w:tblW w:w="2153" w:type="dxa"/>
      <w:tblInd w:w="0" w:type="dxa"/>
      <w:tblCellMar>
        <w:top w:w="80" w:type="dxa"/>
        <w:left w:w="70" w:type="dxa"/>
        <w:bottom w:w="0" w:type="dxa"/>
        <w:right w:w="62" w:type="dxa"/>
      </w:tblCellMar>
      <w:tblLook w:val="04A0" w:firstRow="1" w:lastRow="0" w:firstColumn="1" w:lastColumn="0" w:noHBand="0" w:noVBand="1"/>
    </w:tblPr>
    <w:tblGrid>
      <w:gridCol w:w="242"/>
      <w:gridCol w:w="240"/>
      <w:gridCol w:w="253"/>
      <w:gridCol w:w="286"/>
      <w:gridCol w:w="283"/>
      <w:gridCol w:w="283"/>
      <w:gridCol w:w="283"/>
      <w:gridCol w:w="283"/>
    </w:tblGrid>
    <w:tr w:rsidR="00C41C67" w14:paraId="2610ABAF" w14:textId="77777777">
      <w:trPr>
        <w:trHeight w:val="238"/>
      </w:trPr>
      <w:tc>
        <w:tcPr>
          <w:tcW w:w="2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64466B8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4 </w:t>
          </w:r>
        </w:p>
      </w:tc>
      <w:tc>
        <w:tcPr>
          <w:tcW w:w="2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2572F8" w14:textId="77777777" w:rsidR="00C41C67" w:rsidRDefault="00000000">
          <w:pPr>
            <w:spacing w:after="0" w:line="259" w:lineRule="auto"/>
            <w:ind w:left="0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6 </w:t>
          </w:r>
        </w:p>
      </w:tc>
      <w:tc>
        <w:tcPr>
          <w:tcW w:w="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B84A91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3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5117889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3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A4A1423" w14:textId="77777777" w:rsidR="00C41C67" w:rsidRDefault="00000000">
          <w:pPr>
            <w:spacing w:after="0" w:line="259" w:lineRule="auto"/>
            <w:ind w:left="0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F33990" w14:textId="77777777" w:rsidR="00C41C67" w:rsidRDefault="00000000">
          <w:pPr>
            <w:spacing w:after="0" w:line="259" w:lineRule="auto"/>
            <w:ind w:left="0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8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F421A7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8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FBBE36D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9 </w:t>
          </w:r>
        </w:p>
      </w:tc>
    </w:tr>
  </w:tbl>
  <w:tbl>
    <w:tblPr>
      <w:tblStyle w:val="TableGrid"/>
      <w:tblpPr w:vertAnchor="page" w:horzAnchor="page" w:tblpX="1491" w:tblpY="571"/>
      <w:tblOverlap w:val="never"/>
      <w:tblW w:w="8961" w:type="dxa"/>
      <w:tblInd w:w="0" w:type="dxa"/>
      <w:tblCellMar>
        <w:top w:w="80" w:type="dxa"/>
        <w:left w:w="70" w:type="dxa"/>
        <w:bottom w:w="0" w:type="dxa"/>
        <w:right w:w="33" w:type="dxa"/>
      </w:tblCellMar>
      <w:tblLook w:val="04A0" w:firstRow="1" w:lastRow="0" w:firstColumn="1" w:lastColumn="0" w:noHBand="0" w:noVBand="1"/>
    </w:tblPr>
    <w:tblGrid>
      <w:gridCol w:w="2782"/>
      <w:gridCol w:w="3456"/>
      <w:gridCol w:w="283"/>
      <w:gridCol w:w="242"/>
      <w:gridCol w:w="290"/>
      <w:gridCol w:w="290"/>
      <w:gridCol w:w="291"/>
      <w:gridCol w:w="240"/>
      <w:gridCol w:w="290"/>
      <w:gridCol w:w="290"/>
      <w:gridCol w:w="290"/>
      <w:gridCol w:w="214"/>
    </w:tblGrid>
    <w:tr w:rsidR="00C41C67" w14:paraId="475723F2" w14:textId="77777777">
      <w:trPr>
        <w:trHeight w:val="238"/>
      </w:trPr>
      <w:tc>
        <w:tcPr>
          <w:tcW w:w="27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971F4E" w14:textId="77777777" w:rsidR="00C41C67" w:rsidRDefault="00000000">
          <w:pPr>
            <w:spacing w:after="0" w:line="259" w:lineRule="auto"/>
            <w:ind w:left="74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Poznámky </w:t>
          </w:r>
          <w:proofErr w:type="spellStart"/>
          <w:r>
            <w:rPr>
              <w:rFonts w:ascii="Arial CE" w:eastAsia="Arial CE" w:hAnsi="Arial CE" w:cs="Arial CE"/>
              <w:i/>
              <w:sz w:val="16"/>
            </w:rPr>
            <w:t>Úč</w:t>
          </w:r>
          <w:proofErr w:type="spellEnd"/>
          <w:r>
            <w:rPr>
              <w:rFonts w:ascii="Arial CE" w:eastAsia="Arial CE" w:hAnsi="Arial CE" w:cs="Arial CE"/>
              <w:i/>
              <w:sz w:val="16"/>
            </w:rPr>
            <w:t xml:space="preserve"> MÚJ  3 - 01 </w:t>
          </w:r>
        </w:p>
      </w:tc>
      <w:tc>
        <w:tcPr>
          <w:tcW w:w="3456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898DF29" w14:textId="77777777" w:rsidR="00C41C67" w:rsidRDefault="00000000">
          <w:pPr>
            <w:spacing w:after="0" w:line="259" w:lineRule="auto"/>
            <w:ind w:left="85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                                      DIČ:                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BB5E9FB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2 </w:t>
          </w:r>
        </w:p>
      </w:tc>
      <w:tc>
        <w:tcPr>
          <w:tcW w:w="2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CDE23F7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0 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1169638" w14:textId="77777777" w:rsidR="00C41C67" w:rsidRDefault="00000000">
          <w:pPr>
            <w:spacing w:after="0" w:line="259" w:lineRule="auto"/>
            <w:ind w:left="0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2 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8DB3DE" w14:textId="77777777" w:rsidR="00C41C67" w:rsidRDefault="00000000">
          <w:pPr>
            <w:spacing w:after="0" w:line="259" w:lineRule="auto"/>
            <w:ind w:left="0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3 </w:t>
          </w:r>
        </w:p>
      </w:tc>
      <w:tc>
        <w:tcPr>
          <w:tcW w:w="29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3A171A" w14:textId="77777777" w:rsidR="00C41C67" w:rsidRDefault="00000000">
          <w:pPr>
            <w:spacing w:after="0" w:line="259" w:lineRule="auto"/>
            <w:ind w:left="1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3 </w:t>
          </w:r>
        </w:p>
      </w:tc>
      <w:tc>
        <w:tcPr>
          <w:tcW w:w="2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49516EB" w14:textId="77777777" w:rsidR="00C41C67" w:rsidRDefault="00000000">
          <w:pPr>
            <w:spacing w:after="0" w:line="259" w:lineRule="auto"/>
            <w:ind w:left="0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5 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9CDA02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6 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A64781D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8 </w:t>
          </w:r>
        </w:p>
      </w:tc>
      <w:tc>
        <w:tcPr>
          <w:tcW w:w="2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B60ADE6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4 </w:t>
          </w:r>
        </w:p>
      </w:tc>
      <w:tc>
        <w:tcPr>
          <w:tcW w:w="21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FC47B0" w14:textId="77777777" w:rsidR="00C41C67" w:rsidRDefault="00000000">
          <w:pPr>
            <w:spacing w:after="0" w:line="259" w:lineRule="auto"/>
            <w:ind w:left="2" w:firstLine="0"/>
            <w:jc w:val="left"/>
          </w:pPr>
          <w:r>
            <w:rPr>
              <w:rFonts w:ascii="Arial CE" w:eastAsia="Arial CE" w:hAnsi="Arial CE" w:cs="Arial CE"/>
              <w:i/>
              <w:sz w:val="16"/>
            </w:rPr>
            <w:t xml:space="preserve">1 </w:t>
          </w:r>
        </w:p>
      </w:tc>
    </w:tr>
  </w:tbl>
  <w:p w14:paraId="750AE23D" w14:textId="77777777" w:rsidR="00C41C67" w:rsidRDefault="00000000">
    <w:pPr>
      <w:spacing w:after="0" w:line="309" w:lineRule="auto"/>
      <w:ind w:left="3445" w:right="107" w:hanging="3445"/>
      <w:jc w:val="left"/>
    </w:pPr>
    <w:r>
      <w:rPr>
        <w:rFonts w:ascii="Arial CE" w:eastAsia="Arial CE" w:hAnsi="Arial CE" w:cs="Arial CE"/>
        <w:i/>
        <w:sz w:val="16"/>
      </w:rPr>
      <w:t xml:space="preserve">                                                             IČO:            </w:t>
    </w:r>
  </w:p>
  <w:p w14:paraId="3D962A82" w14:textId="77777777" w:rsidR="00C41C67" w:rsidRDefault="00000000">
    <w:pPr>
      <w:spacing w:after="0" w:line="259" w:lineRule="auto"/>
      <w:ind w:left="0" w:firstLine="0"/>
      <w:jc w:val="left"/>
    </w:pPr>
    <w:r>
      <w:t xml:space="preserve"> </w:t>
    </w:r>
  </w:p>
  <w:p w14:paraId="44E989E1" w14:textId="77777777" w:rsidR="00C41C67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0840631" wp14:editId="43EE82E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5518" name="Group 155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518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92CED"/>
    <w:multiLevelType w:val="hybridMultilevel"/>
    <w:tmpl w:val="5D70FFF6"/>
    <w:lvl w:ilvl="0" w:tplc="3BC67426">
      <w:start w:val="1"/>
      <w:numFmt w:val="lowerLetter"/>
      <w:lvlText w:val="%1)"/>
      <w:lvlJc w:val="left"/>
      <w:pPr>
        <w:ind w:left="5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50B40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A4050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1470A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38535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4EE5C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06FAB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70E5E4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C6A80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AF2616"/>
    <w:multiLevelType w:val="hybridMultilevel"/>
    <w:tmpl w:val="8D6E2EAC"/>
    <w:lvl w:ilvl="0" w:tplc="C1161D88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54B4DC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A04A36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8213E0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4A7630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CE8FF4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6A4C04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58A9F6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8E3EEC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D14F78"/>
    <w:multiLevelType w:val="hybridMultilevel"/>
    <w:tmpl w:val="CE2E6FF0"/>
    <w:lvl w:ilvl="0" w:tplc="DC5EC014">
      <w:start w:val="1"/>
      <w:numFmt w:val="lowerLetter"/>
      <w:lvlText w:val="%1)"/>
      <w:lvlJc w:val="left"/>
      <w:pPr>
        <w:ind w:left="5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D0982A">
      <w:start w:val="1"/>
      <w:numFmt w:val="lowerLetter"/>
      <w:lvlText w:val="%2"/>
      <w:lvlJc w:val="left"/>
      <w:pPr>
        <w:ind w:left="1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DACC9C">
      <w:start w:val="1"/>
      <w:numFmt w:val="lowerRoman"/>
      <w:lvlText w:val="%3"/>
      <w:lvlJc w:val="left"/>
      <w:pPr>
        <w:ind w:left="2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EE732A">
      <w:start w:val="1"/>
      <w:numFmt w:val="decimal"/>
      <w:lvlText w:val="%4"/>
      <w:lvlJc w:val="left"/>
      <w:pPr>
        <w:ind w:left="2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32A9CA">
      <w:start w:val="1"/>
      <w:numFmt w:val="lowerLetter"/>
      <w:lvlText w:val="%5"/>
      <w:lvlJc w:val="left"/>
      <w:pPr>
        <w:ind w:left="3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46C016">
      <w:start w:val="1"/>
      <w:numFmt w:val="lowerRoman"/>
      <w:lvlText w:val="%6"/>
      <w:lvlJc w:val="left"/>
      <w:pPr>
        <w:ind w:left="4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B823A36">
      <w:start w:val="1"/>
      <w:numFmt w:val="decimal"/>
      <w:lvlText w:val="%7"/>
      <w:lvlJc w:val="left"/>
      <w:pPr>
        <w:ind w:left="4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7A7538">
      <w:start w:val="1"/>
      <w:numFmt w:val="lowerLetter"/>
      <w:lvlText w:val="%8"/>
      <w:lvlJc w:val="left"/>
      <w:pPr>
        <w:ind w:left="5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D08872">
      <w:start w:val="1"/>
      <w:numFmt w:val="lowerRoman"/>
      <w:lvlText w:val="%9"/>
      <w:lvlJc w:val="left"/>
      <w:pPr>
        <w:ind w:left="6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CE7934"/>
    <w:multiLevelType w:val="hybridMultilevel"/>
    <w:tmpl w:val="07C68734"/>
    <w:lvl w:ilvl="0" w:tplc="638EC5E8">
      <w:start w:val="1"/>
      <w:numFmt w:val="bullet"/>
      <w:lvlText w:val="-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A8EEB2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A8AA56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232DF88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A4274A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AAA2FC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20593C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680734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6C6BE4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5915FD"/>
    <w:multiLevelType w:val="hybridMultilevel"/>
    <w:tmpl w:val="67B4D2DE"/>
    <w:lvl w:ilvl="0" w:tplc="2ACE6CCA">
      <w:start w:val="1"/>
      <w:numFmt w:val="lowerLetter"/>
      <w:lvlText w:val="%1)"/>
      <w:lvlJc w:val="left"/>
      <w:pPr>
        <w:ind w:left="5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65817AE">
      <w:start w:val="1"/>
      <w:numFmt w:val="lowerLetter"/>
      <w:lvlText w:val="%2"/>
      <w:lvlJc w:val="left"/>
      <w:pPr>
        <w:ind w:left="1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9097DE">
      <w:start w:val="1"/>
      <w:numFmt w:val="lowerRoman"/>
      <w:lvlText w:val="%3"/>
      <w:lvlJc w:val="left"/>
      <w:pPr>
        <w:ind w:left="2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B6BF26">
      <w:start w:val="1"/>
      <w:numFmt w:val="decimal"/>
      <w:lvlText w:val="%4"/>
      <w:lvlJc w:val="left"/>
      <w:pPr>
        <w:ind w:left="2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A6209F2">
      <w:start w:val="1"/>
      <w:numFmt w:val="lowerLetter"/>
      <w:lvlText w:val="%5"/>
      <w:lvlJc w:val="left"/>
      <w:pPr>
        <w:ind w:left="3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FEC5E8">
      <w:start w:val="1"/>
      <w:numFmt w:val="lowerRoman"/>
      <w:lvlText w:val="%6"/>
      <w:lvlJc w:val="left"/>
      <w:pPr>
        <w:ind w:left="4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B0C7FA">
      <w:start w:val="1"/>
      <w:numFmt w:val="decimal"/>
      <w:lvlText w:val="%7"/>
      <w:lvlJc w:val="left"/>
      <w:pPr>
        <w:ind w:left="4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86954C">
      <w:start w:val="1"/>
      <w:numFmt w:val="lowerLetter"/>
      <w:lvlText w:val="%8"/>
      <w:lvlJc w:val="left"/>
      <w:pPr>
        <w:ind w:left="5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145F6E">
      <w:start w:val="1"/>
      <w:numFmt w:val="lowerRoman"/>
      <w:lvlText w:val="%9"/>
      <w:lvlJc w:val="left"/>
      <w:pPr>
        <w:ind w:left="6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0267287">
    <w:abstractNumId w:val="2"/>
  </w:num>
  <w:num w:numId="2" w16cid:durableId="1754429979">
    <w:abstractNumId w:val="3"/>
  </w:num>
  <w:num w:numId="3" w16cid:durableId="1384133176">
    <w:abstractNumId w:val="1"/>
  </w:num>
  <w:num w:numId="4" w16cid:durableId="2107336376">
    <w:abstractNumId w:val="4"/>
  </w:num>
  <w:num w:numId="5" w16cid:durableId="561715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C67"/>
    <w:rsid w:val="00136262"/>
    <w:rsid w:val="002179D3"/>
    <w:rsid w:val="00C4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28B25"/>
  <w15:docId w15:val="{FA5B76CA-0568-4468-B738-1FA22AF8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9" w:line="271" w:lineRule="auto"/>
      <w:ind w:left="293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hd w:val="clear" w:color="auto" w:fill="C0C0C0"/>
      <w:spacing w:after="266"/>
      <w:ind w:left="10" w:hanging="10"/>
      <w:outlineLvl w:val="0"/>
    </w:pPr>
    <w:rPr>
      <w:rFonts w:ascii="Arial CE" w:eastAsia="Arial CE" w:hAnsi="Arial CE" w:cs="Arial CE"/>
      <w:b/>
      <w:color w:val="000000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104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 CE" w:eastAsia="Arial CE" w:hAnsi="Arial CE" w:cs="Arial CE"/>
      <w:b/>
      <w:color w:val="000000"/>
      <w:sz w:val="22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1764</Words>
  <Characters>10059</Characters>
  <Application>Microsoft Office Word</Application>
  <DocSecurity>0</DocSecurity>
  <Lines>83</Lines>
  <Paragraphs>23</Paragraphs>
  <ScaleCrop>false</ScaleCrop>
  <Company/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Jarmila Jankurová</dc:creator>
  <cp:keywords/>
  <cp:lastModifiedBy>havrisova@azet.sk</cp:lastModifiedBy>
  <cp:revision>2</cp:revision>
  <dcterms:created xsi:type="dcterms:W3CDTF">2023-03-16T09:03:00Z</dcterms:created>
  <dcterms:modified xsi:type="dcterms:W3CDTF">2023-03-16T09:03:00Z</dcterms:modified>
</cp:coreProperties>
</file>