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</w:t>
      </w:r>
      <w:r>
        <w:rPr>
          <w:rFonts w:ascii="Courier New" w:hAnsi="Courier New" w:cs="Courier New"/>
        </w:rPr>
        <w:t>) Údaje o konsolidovanom celku: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</w:t>
      </w:r>
      <w:r>
        <w:rPr>
          <w:rFonts w:ascii="Courier New" w:hAnsi="Courier New" w:cs="Courier New"/>
        </w:rPr>
        <w:t>a sa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</w:t>
      </w:r>
      <w:r w:rsidR="005221B5">
        <w:rPr>
          <w:rFonts w:ascii="Courier New" w:hAnsi="Courier New" w:cs="Courier New"/>
          <w:b/>
          <w:bCs/>
        </w:rPr>
        <w:t>120,00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    eur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E210B" w:rsidRDefault="005E21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5E210B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221B5"/>
    <w:rsid w:val="005221B5"/>
    <w:rsid w:val="005E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1395</Words>
  <Characters>7956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2023-03-17T11:34:00Z</dcterms:created>
  <dcterms:modified xsi:type="dcterms:W3CDTF">2023-03-17T11:34:00Z</dcterms:modified>
</cp:coreProperties>
</file>