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26" style="position:absolute;flip:x;z-index:1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027" style="position:absolute;flip:x;z-index:2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028" style="position:absolute;flip:x;z-index:3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029" style="position:absolute;flip:x;z-index:4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030" style="position:absolute;flip:x;z-index:5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031" style="position:absolute;flip:x;z-index:6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032" style="position:absolute;flip:x;z-index:7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033" style="position:absolute;flip:x;z-index:8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034" style="position:absolute;flip:x;z-index:9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035" style="position:absolute;flip:x;z-index:10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036" style="position:absolute;flip:x;z-index:11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037" style="position:absolute;flip:x;z-index:12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038" style="position:absolute;flip:x;z-index:13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039" style="position:absolute;flip:x;z-index:14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040" style="position:absolute;flip:x;z-index:15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041" style="position:absolute;flip:x;z-index:16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042" style="position:absolute;flip:x;z-index:17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043" style="position:absolute;flip:x;z-index:18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044" style="position:absolute;flip:x;z-index:19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045" style="position:absolute;flip:x;z-index:20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046" style="position:absolute;flip:x;z-index:21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047" style="position:absolute;flip:x;z-index:22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048" style="position:absolute;z-index:23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049" style="position:absolute;z-index:24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050" style="position:absolute;z-index:25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051" style="position:absolute;z-index:26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052" style="position:absolute;z-index:27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053" style="position:absolute;z-index:28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054" style="position:absolute;z-index:29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055" style="position:absolute;z-index:30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056" style="position:absolute;z-index:31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057" style="position:absolute;z-index:32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058" style="position:absolute;z-index:33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059" style="position:absolute;z-index:34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060" style="position:absolute;z-index:35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061" style="position:absolute;z-index:36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062" style="position:absolute;z-index:37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063" style="position:absolute;z-index:38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064" style="position:absolute;z-index:39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065" style="position:absolute;z-index:40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066" style="position:absolute;z-index:41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067" style="position:absolute;z-index:42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068" style="position:absolute;z-index:43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069" style="position:absolute;z-index:44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70" style="position:absolute;flip:x;z-index:45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071" style="position:absolute;flip:x;z-index:46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072" style="position:absolute;flip:x;z-index:47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073" style="position:absolute;flip:x;z-index:48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074" style="position:absolute;flip:x;z-index:49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075" style="position:absolute;flip:x;z-index:50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076" style="position:absolute;flip:x;z-index:51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077" style="position:absolute;flip:x;z-index:52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078" style="position:absolute;flip:x;z-index:53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079" style="position:absolute;flip:x;z-index:54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080" style="position:absolute;flip:x;z-index:55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081" style="position:absolute;flip:x;z-index:56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082" style="position:absolute;flip:x;z-index:57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083" style="position:absolute;flip:x;z-index:58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084" style="position:absolute;flip:x;z-index:59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085" style="position:absolute;flip:x;z-index:60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086" style="position:absolute;flip:x;z-index:61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087" style="position:absolute;flip:x;z-index:62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088" style="position:absolute;flip:x;z-index:63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089" style="position:absolute;flip:x;z-index:64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090" style="position:absolute;flip:x;z-index:65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091" style="position:absolute;flip:x;z-index:66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Strana:  1 z  4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b/>
          <w:bCs/>
        </w:rPr>
        <w:t xml:space="preserve">MERLON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2950/18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</w:t>
      </w:r>
      <w:r>
        <w:rPr>
          <w:rFonts w:ascii="Courier New" w:hAnsi="Courier New" w:cs="Courier New"/>
          <w:b/>
          <w:bCs/>
        </w:rPr>
        <w:t>P</w:t>
      </w:r>
      <w:r>
        <w:rPr>
          <w:rFonts w:ascii="Courier New" w:hAnsi="Courier New" w:cs="Courier New"/>
          <w:b/>
          <w:bCs/>
        </w:rPr>
        <w:t>OZNÁMKY K ÚČTOVNEJ ZÁVIERKE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</w:t>
      </w:r>
      <w:r>
        <w:rPr>
          <w:rFonts w:ascii="Courier New" w:hAnsi="Courier New" w:cs="Courier New"/>
          <w:b/>
          <w:bCs/>
        </w:rPr>
        <w:t>k  31.12.2022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Čl. I   VŠEOBECNÉ ÚDAJE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(1) Názov právnickej osoby a jej sídlo: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MERLON s.r.o.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2950/18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94501 Komárno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(2) </w:t>
      </w:r>
      <w:r>
        <w:rPr>
          <w:rFonts w:ascii="Courier New" w:hAnsi="Courier New" w:cs="Courier New"/>
        </w:rPr>
        <w:t>Údaje o konsolidovanom celku: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a) obchodné meno a sídlo konsolidujúcej účtovnej jednotky, ktorá zostavuje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konsolidovanú účtovnú závierku za tú skupinu účtovných jednotiek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konsolidovaného celku, ktorého súčasťou je aj účtovná jednotka; uvádza </w:t>
      </w:r>
      <w:r>
        <w:rPr>
          <w:rFonts w:ascii="Courier New" w:hAnsi="Courier New" w:cs="Courier New"/>
        </w:rPr>
        <w:t>sa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aj obchodné meno a sídlo účtovnej jednotky, ktorá je bezprostredne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konsolidujúcou účtovnou jednotkou,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b) údaj, či účtovná jednotka je materskou účtovnou jednotkou a údaj, či je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oslobodená od povinnosti zostaviť konsolidovanú účtovnú závierku 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konsolidovanú výročnú správu podľa § 22 zákona, pričom sa uvádzajú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pri oslobodení podľa § 22 ods. 8 zákona obchodné meno a sídlo materskej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 zostav</w:t>
      </w:r>
      <w:r>
        <w:rPr>
          <w:rFonts w:ascii="Courier New" w:hAnsi="Courier New" w:cs="Courier New"/>
        </w:rPr>
        <w:t>ujúcej konsolidovanú účtovnú závierku podľa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osobitných predpisov,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2. pri oslobodení podľa § 22 ods. 12 zákona obchodné meno a sídlo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dcérskych účtovných jednotiek.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(3) Priemerný prepočítaný počet zamestnancov: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</w:t>
      </w:r>
      <w:r>
        <w:rPr>
          <w:rFonts w:ascii="Courier New" w:hAnsi="Courier New" w:cs="Courier New"/>
          <w:b/>
          <w:bCs/>
        </w:rPr>
        <w:t xml:space="preserve">           730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2 * ---------------- =      2.00 pracovníkov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365  *     2  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Čl. II  INFORMÁCIE O PRIJATÝCH POSTUPOCH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(1) Informácia, či je účtovná závierka zostavená za splnenia predpokladu, že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účtovná j</w:t>
      </w:r>
      <w:r>
        <w:rPr>
          <w:rFonts w:ascii="Courier New" w:hAnsi="Courier New" w:cs="Courier New"/>
        </w:rPr>
        <w:t>ednotka bude nepretržite pokračovať vo svojej činnosti: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(2) Spôsob oceňovania jednotlivých položiek majetku a záväzkov: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dlhodobého nehmotného majetku, dlhodobého hmotného majetku a dlhodobého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finančného majetku,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zásob obstaraných kúpou, zásob vytvorených vlastnou činnosťou,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pohľadávok,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line id="_x0000_s1092" style="position:absolute;flip:x;z-index:67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093" style="position:absolute;flip:x;z-index:68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094" style="position:absolute;flip:x;z-index:69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095" style="position:absolute;flip:x;z-index:70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096" style="position:absolute;flip:x;z-index:71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097" style="position:absolute;flip:x;z-index:72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098" style="position:absolute;flip:x;z-index:73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099" style="position:absolute;flip:x;z-index:74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100" style="position:absolute;flip:x;z-index:75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101" style="position:absolute;flip:x;z-index:76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102" style="position:absolute;flip:x;z-index:77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103" style="position:absolute;flip:x;z-index:78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104" style="position:absolute;flip:x;z-index:79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105" style="position:absolute;flip:x;z-index:80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106" style="position:absolute;flip:x;z-index:81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107" style="position:absolute;flip:x;z-index:82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108" style="position:absolute;flip:x;z-index:83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109" style="position:absolute;flip:x;z-index:84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110" style="position:absolute;flip:x;z-index:85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111" style="position:absolute;flip:x;z-index:86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112" style="position:absolute;flip:x;z-index:87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113" style="position:absolute;flip:x;z-index:88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114" style="position:absolute;z-index:89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115" style="position:absolute;z-index:90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116" style="position:absolute;z-index:91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117" style="position:absolute;z-index:92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118" style="position:absolute;z-index:93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119" style="position:absolute;z-index:94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120" style="position:absolute;z-index:95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121" style="position:absolute;z-index:96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122" style="position:absolute;z-index:97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123" style="position:absolute;z-index:98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124" style="position:absolute;z-index:99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125" style="position:absolute;z-index:100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126" style="position:absolute;z-index:101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127" style="position:absolute;z-index:102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128" style="position:absolute;z-index:103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129" style="position:absolute;z-index:104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130" style="position:absolute;z-index:105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131" style="position:absolute;z-index:106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132" style="position:absolute;z-index:107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133" style="position:absolute;z-index:108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134" style="position:absolute;z-index:109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135" style="position:absolute;z-index:110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</w:t>
      </w:r>
      <w:r>
        <w:rPr>
          <w:rFonts w:ascii="Courier New" w:hAnsi="Courier New" w:cs="Courier New"/>
        </w:rPr>
        <w:t xml:space="preserve">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136" style="position:absolute;flip:x;z-index:111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137" style="position:absolute;flip:x;z-index:112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138" style="position:absolute;flip:x;z-index:113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139" style="position:absolute;flip:x;z-index:114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140" style="position:absolute;flip:x;z-index:115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141" style="position:absolute;flip:x;z-index:116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142" style="position:absolute;flip:x;z-index:117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143" style="position:absolute;flip:x;z-index:118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144" style="position:absolute;flip:x;z-index:119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145" style="position:absolute;flip:x;z-index:120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146" style="position:absolute;flip:x;z-index:121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147" style="position:absolute;flip:x;z-index:122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148" style="position:absolute;flip:x;z-index:123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149" style="position:absolute;flip:x;z-index:124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150" style="position:absolute;flip:x;z-index:125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151" style="position:absolute;flip:x;z-index:126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152" style="position:absolute;flip:x;z-index:127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153" style="position:absolute;flip:x;z-index:128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154" style="position:absolute;flip:x;z-index:129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155" style="position:absolute;flip:x;z-index:130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156" style="position:absolute;flip:x;z-index:131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157" style="position:absolute;flip:x;z-index:132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                                                    Strana:  2 z  4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b/>
          <w:bCs/>
        </w:rPr>
        <w:t xml:space="preserve">MERLON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2950/18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d) krátkodobého finančného majetku,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e) záväzkov vrátane rezerv, dlhopisov, pôžičiek a úverov,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f) derivátových operácií.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(3) Spôsob zostavenia odpisového plánu pre jednotlivé druhy dlhodobého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hmotného majetku a dlhodobého nehmotného majetku, pričom sa uvádza doba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odpisovania, použité sadzby odpisov a odpisové metódy pri urč</w:t>
      </w:r>
      <w:r>
        <w:rPr>
          <w:rFonts w:ascii="Courier New" w:hAnsi="Courier New" w:cs="Courier New"/>
        </w:rPr>
        <w:t xml:space="preserve">ení odpisov.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(4) Zmeny účtovných zásad a zmeny účtovných metód s uvedením dôvodu týchto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zmien a vyčíslením ich vplyvu na finančnú hodnotu majetku, záväzkov,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základného imania a výsledku hospodárenia účtovnej jednotky.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(5) Informácie o dotáciách a ich oceňovanie v účtovníctve.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(6) Informácie o účtovaní významných opráv chýb minulých účtovných období v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bežnom účtovnom období s uvedením vplyvu na nerozdelený zisk minulých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rokov alebo neuhradenú stratu mi</w:t>
      </w:r>
      <w:r>
        <w:rPr>
          <w:rFonts w:ascii="Courier New" w:hAnsi="Courier New" w:cs="Courier New"/>
        </w:rPr>
        <w:t>nulých rokov; súčasne sa môže uviesť aj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účtovanie nevýznamných chýb minulých účtovných období v bežnom účtovnom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období s uvedením vplyvu na výsledok hospodárenia bežného účtovného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obdobia.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Čl. III INFORMÁCIE, KTORÉ VYSVETĽUJÚ A DOPĹŇAJÚ</w:t>
      </w:r>
      <w:r>
        <w:rPr>
          <w:rFonts w:ascii="Courier New" w:hAnsi="Courier New" w:cs="Courier New"/>
        </w:rPr>
        <w:t xml:space="preserve"> SÚVAHU A VÝKAZ ZISKOV A STRÁT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(1) Informácia o sume a dôvodoch vzniku jednotlivých položiek nákladov alebo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výnosov, ktoré majú výnimočný rozsah alebo výskyt, napríklad výnosy z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predaja podniku alebo časti podniku, náklady z dôvodu predaja po</w:t>
      </w:r>
      <w:r>
        <w:rPr>
          <w:rFonts w:ascii="Courier New" w:hAnsi="Courier New" w:cs="Courier New"/>
        </w:rPr>
        <w:t>dniku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alebo časti podniku, škody z dôvodu živelných pohrôm.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(2) Informácie o záväzkoch: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do lehoty splatnosti:      </w:t>
      </w:r>
      <w:r w:rsidR="004B7539">
        <w:rPr>
          <w:rFonts w:ascii="Courier New" w:hAnsi="Courier New" w:cs="Courier New"/>
          <w:b/>
          <w:bCs/>
        </w:rPr>
        <w:t>15,785,00</w:t>
      </w:r>
      <w:bookmarkStart w:id="0" w:name="_GoBack"/>
      <w:bookmarkEnd w:id="0"/>
      <w:r>
        <w:rPr>
          <w:rFonts w:ascii="Courier New" w:hAnsi="Courier New" w:cs="Courier New"/>
          <w:b/>
          <w:bCs/>
        </w:rPr>
        <w:t xml:space="preserve">        eur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po lehote splatnosti:     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(3) Informácie o vlastných akciách: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dôvode nadobudnutia vlastných akcií počas účtovného obdobia,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informáciách, ktorými sú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1. počet a menovitá hodnota nadobudnutých vlastných akcií počas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účtovného obdobia a počet a menovitá hodnota prevedených vlastných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akcií počas účtovného obdobia, pričom sa uvádza percentuálna hodnota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týchto vlastných akcií na upísanom základnom imaní,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2. počet a hodnota, za ktorú sa vlastné akcie počas účtovného obdobia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nadobudli a počet a hodno</w:t>
      </w:r>
      <w:r>
        <w:rPr>
          <w:rFonts w:ascii="Courier New" w:hAnsi="Courier New" w:cs="Courier New"/>
        </w:rPr>
        <w:t>ta, za ktorú sa vlastné akcie počas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účtovného obdobia previedli na inú osobu,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počte, menovitej hodnote a hodnote, za ktorú sa vlastné akcie nadobudli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 ktoré účtovná jednotka má v držbe k poslednému dňu účtovného obdobia;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line id="_x0000_s1158" style="position:absolute;flip:x;z-index:133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159" style="position:absolute;flip:x;z-index:134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160" style="position:absolute;flip:x;z-index:135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161" style="position:absolute;flip:x;z-index:136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162" style="position:absolute;flip:x;z-index:137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163" style="position:absolute;flip:x;z-index:138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164" style="position:absolute;flip:x;z-index:139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165" style="position:absolute;flip:x;z-index:140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166" style="position:absolute;flip:x;z-index:141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167" style="position:absolute;flip:x;z-index:142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168" style="position:absolute;flip:x;z-index:143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169" style="position:absolute;flip:x;z-index:144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170" style="position:absolute;flip:x;z-index:145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171" style="position:absolute;flip:x;z-index:146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172" style="position:absolute;flip:x;z-index:147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173" style="position:absolute;flip:x;z-index:148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174" style="position:absolute;flip:x;z-index:149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175" style="position:absolute;flip:x;z-index:150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176" style="position:absolute;flip:x;z-index:151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177" style="position:absolute;flip:x;z-index:152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178" style="position:absolute;flip:x;z-index:153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179" style="position:absolute;flip:x;z-index:154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180" style="position:absolute;z-index:155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181" style="position:absolute;z-index:156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182" style="position:absolute;z-index:157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183" style="position:absolute;z-index:158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184" style="position:absolute;z-index:159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185" style="position:absolute;z-index:160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186" style="position:absolute;z-index:161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187" style="position:absolute;z-index:162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188" style="position:absolute;z-index:163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189" style="position:absolute;z-index:164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190" style="position:absolute;z-index:165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191" style="position:absolute;z-index:166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192" style="position:absolute;z-index:167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193" style="position:absolute;z-index:168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194" style="position:absolute;z-index:169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195" style="position:absolute;z-index:170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196" style="position:absolute;z-index:171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197" style="position:absolute;z-index:172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198" style="position:absolute;z-index:173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199" style="position:absolute;z-index:174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200" style="position:absolute;z-index:175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201" style="position:absolute;z-index:176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202" style="position:absolute;flip:x;z-index:177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203" style="position:absolute;flip:x;z-index:178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204" style="position:absolute;flip:x;z-index:179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205" style="position:absolute;flip:x;z-index:180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206" style="position:absolute;flip:x;z-index:181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207" style="position:absolute;flip:x;z-index:182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208" style="position:absolute;flip:x;z-index:183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209" style="position:absolute;flip:x;z-index:184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210" style="position:absolute;flip:x;z-index:185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211" style="position:absolute;flip:x;z-index:186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212" style="position:absolute;flip:x;z-index:187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213" style="position:absolute;flip:x;z-index:188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214" style="position:absolute;flip:x;z-index:189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215" style="position:absolute;flip:x;z-index:190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216" style="position:absolute;flip:x;z-index:191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217" style="position:absolute;flip:x;z-index:192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218" style="position:absolute;flip:x;z-index:193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219" style="position:absolute;flip:x;z-index:194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220" style="position:absolute;flip:x;z-index:195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221" style="position:absolute;flip:x;z-index:196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222" style="position:absolute;flip:x;z-index:197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223" style="position:absolute;flip:x;z-index:198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</w:t>
      </w:r>
      <w:r>
        <w:rPr>
          <w:rFonts w:ascii="Courier New" w:hAnsi="Courier New" w:cs="Courier New"/>
        </w:rPr>
        <w:t xml:space="preserve">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Strana:  3 z  4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b/>
          <w:bCs/>
        </w:rPr>
        <w:t xml:space="preserve">MERLON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2950/18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uvádza sa aj ich percentuálny podiel na upísanom zákla</w:t>
      </w:r>
      <w:r>
        <w:rPr>
          <w:rFonts w:ascii="Courier New" w:hAnsi="Courier New" w:cs="Courier New"/>
        </w:rPr>
        <w:t xml:space="preserve">dnom imaní.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(4) Informácie o orgánoch účtovnej jednotky: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výške jednotlivých druhov záruk alebo iných zabezpečení poskytnutých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 členov štatutárneho orgánu, dozorného orgánu a iného orgánu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jednotky, a to v členení za jednotlivé orgány,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pôžičkách poskytnutých členom štatutárneho orgánu, dozorného orgánu 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iného orgánu účtovnej jednotky a to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1. celková suma poskytnutých pôžičiek k poslednému dňu účto</w:t>
      </w:r>
      <w:r>
        <w:rPr>
          <w:rFonts w:ascii="Courier New" w:hAnsi="Courier New" w:cs="Courier New"/>
        </w:rPr>
        <w:t>vného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obdobia v členení za jednotlivé orgány,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2. celková suma splatených pôžičiek k poslednému dňu účtovného obdobia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v členení za jednotlivé orgány,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3. celková suma odpustených pôžičiek a odpísaných pôžičiek k posledné</w:t>
      </w:r>
      <w:r>
        <w:rPr>
          <w:rFonts w:ascii="Courier New" w:hAnsi="Courier New" w:cs="Courier New"/>
        </w:rPr>
        <w:t>mu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dňu účtovného obdobia v členení za jednotlivé orgány,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hlavných podmienkach, na základe ktorých im boli záruky alebo iné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zabezpečenie a pôžičky poskytnuté; pri pôžičkách sa uvádzajú úrokové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sadzby,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d) celkove</w:t>
      </w:r>
      <w:r>
        <w:rPr>
          <w:rFonts w:ascii="Courier New" w:hAnsi="Courier New" w:cs="Courier New"/>
        </w:rPr>
        <w:t>j sume použitých finančných prostriedkov alebo iného plnenia na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súkromné účely členmi štatutárneho orgánu, dozorného orgánu a iného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orgánu účtovnej jednotky, ktoré je potrebné vyúčtovať.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(5) Informácie o povinnostiach účtovnej jedno</w:t>
      </w:r>
      <w:r>
        <w:rPr>
          <w:rFonts w:ascii="Courier New" w:hAnsi="Courier New" w:cs="Courier New"/>
        </w:rPr>
        <w:t>tky: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celkovej sume finančných povinností, ktoré sa nevykazujú v súvahe, ale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sú významné na posúdenie finančnej situácie účtovnej jednotky,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napríklad povinnosti nájomcu vyplývajúce z operatívneho prenájmu,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uzatvorených z</w:t>
      </w:r>
      <w:r>
        <w:rPr>
          <w:rFonts w:ascii="Courier New" w:hAnsi="Courier New" w:cs="Courier New"/>
        </w:rPr>
        <w:t>mlúv na poskytnutie úveru alebo pôžičky, ktoré ešte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neboli poskytnuté, finančné povinnosti vyplývajúce z licenčných 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koncesionárskych zmlúv s uvedením sumy poplatku za celé zostávajúce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obdobie platnosti zmluvy,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celkovej sume významných podmienených záväzkov, ktorými sa rozumie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1. možná povinnosť, ktorá vznikla ako dôsledok minulej udalosti 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ktorej existencia závisí od toho, či nastane alebo nenastane jedna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alebo viac neistýc</w:t>
      </w:r>
      <w:r>
        <w:rPr>
          <w:rFonts w:ascii="Courier New" w:hAnsi="Courier New" w:cs="Courier New"/>
        </w:rPr>
        <w:t>h udalostí v budúcnosti, ktorých vznik nezávisí od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účtovnej jednotky, alebo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2. existujúca povinnosť, ktorá vznikla ako dôsledok minulej udalosti,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ale ktorá sa nevykazuje v súvahe, pretože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2a. nie je pravdepodobné, </w:t>
      </w:r>
      <w:r>
        <w:rPr>
          <w:rFonts w:ascii="Courier New" w:hAnsi="Courier New" w:cs="Courier New"/>
        </w:rPr>
        <w:t>že na splnenie tejto povinnosti bude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potrebný úbytok ekonomických úžitkov, alebo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2b. výška tejto povinnosti sa nedá spoľahlivo oceniť,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opise významných finančných povinností a významných podmienených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záväzkov,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</w:t>
      </w:r>
      <w:r>
        <w:rPr>
          <w:rFonts w:ascii="Courier New" w:hAnsi="Courier New" w:cs="Courier New"/>
        </w:rPr>
        <w:t xml:space="preserve">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d) celkovej sume významných finančných povinností a významných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podmienených záväzkoch voči dcérskej účtovnej jednotke a účtovnej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jednotke s podstatným vplyvom,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e) opise významných povinností účtovnej jednotky vyplývajúcich z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dôchodkových programov pre zamestnancov.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line id="_x0000_s1224" style="position:absolute;flip:x;z-index:199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225" style="position:absolute;flip:x;z-index:200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226" style="position:absolute;flip:x;z-index:201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227" style="position:absolute;flip:x;z-index:202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228" style="position:absolute;flip:x;z-index:203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229" style="position:absolute;flip:x;z-index:204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230" style="position:absolute;flip:x;z-index:205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231" style="position:absolute;flip:x;z-index:206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232" style="position:absolute;flip:x;z-index:207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233" style="position:absolute;flip:x;z-index:208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234" style="position:absolute;flip:x;z-index:209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235" style="position:absolute;flip:x;z-index:210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236" style="position:absolute;flip:x;z-index:211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237" style="position:absolute;flip:x;z-index:212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238" style="position:absolute;flip:x;z-index:213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239" style="position:absolute;flip:x;z-index:214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240" style="position:absolute;flip:x;z-index:215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241" style="position:absolute;flip:x;z-index:216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242" style="position:absolute;flip:x;z-index:217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243" style="position:absolute;flip:x;z-index:218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244" style="position:absolute;flip:x;z-index:219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245" style="position:absolute;flip:x;z-index:220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246" style="position:absolute;z-index:221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247" style="position:absolute;z-index:222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248" style="position:absolute;z-index:223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249" style="position:absolute;z-index:224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250" style="position:absolute;z-index:225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251" style="position:absolute;z-index:226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252" style="position:absolute;z-index:227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253" style="position:absolute;z-index:228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254" style="position:absolute;z-index:229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255" style="position:absolute;z-index:230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256" style="position:absolute;z-index:231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257" style="position:absolute;z-index:232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258" style="position:absolute;z-index:233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259" style="position:absolute;z-index:234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260" style="position:absolute;z-index:235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261" style="position:absolute;z-index:236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262" style="position:absolute;z-index:237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263" style="position:absolute;z-index:238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264" style="position:absolute;z-index:239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265" style="position:absolute;z-index:240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266" style="position:absolute;z-index:241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267" style="position:absolute;z-index:242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268" style="position:absolute;flip:x;z-index:243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269" style="position:absolute;flip:x;z-index:244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270" style="position:absolute;flip:x;z-index:245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271" style="position:absolute;flip:x;z-index:246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272" style="position:absolute;flip:x;z-index:247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273" style="position:absolute;flip:x;z-index:248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274" style="position:absolute;flip:x;z-index:249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275" style="position:absolute;flip:x;z-index:250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276" style="position:absolute;flip:x;z-index:251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277" style="position:absolute;flip:x;z-index:252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278" style="position:absolute;flip:x;z-index:253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279" style="position:absolute;flip:x;z-index:254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280" style="position:absolute;flip:x;z-index:255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281" style="position:absolute;flip:x;z-index:256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282" style="position:absolute;flip:x;z-index:257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283" style="position:absolute;flip:x;z-index:258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284" style="position:absolute;flip:x;z-index:259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285" style="position:absolute;flip:x;z-index:260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286" style="position:absolute;flip:x;z-index:261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287" style="position:absolute;flip:x;z-index:262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288" style="position:absolute;flip:x;z-index:263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289" style="position:absolute;flip:x;z-index:264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Strana:  4 z  4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b/>
          <w:bCs/>
        </w:rPr>
        <w:t xml:space="preserve">MERLON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2950/18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(6) Informácie o udelení výlučného práva alebo osobitného práva, ktorým sa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udelilo právo poskytovať služby vo verejnom záujme, pričom sa uvádza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náhrada za túto činnosť v akejkoľvek forme, a ak sa zároveň vykonávajú aj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iné činnosti, uvádzajú</w:t>
      </w:r>
      <w:r>
        <w:rPr>
          <w:rFonts w:ascii="Courier New" w:hAnsi="Courier New" w:cs="Courier New"/>
        </w:rPr>
        <w:t xml:space="preserve"> sa aj informácie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všetkých formách prijatej náhrady,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účtovných zásadách použitých pri prideľovaní nákladov a výnosov,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všetkých druhoch činností účtovnej jednotky.</w:t>
      </w:r>
    </w:p>
    <w:p w:rsidR="00000000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8D7D46" w:rsidRDefault="008D7D4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8D7D46">
      <w:pgSz w:w="11907" w:h="16840"/>
      <w:pgMar w:top="1417" w:right="567" w:bottom="1417" w:left="56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7539"/>
    <w:rsid w:val="004B7539"/>
    <w:rsid w:val="008D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9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</dc:creator>
  <cp:lastModifiedBy>PM</cp:lastModifiedBy>
  <cp:revision>2</cp:revision>
  <dcterms:created xsi:type="dcterms:W3CDTF">2023-03-17T11:49:00Z</dcterms:created>
  <dcterms:modified xsi:type="dcterms:W3CDTF">2023-03-17T11:49:00Z</dcterms:modified>
</cp:coreProperties>
</file>