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3B4F" w:rsidRDefault="00603B4F">
      <w:pPr>
        <w:jc w:val="center"/>
        <w:rPr>
          <w:b/>
        </w:rPr>
      </w:pPr>
    </w:p>
    <w:p w:rsidR="00603B4F" w:rsidRDefault="00603B4F">
      <w:pPr>
        <w:pStyle w:val="Nadpis1"/>
        <w:tabs>
          <w:tab w:val="left" w:pos="360"/>
        </w:tabs>
        <w:ind w:left="360"/>
      </w:pPr>
      <w:r>
        <w:rPr>
          <w:sz w:val="20"/>
        </w:rPr>
        <w:t>Informácie o účtovnej jednotke</w:t>
      </w:r>
    </w:p>
    <w:p w:rsidR="00603B4F" w:rsidRDefault="00603B4F">
      <w:pPr>
        <w:pStyle w:val="Zkladntext"/>
        <w:rPr>
          <w:sz w:val="20"/>
        </w:rPr>
      </w:pPr>
    </w:p>
    <w:p w:rsidR="005312BC" w:rsidRPr="00F96397" w:rsidRDefault="005312BC" w:rsidP="005312BC">
      <w:pPr>
        <w:pStyle w:val="Nadpis2"/>
        <w:numPr>
          <w:ilvl w:val="0"/>
          <w:numId w:val="9"/>
        </w:numPr>
        <w:tabs>
          <w:tab w:val="left" w:pos="567"/>
        </w:tabs>
        <w:suppressAutoHyphens w:val="0"/>
        <w:ind w:left="567" w:hanging="283"/>
        <w:rPr>
          <w:sz w:val="20"/>
        </w:rPr>
      </w:pPr>
      <w:r w:rsidRPr="00F96397">
        <w:rPr>
          <w:sz w:val="20"/>
        </w:rPr>
        <w:t>Informácie o založení účtovnej jednotky</w:t>
      </w:r>
    </w:p>
    <w:p w:rsidR="005312BC" w:rsidRDefault="005312BC" w:rsidP="005312BC"/>
    <w:p w:rsidR="005312BC" w:rsidRDefault="005312BC" w:rsidP="005312BC">
      <w:pPr>
        <w:ind w:left="567"/>
        <w:rPr>
          <w:b/>
          <w:lang w:eastAsia="sk-SK"/>
        </w:rPr>
      </w:pPr>
      <w:r>
        <w:rPr>
          <w:b/>
          <w:lang w:eastAsia="sk-SK"/>
        </w:rPr>
        <w:t xml:space="preserve">   </w:t>
      </w:r>
      <w:r w:rsidRPr="008B6E3D">
        <w:rPr>
          <w:lang w:eastAsia="sk-SK"/>
        </w:rPr>
        <w:t>Názov účtovnej jednotky:</w:t>
      </w:r>
      <w:r>
        <w:rPr>
          <w:b/>
          <w:lang w:eastAsia="sk-SK"/>
        </w:rPr>
        <w:t xml:space="preserve">  </w:t>
      </w:r>
      <w:r w:rsidR="00D105D3">
        <w:rPr>
          <w:b/>
          <w:lang w:eastAsia="sk-SK"/>
        </w:rPr>
        <w:t xml:space="preserve">IFB </w:t>
      </w:r>
      <w:r w:rsidRPr="00E76E69">
        <w:rPr>
          <w:b/>
          <w:lang w:eastAsia="sk-SK"/>
        </w:rPr>
        <w:t xml:space="preserve"> s.r.o.</w:t>
      </w:r>
    </w:p>
    <w:p w:rsidR="005312BC" w:rsidRDefault="005312BC" w:rsidP="005312BC">
      <w:pPr>
        <w:rPr>
          <w:lang w:eastAsia="sk-SK"/>
        </w:rPr>
      </w:pPr>
      <w:r>
        <w:rPr>
          <w:lang w:eastAsia="sk-SK"/>
        </w:rPr>
        <w:t xml:space="preserve">       </w:t>
      </w:r>
    </w:p>
    <w:p w:rsidR="005312BC" w:rsidRDefault="005312BC" w:rsidP="005312BC">
      <w:pPr>
        <w:rPr>
          <w:b/>
          <w:lang w:eastAsia="sk-SK"/>
        </w:rPr>
      </w:pPr>
      <w:r>
        <w:rPr>
          <w:b/>
          <w:lang w:eastAsia="sk-SK"/>
        </w:rPr>
        <w:t xml:space="preserve">              </w:t>
      </w:r>
      <w:r>
        <w:rPr>
          <w:lang w:eastAsia="sk-SK"/>
        </w:rPr>
        <w:t>Sídlo účtovnej jednotky:</w:t>
      </w:r>
      <w:r>
        <w:rPr>
          <w:b/>
          <w:lang w:eastAsia="sk-SK"/>
        </w:rPr>
        <w:t xml:space="preserve"> </w:t>
      </w:r>
      <w:r w:rsidR="00D105D3">
        <w:rPr>
          <w:b/>
          <w:lang w:eastAsia="sk-SK"/>
        </w:rPr>
        <w:t>Hlavná  5539, 929 01 Dunajská Streda</w:t>
      </w:r>
    </w:p>
    <w:p w:rsidR="005312BC" w:rsidRDefault="005312BC" w:rsidP="005312BC">
      <w:pPr>
        <w:rPr>
          <w:lang w:eastAsia="sk-SK"/>
        </w:rPr>
      </w:pPr>
      <w:r>
        <w:rPr>
          <w:lang w:eastAsia="sk-SK"/>
        </w:rPr>
        <w:tab/>
      </w:r>
    </w:p>
    <w:p w:rsidR="005312BC" w:rsidRDefault="005312BC" w:rsidP="005312BC">
      <w:pPr>
        <w:ind w:firstLine="720"/>
        <w:rPr>
          <w:lang w:eastAsia="sk-SK"/>
        </w:rPr>
      </w:pPr>
      <w:r>
        <w:rPr>
          <w:lang w:eastAsia="sk-SK"/>
        </w:rPr>
        <w:t>Dátum založenia</w:t>
      </w:r>
      <w:r w:rsidRPr="000F65BA">
        <w:rPr>
          <w:lang w:eastAsia="sk-SK"/>
        </w:rPr>
        <w:t xml:space="preserve">: </w:t>
      </w:r>
      <w:r w:rsidR="00D105D3">
        <w:rPr>
          <w:lang w:eastAsia="sk-SK"/>
        </w:rPr>
        <w:t>28.02.2006</w:t>
      </w:r>
    </w:p>
    <w:p w:rsidR="005312BC" w:rsidRDefault="005312BC" w:rsidP="005312BC">
      <w:pPr>
        <w:rPr>
          <w:lang w:eastAsia="sk-SK"/>
        </w:rPr>
      </w:pPr>
    </w:p>
    <w:p w:rsidR="005312BC" w:rsidRDefault="005312BC" w:rsidP="005312BC">
      <w:pPr>
        <w:rPr>
          <w:lang w:eastAsia="sk-SK"/>
        </w:rPr>
      </w:pPr>
      <w:r>
        <w:rPr>
          <w:lang w:eastAsia="sk-SK"/>
        </w:rPr>
        <w:tab/>
        <w:t xml:space="preserve">Dátum zápisu do obchodného registra: </w:t>
      </w:r>
      <w:r w:rsidR="00D105D3">
        <w:rPr>
          <w:lang w:eastAsia="sk-SK"/>
        </w:rPr>
        <w:t>28.02.2006</w:t>
      </w:r>
    </w:p>
    <w:p w:rsidR="005312BC" w:rsidRDefault="005312BC" w:rsidP="005312BC">
      <w:pPr>
        <w:rPr>
          <w:lang w:eastAsia="sk-SK"/>
        </w:rPr>
      </w:pPr>
    </w:p>
    <w:p w:rsidR="005312BC" w:rsidRDefault="005312BC" w:rsidP="005312BC">
      <w:pPr>
        <w:rPr>
          <w:lang w:eastAsia="sk-SK"/>
        </w:rPr>
      </w:pPr>
      <w:r>
        <w:rPr>
          <w:lang w:eastAsia="sk-SK"/>
        </w:rPr>
        <w:tab/>
        <w:t xml:space="preserve">IČO: </w:t>
      </w:r>
      <w:r w:rsidR="00D105D3">
        <w:rPr>
          <w:lang w:eastAsia="sk-SK"/>
        </w:rPr>
        <w:t>36 282 847</w:t>
      </w:r>
    </w:p>
    <w:p w:rsidR="005312BC" w:rsidRDefault="005312BC" w:rsidP="005312BC">
      <w:pPr>
        <w:rPr>
          <w:lang w:eastAsia="sk-SK"/>
        </w:rPr>
      </w:pPr>
    </w:p>
    <w:p w:rsidR="005312BC" w:rsidRPr="00F96397" w:rsidRDefault="005312BC" w:rsidP="005312BC">
      <w:pPr>
        <w:tabs>
          <w:tab w:val="left" w:pos="567"/>
        </w:tabs>
        <w:ind w:left="567" w:hanging="283"/>
      </w:pPr>
    </w:p>
    <w:p w:rsidR="005312BC" w:rsidRDefault="005312BC" w:rsidP="005312BC">
      <w:pPr>
        <w:pStyle w:val="Nadpis2"/>
        <w:numPr>
          <w:ilvl w:val="0"/>
          <w:numId w:val="9"/>
        </w:numPr>
        <w:tabs>
          <w:tab w:val="left" w:pos="567"/>
        </w:tabs>
        <w:suppressAutoHyphens w:val="0"/>
        <w:ind w:left="567" w:hanging="283"/>
        <w:rPr>
          <w:sz w:val="20"/>
        </w:rPr>
      </w:pPr>
      <w:bookmarkStart w:id="0" w:name="_Toc530739896"/>
      <w:r w:rsidRPr="00F96397">
        <w:rPr>
          <w:sz w:val="20"/>
        </w:rPr>
        <w:t>Hlavnými činnosťami účtovnej jednotky sú</w:t>
      </w:r>
      <w:bookmarkEnd w:id="0"/>
      <w:r>
        <w:rPr>
          <w:sz w:val="20"/>
        </w:rPr>
        <w:t>:</w:t>
      </w:r>
    </w:p>
    <w:p w:rsidR="005312BC" w:rsidRDefault="005312BC" w:rsidP="005312BC">
      <w:pPr>
        <w:spacing w:line="360" w:lineRule="auto"/>
        <w:ind w:left="720"/>
      </w:pPr>
    </w:p>
    <w:p w:rsidR="005312BC" w:rsidRPr="00D105D3" w:rsidRDefault="005312BC" w:rsidP="005312BC">
      <w:pPr>
        <w:numPr>
          <w:ilvl w:val="0"/>
          <w:numId w:val="10"/>
        </w:numPr>
        <w:suppressAutoHyphens w:val="0"/>
        <w:spacing w:line="360" w:lineRule="auto"/>
      </w:pPr>
      <w:r w:rsidRPr="004700EA">
        <w:t xml:space="preserve">Sprostredkovateľská činnosť v </w:t>
      </w:r>
      <w:r w:rsidR="00D105D3">
        <w:t xml:space="preserve"> </w:t>
      </w:r>
      <w:r w:rsidR="00D105D3" w:rsidRPr="00D105D3">
        <w:t>rozsahu voľnej živnosti</w:t>
      </w:r>
      <w:r w:rsidRPr="004700EA">
        <w:t>. </w:t>
      </w:r>
    </w:p>
    <w:tbl>
      <w:tblPr>
        <w:tblW w:w="5049" w:type="pct"/>
        <w:tblCellSpacing w:w="15" w:type="dxa"/>
        <w:shd w:val="clear" w:color="auto" w:fill="FFFFFF"/>
        <w:tblCellMar>
          <w:top w:w="15" w:type="dxa"/>
          <w:left w:w="15" w:type="dxa"/>
          <w:bottom w:w="15" w:type="dxa"/>
          <w:right w:w="15" w:type="dxa"/>
        </w:tblCellMar>
        <w:tblLook w:val="04A0"/>
      </w:tblPr>
      <w:tblGrid>
        <w:gridCol w:w="9250"/>
      </w:tblGrid>
      <w:tr w:rsidR="005312BC" w:rsidRPr="004700EA" w:rsidTr="00D105D3">
        <w:trPr>
          <w:trHeight w:val="6648"/>
          <w:tblCellSpacing w:w="15" w:type="dxa"/>
        </w:trPr>
        <w:tc>
          <w:tcPr>
            <w:tcW w:w="4968" w:type="pct"/>
            <w:shd w:val="clear" w:color="auto" w:fill="FFFFFF"/>
            <w:vAlign w:val="center"/>
            <w:hideMark/>
          </w:tcPr>
          <w:p w:rsidR="00D105D3" w:rsidRDefault="00D105D3" w:rsidP="005312BC">
            <w:pPr>
              <w:numPr>
                <w:ilvl w:val="0"/>
                <w:numId w:val="10"/>
              </w:numPr>
              <w:suppressAutoHyphens w:val="0"/>
              <w:spacing w:line="360" w:lineRule="auto"/>
            </w:pPr>
            <w:r w:rsidRPr="00D105D3">
              <w:t>kúpa tovaru na účely jeho predaja iným prevádzkovateľom živnosti ( veľkoobchod ) v rozsahu voľnej živnosti</w:t>
            </w:r>
            <w:r w:rsidRPr="004700EA">
              <w:t xml:space="preserve"> </w:t>
            </w:r>
          </w:p>
          <w:p w:rsidR="00D105D3" w:rsidRPr="00D105D3" w:rsidRDefault="00D105D3" w:rsidP="005312BC">
            <w:pPr>
              <w:numPr>
                <w:ilvl w:val="0"/>
                <w:numId w:val="10"/>
              </w:numPr>
              <w:suppressAutoHyphens w:val="0"/>
              <w:spacing w:line="360" w:lineRule="auto"/>
            </w:pPr>
            <w:r w:rsidRPr="00D105D3">
              <w:t xml:space="preserve">kúpa tovaru na účely jeho predaja konečnému spotrebiteľovi ( maloobchod ) v rozsahu voľnej živnosti </w:t>
            </w:r>
          </w:p>
          <w:p w:rsidR="00D105D3" w:rsidRDefault="00D105D3" w:rsidP="005312BC">
            <w:pPr>
              <w:numPr>
                <w:ilvl w:val="0"/>
                <w:numId w:val="10"/>
              </w:numPr>
              <w:suppressAutoHyphens w:val="0"/>
              <w:spacing w:line="360" w:lineRule="auto"/>
            </w:pPr>
            <w:r w:rsidRPr="00D105D3">
              <w:t>poradenská a konzultačná činnosť v predmete podnikania</w:t>
            </w:r>
            <w:r>
              <w:t xml:space="preserve"> </w:t>
            </w:r>
          </w:p>
          <w:p w:rsidR="00D105D3" w:rsidRDefault="00D105D3" w:rsidP="005312BC">
            <w:pPr>
              <w:numPr>
                <w:ilvl w:val="0"/>
                <w:numId w:val="10"/>
              </w:numPr>
              <w:suppressAutoHyphens w:val="0"/>
              <w:spacing w:line="360" w:lineRule="auto"/>
            </w:pPr>
            <w:r w:rsidRPr="00D105D3">
              <w:t>prieskum trhu a verejnej mienky</w:t>
            </w:r>
            <w:r>
              <w:t xml:space="preserve"> </w:t>
            </w:r>
          </w:p>
          <w:p w:rsidR="00D105D3" w:rsidRDefault="00D105D3" w:rsidP="005312BC">
            <w:pPr>
              <w:numPr>
                <w:ilvl w:val="0"/>
                <w:numId w:val="10"/>
              </w:numPr>
              <w:suppressAutoHyphens w:val="0"/>
              <w:spacing w:line="360" w:lineRule="auto"/>
            </w:pPr>
            <w:r w:rsidRPr="00D105D3">
              <w:t>reklamná a propagačná činnosť</w:t>
            </w:r>
            <w:r>
              <w:t xml:space="preserve"> </w:t>
            </w:r>
          </w:p>
          <w:p w:rsidR="00D105D3" w:rsidRDefault="00D105D3" w:rsidP="005312BC">
            <w:pPr>
              <w:numPr>
                <w:ilvl w:val="0"/>
                <w:numId w:val="10"/>
              </w:numPr>
              <w:suppressAutoHyphens w:val="0"/>
              <w:spacing w:line="360" w:lineRule="auto"/>
            </w:pPr>
            <w:r w:rsidRPr="00D105D3">
              <w:t>organizačné a ekonomické poradenstvo</w:t>
            </w:r>
            <w:r>
              <w:t xml:space="preserve"> </w:t>
            </w:r>
          </w:p>
          <w:p w:rsidR="00D105D3" w:rsidRDefault="00D105D3" w:rsidP="005312BC">
            <w:pPr>
              <w:numPr>
                <w:ilvl w:val="0"/>
                <w:numId w:val="10"/>
              </w:numPr>
              <w:suppressAutoHyphens w:val="0"/>
              <w:spacing w:line="360" w:lineRule="auto"/>
            </w:pPr>
            <w:r w:rsidRPr="00D105D3">
              <w:t>prenájom hnuteľných vecí</w:t>
            </w:r>
            <w:r>
              <w:t xml:space="preserve"> </w:t>
            </w:r>
          </w:p>
          <w:p w:rsidR="00D105D3" w:rsidRDefault="00D105D3" w:rsidP="005312BC">
            <w:pPr>
              <w:numPr>
                <w:ilvl w:val="0"/>
                <w:numId w:val="10"/>
              </w:numPr>
              <w:suppressAutoHyphens w:val="0"/>
              <w:spacing w:line="360" w:lineRule="auto"/>
            </w:pPr>
            <w:r w:rsidRPr="00D105D3">
              <w:t>organizovanie kurzov, školení, seminárov, výstav, veľtrhov, kultúrnych, športových a spoločenských podujatí</w:t>
            </w:r>
            <w:r>
              <w:t xml:space="preserve"> </w:t>
            </w:r>
          </w:p>
          <w:p w:rsidR="00D105D3" w:rsidRDefault="00D105D3" w:rsidP="005312BC">
            <w:pPr>
              <w:numPr>
                <w:ilvl w:val="0"/>
                <w:numId w:val="10"/>
              </w:numPr>
              <w:suppressAutoHyphens w:val="0"/>
              <w:spacing w:line="360" w:lineRule="auto"/>
            </w:pPr>
            <w:r w:rsidRPr="00D105D3">
              <w:t>marketing a management</w:t>
            </w:r>
            <w:r>
              <w:t xml:space="preserve"> </w:t>
            </w:r>
          </w:p>
          <w:p w:rsidR="00D105D3" w:rsidRPr="00D105D3" w:rsidRDefault="00D105D3" w:rsidP="00D105D3">
            <w:pPr>
              <w:numPr>
                <w:ilvl w:val="0"/>
                <w:numId w:val="10"/>
              </w:numPr>
              <w:suppressAutoHyphens w:val="0"/>
              <w:spacing w:line="360" w:lineRule="auto"/>
            </w:pPr>
            <w:r w:rsidRPr="00D105D3">
              <w:t>ubytovacie služby v rozsahu voľnej živnosti</w:t>
            </w:r>
          </w:p>
          <w:p w:rsidR="00D105D3" w:rsidRDefault="00D105D3" w:rsidP="00D105D3">
            <w:pPr>
              <w:numPr>
                <w:ilvl w:val="0"/>
                <w:numId w:val="10"/>
              </w:numPr>
              <w:suppressAutoHyphens w:val="0"/>
              <w:spacing w:line="360" w:lineRule="auto"/>
            </w:pPr>
            <w:r w:rsidRPr="00D105D3">
              <w:t xml:space="preserve"> upratovacie služby</w:t>
            </w:r>
            <w:r>
              <w:t xml:space="preserve"> </w:t>
            </w:r>
          </w:p>
          <w:p w:rsidR="00D105D3" w:rsidRDefault="00D105D3" w:rsidP="00D105D3">
            <w:pPr>
              <w:numPr>
                <w:ilvl w:val="0"/>
                <w:numId w:val="10"/>
              </w:numPr>
              <w:suppressAutoHyphens w:val="0"/>
              <w:spacing w:line="360" w:lineRule="auto"/>
            </w:pPr>
            <w:r w:rsidRPr="00D105D3">
              <w:t>vydavateľská činnosť</w:t>
            </w:r>
            <w:r>
              <w:t xml:space="preserve"> </w:t>
            </w:r>
          </w:p>
          <w:p w:rsidR="00D105D3" w:rsidRDefault="00D105D3" w:rsidP="00D105D3">
            <w:pPr>
              <w:numPr>
                <w:ilvl w:val="0"/>
                <w:numId w:val="10"/>
              </w:numPr>
              <w:suppressAutoHyphens w:val="0"/>
              <w:spacing w:line="360" w:lineRule="auto"/>
            </w:pPr>
            <w:r w:rsidRPr="00D105D3">
              <w:t>administratívne práce</w:t>
            </w:r>
            <w:r>
              <w:t xml:space="preserve"> </w:t>
            </w:r>
          </w:p>
          <w:p w:rsidR="00D105D3" w:rsidRDefault="00D105D3" w:rsidP="00D105D3">
            <w:pPr>
              <w:numPr>
                <w:ilvl w:val="0"/>
                <w:numId w:val="10"/>
              </w:numPr>
              <w:suppressAutoHyphens w:val="0"/>
              <w:spacing w:line="360" w:lineRule="auto"/>
            </w:pPr>
            <w:r w:rsidRPr="00D105D3">
              <w:t>skladovanie tovaru v rozsahu voľnej živnosti</w:t>
            </w:r>
            <w:r>
              <w:t xml:space="preserve"> </w:t>
            </w:r>
          </w:p>
          <w:p w:rsidR="00D105D3" w:rsidRDefault="00D105D3" w:rsidP="00D105D3">
            <w:pPr>
              <w:numPr>
                <w:ilvl w:val="0"/>
                <w:numId w:val="10"/>
              </w:numPr>
              <w:suppressAutoHyphens w:val="0"/>
              <w:spacing w:line="360" w:lineRule="auto"/>
            </w:pPr>
            <w:r w:rsidRPr="00D105D3">
              <w:t>leasingová činnosť</w:t>
            </w:r>
            <w:r>
              <w:t xml:space="preserve"> </w:t>
            </w:r>
          </w:p>
          <w:p w:rsidR="00D105D3" w:rsidRDefault="00D105D3" w:rsidP="00D105D3">
            <w:pPr>
              <w:numPr>
                <w:ilvl w:val="0"/>
                <w:numId w:val="10"/>
              </w:numPr>
              <w:suppressAutoHyphens w:val="0"/>
              <w:spacing w:line="360" w:lineRule="auto"/>
            </w:pPr>
            <w:r w:rsidRPr="00D105D3">
              <w:t>živočíšna výroba</w:t>
            </w:r>
            <w:r>
              <w:t xml:space="preserve"> </w:t>
            </w:r>
          </w:p>
          <w:p w:rsidR="005312BC" w:rsidRDefault="00D105D3" w:rsidP="00D105D3">
            <w:pPr>
              <w:numPr>
                <w:ilvl w:val="0"/>
                <w:numId w:val="10"/>
              </w:numPr>
              <w:suppressAutoHyphens w:val="0"/>
              <w:spacing w:line="360" w:lineRule="auto"/>
            </w:pPr>
            <w:r w:rsidRPr="00D105D3">
              <w:t>rastlinná výroba</w:t>
            </w:r>
          </w:p>
          <w:p w:rsidR="005312BC" w:rsidRPr="004700EA" w:rsidRDefault="005312BC" w:rsidP="00A13CFB">
            <w:pPr>
              <w:spacing w:line="360" w:lineRule="auto"/>
              <w:ind w:left="720"/>
            </w:pPr>
          </w:p>
        </w:tc>
      </w:tr>
    </w:tbl>
    <w:p w:rsidR="00504CD0" w:rsidRPr="007A6209" w:rsidRDefault="00504CD0" w:rsidP="00504CD0"/>
    <w:p w:rsidR="00603B4F" w:rsidRDefault="00603B4F">
      <w:pPr>
        <w:rPr>
          <w:lang w:eastAsia="sk-SK"/>
        </w:rPr>
      </w:pPr>
    </w:p>
    <w:p w:rsidR="00603B4F" w:rsidRDefault="00603B4F">
      <w:pPr>
        <w:pStyle w:val="Nadpis2"/>
        <w:numPr>
          <w:ilvl w:val="0"/>
          <w:numId w:val="4"/>
        </w:numPr>
        <w:tabs>
          <w:tab w:val="left" w:pos="567"/>
        </w:tabs>
        <w:ind w:left="567" w:hanging="283"/>
      </w:pPr>
      <w:r>
        <w:rPr>
          <w:sz w:val="20"/>
        </w:rPr>
        <w:t>Informácie o počte zamestnancov</w:t>
      </w:r>
    </w:p>
    <w:p w:rsidR="00603B4F" w:rsidRDefault="00603B4F">
      <w:pPr>
        <w:pStyle w:val="Zkladntext"/>
        <w:tabs>
          <w:tab w:val="left" w:pos="567"/>
        </w:tabs>
        <w:ind w:left="567" w:hanging="283"/>
      </w:pPr>
      <w:r>
        <w:rPr>
          <w:sz w:val="20"/>
        </w:rPr>
        <w:tab/>
        <w:t>Údaje o počte zamestnanco</w:t>
      </w:r>
      <w:r w:rsidR="00395A7A">
        <w:rPr>
          <w:sz w:val="20"/>
        </w:rPr>
        <w:t>v za bežné účtovné obdobie (2022</w:t>
      </w:r>
      <w:r>
        <w:rPr>
          <w:sz w:val="20"/>
        </w:rPr>
        <w:t>) a za bezprostredne pred</w:t>
      </w:r>
      <w:r w:rsidR="003B3303">
        <w:rPr>
          <w:sz w:val="20"/>
        </w:rPr>
        <w:t>chádzajúce účtovné obdobi</w:t>
      </w:r>
      <w:r w:rsidR="00395A7A">
        <w:rPr>
          <w:sz w:val="20"/>
        </w:rPr>
        <w:t>e (2021</w:t>
      </w:r>
      <w:r>
        <w:rPr>
          <w:sz w:val="20"/>
        </w:rPr>
        <w:t>) sú uvedené v tabuľke č. 2.</w:t>
      </w:r>
    </w:p>
    <w:p w:rsidR="00603B4F" w:rsidRDefault="00603B4F">
      <w:pPr>
        <w:pStyle w:val="Zkladntext"/>
        <w:ind w:left="0"/>
        <w:rPr>
          <w:sz w:val="20"/>
        </w:rPr>
      </w:pPr>
    </w:p>
    <w:p w:rsidR="00D105D3" w:rsidRDefault="00D105D3">
      <w:pPr>
        <w:pStyle w:val="Zkladntext"/>
        <w:ind w:left="0"/>
        <w:rPr>
          <w:sz w:val="20"/>
        </w:rPr>
      </w:pPr>
    </w:p>
    <w:p w:rsidR="00D105D3" w:rsidRDefault="00D105D3">
      <w:pPr>
        <w:pStyle w:val="Zkladntext"/>
        <w:ind w:left="0"/>
        <w:rPr>
          <w:sz w:val="20"/>
        </w:rPr>
      </w:pPr>
    </w:p>
    <w:p w:rsidR="00603B4F" w:rsidRDefault="00603B4F">
      <w:pPr>
        <w:pStyle w:val="Nadpis"/>
        <w:spacing w:before="0" w:after="0"/>
        <w:ind w:left="567"/>
        <w:jc w:val="left"/>
      </w:pPr>
      <w:r>
        <w:rPr>
          <w:b w:val="0"/>
          <w:bCs w:val="0"/>
          <w:sz w:val="22"/>
          <w:szCs w:val="22"/>
        </w:rPr>
        <w:lastRenderedPageBreak/>
        <w:t>Tabuľka č. 2. Informácie k časti A. písm. c) o počte zamestnancov</w:t>
      </w:r>
    </w:p>
    <w:tbl>
      <w:tblPr>
        <w:tblW w:w="4600" w:type="pct"/>
        <w:tblInd w:w="562" w:type="dxa"/>
        <w:tblLayout w:type="fixed"/>
        <w:tblCellMar>
          <w:left w:w="70" w:type="dxa"/>
          <w:right w:w="70" w:type="dxa"/>
        </w:tblCellMar>
        <w:tblLook w:val="0000"/>
      </w:tblPr>
      <w:tblGrid>
        <w:gridCol w:w="3645"/>
        <w:gridCol w:w="2353"/>
        <w:gridCol w:w="2475"/>
      </w:tblGrid>
      <w:tr w:rsidR="00603B4F">
        <w:tc>
          <w:tcPr>
            <w:tcW w:w="3590" w:type="dxa"/>
            <w:tcBorders>
              <w:top w:val="single" w:sz="12" w:space="0" w:color="000000"/>
              <w:left w:val="single" w:sz="12" w:space="0" w:color="000000"/>
            </w:tcBorders>
            <w:shd w:val="clear" w:color="auto" w:fill="auto"/>
            <w:vAlign w:val="center"/>
          </w:tcPr>
          <w:p w:rsidR="00603B4F" w:rsidRDefault="00603B4F">
            <w:pPr>
              <w:pStyle w:val="TopHeader"/>
            </w:pPr>
            <w:r>
              <w:rPr>
                <w:rFonts w:ascii="Times New Roman" w:hAnsi="Times New Roman" w:cs="Times New Roman"/>
                <w:sz w:val="20"/>
                <w:szCs w:val="20"/>
              </w:rPr>
              <w:t>Názov položky</w:t>
            </w:r>
          </w:p>
        </w:tc>
        <w:tc>
          <w:tcPr>
            <w:tcW w:w="2317" w:type="dxa"/>
            <w:tcBorders>
              <w:top w:val="single" w:sz="12" w:space="0" w:color="000000"/>
              <w:left w:val="single" w:sz="12" w:space="0" w:color="000000"/>
            </w:tcBorders>
            <w:shd w:val="clear" w:color="auto" w:fill="auto"/>
            <w:vAlign w:val="center"/>
          </w:tcPr>
          <w:p w:rsidR="00603B4F" w:rsidRDefault="00603B4F">
            <w:pPr>
              <w:pStyle w:val="TopHeader"/>
            </w:pPr>
            <w:r>
              <w:rPr>
                <w:rFonts w:ascii="Times New Roman" w:hAnsi="Times New Roman" w:cs="Times New Roman"/>
                <w:sz w:val="20"/>
                <w:szCs w:val="20"/>
              </w:rPr>
              <w:t>Bežné účtovné obdobie</w:t>
            </w:r>
          </w:p>
        </w:tc>
        <w:tc>
          <w:tcPr>
            <w:tcW w:w="2437" w:type="dxa"/>
            <w:tcBorders>
              <w:top w:val="single" w:sz="12" w:space="0" w:color="000000"/>
              <w:left w:val="single" w:sz="12" w:space="0" w:color="000000"/>
              <w:right w:val="single" w:sz="12" w:space="0" w:color="000000"/>
            </w:tcBorders>
            <w:shd w:val="clear" w:color="auto" w:fill="auto"/>
            <w:vAlign w:val="center"/>
          </w:tcPr>
          <w:p w:rsidR="00603B4F" w:rsidRDefault="00603B4F">
            <w:pPr>
              <w:pStyle w:val="TopHeader"/>
            </w:pPr>
            <w:r>
              <w:rPr>
                <w:rFonts w:ascii="Times New Roman" w:hAnsi="Times New Roman" w:cs="Times New Roman"/>
                <w:sz w:val="20"/>
                <w:szCs w:val="20"/>
              </w:rPr>
              <w:t>Bezprostredne predchádzajúce účtovné obdobie</w:t>
            </w:r>
          </w:p>
        </w:tc>
      </w:tr>
      <w:tr w:rsidR="00603B4F">
        <w:trPr>
          <w:trHeight w:val="347"/>
        </w:trPr>
        <w:tc>
          <w:tcPr>
            <w:tcW w:w="3590" w:type="dxa"/>
            <w:tcBorders>
              <w:top w:val="single" w:sz="12" w:space="0" w:color="000000"/>
              <w:left w:val="single" w:sz="12" w:space="0" w:color="000000"/>
              <w:bottom w:val="single" w:sz="4" w:space="0" w:color="000000"/>
            </w:tcBorders>
            <w:shd w:val="clear" w:color="auto" w:fill="auto"/>
            <w:vAlign w:val="center"/>
          </w:tcPr>
          <w:p w:rsidR="00603B4F" w:rsidRDefault="00603B4F">
            <w:r>
              <w:t>Priemerný prepočítaný počet zamestnancov</w:t>
            </w:r>
          </w:p>
        </w:tc>
        <w:tc>
          <w:tcPr>
            <w:tcW w:w="2317" w:type="dxa"/>
            <w:tcBorders>
              <w:top w:val="single" w:sz="12" w:space="0" w:color="000000"/>
              <w:left w:val="single" w:sz="12" w:space="0" w:color="000000"/>
              <w:bottom w:val="single" w:sz="4" w:space="0" w:color="000000"/>
            </w:tcBorders>
            <w:shd w:val="clear" w:color="auto" w:fill="auto"/>
          </w:tcPr>
          <w:p w:rsidR="00603B4F" w:rsidRDefault="00603B4F">
            <w:pPr>
              <w:snapToGrid w:val="0"/>
              <w:jc w:val="center"/>
            </w:pPr>
          </w:p>
        </w:tc>
        <w:tc>
          <w:tcPr>
            <w:tcW w:w="2437" w:type="dxa"/>
            <w:tcBorders>
              <w:top w:val="single" w:sz="12" w:space="0" w:color="000000"/>
              <w:left w:val="single" w:sz="12" w:space="0" w:color="000000"/>
              <w:bottom w:val="single" w:sz="4" w:space="0" w:color="000000"/>
              <w:right w:val="single" w:sz="12" w:space="0" w:color="000000"/>
            </w:tcBorders>
            <w:shd w:val="clear" w:color="auto" w:fill="auto"/>
          </w:tcPr>
          <w:p w:rsidR="00603B4F" w:rsidRDefault="00603B4F">
            <w:pPr>
              <w:snapToGrid w:val="0"/>
              <w:jc w:val="center"/>
            </w:pPr>
          </w:p>
        </w:tc>
      </w:tr>
      <w:tr w:rsidR="00603B4F">
        <w:trPr>
          <w:trHeight w:val="285"/>
        </w:trPr>
        <w:tc>
          <w:tcPr>
            <w:tcW w:w="3590" w:type="dxa"/>
            <w:tcBorders>
              <w:top w:val="single" w:sz="4" w:space="0" w:color="000000"/>
              <w:left w:val="single" w:sz="12" w:space="0" w:color="000000"/>
              <w:bottom w:val="single" w:sz="4" w:space="0" w:color="000000"/>
            </w:tcBorders>
            <w:shd w:val="clear" w:color="auto" w:fill="auto"/>
            <w:vAlign w:val="center"/>
          </w:tcPr>
          <w:p w:rsidR="00603B4F" w:rsidRDefault="00603B4F">
            <w:r>
              <w:t>Stav zamestnancov ku dňu, ku ktorému sa zostavuje účtovná závierka, z toho:</w:t>
            </w:r>
          </w:p>
        </w:tc>
        <w:tc>
          <w:tcPr>
            <w:tcW w:w="2317" w:type="dxa"/>
            <w:tcBorders>
              <w:top w:val="single" w:sz="4" w:space="0" w:color="000000"/>
              <w:left w:val="single" w:sz="12" w:space="0" w:color="000000"/>
              <w:bottom w:val="single" w:sz="4" w:space="0" w:color="000000"/>
            </w:tcBorders>
            <w:shd w:val="clear" w:color="auto" w:fill="auto"/>
          </w:tcPr>
          <w:p w:rsidR="00603B4F" w:rsidRDefault="00603B4F">
            <w:pPr>
              <w:snapToGrid w:val="0"/>
              <w:jc w:val="center"/>
            </w:pPr>
          </w:p>
        </w:tc>
        <w:tc>
          <w:tcPr>
            <w:tcW w:w="2437" w:type="dxa"/>
            <w:tcBorders>
              <w:top w:val="single" w:sz="4" w:space="0" w:color="000000"/>
              <w:left w:val="single" w:sz="12" w:space="0" w:color="000000"/>
              <w:bottom w:val="single" w:sz="4" w:space="0" w:color="000000"/>
              <w:right w:val="single" w:sz="12" w:space="0" w:color="000000"/>
            </w:tcBorders>
            <w:shd w:val="clear" w:color="auto" w:fill="auto"/>
          </w:tcPr>
          <w:p w:rsidR="00603B4F" w:rsidRDefault="00603B4F">
            <w:pPr>
              <w:snapToGrid w:val="0"/>
              <w:jc w:val="center"/>
            </w:pPr>
          </w:p>
        </w:tc>
      </w:tr>
      <w:tr w:rsidR="00603B4F">
        <w:trPr>
          <w:trHeight w:val="407"/>
        </w:trPr>
        <w:tc>
          <w:tcPr>
            <w:tcW w:w="3590" w:type="dxa"/>
            <w:tcBorders>
              <w:top w:val="single" w:sz="4" w:space="0" w:color="000000"/>
              <w:left w:val="single" w:sz="12" w:space="0" w:color="000000"/>
              <w:bottom w:val="single" w:sz="12" w:space="0" w:color="000000"/>
            </w:tcBorders>
            <w:shd w:val="clear" w:color="auto" w:fill="auto"/>
            <w:vAlign w:val="center"/>
          </w:tcPr>
          <w:p w:rsidR="00603B4F" w:rsidRDefault="00603B4F">
            <w:r>
              <w:t>Počet vedúcich zamestnancov</w:t>
            </w:r>
          </w:p>
        </w:tc>
        <w:tc>
          <w:tcPr>
            <w:tcW w:w="2317" w:type="dxa"/>
            <w:tcBorders>
              <w:top w:val="single" w:sz="4" w:space="0" w:color="000000"/>
              <w:left w:val="single" w:sz="12" w:space="0" w:color="000000"/>
              <w:bottom w:val="single" w:sz="12" w:space="0" w:color="000000"/>
            </w:tcBorders>
            <w:shd w:val="clear" w:color="auto" w:fill="auto"/>
          </w:tcPr>
          <w:p w:rsidR="00603B4F" w:rsidRDefault="00603B4F">
            <w:pPr>
              <w:snapToGrid w:val="0"/>
              <w:jc w:val="center"/>
              <w:rPr>
                <w:highlight w:val="green"/>
              </w:rPr>
            </w:pPr>
          </w:p>
        </w:tc>
        <w:tc>
          <w:tcPr>
            <w:tcW w:w="2437" w:type="dxa"/>
            <w:tcBorders>
              <w:top w:val="single" w:sz="4" w:space="0" w:color="000000"/>
              <w:left w:val="single" w:sz="12" w:space="0" w:color="000000"/>
              <w:bottom w:val="single" w:sz="12" w:space="0" w:color="000000"/>
              <w:right w:val="single" w:sz="12" w:space="0" w:color="000000"/>
            </w:tcBorders>
            <w:shd w:val="clear" w:color="auto" w:fill="auto"/>
          </w:tcPr>
          <w:p w:rsidR="00603B4F" w:rsidRDefault="00603B4F">
            <w:pPr>
              <w:snapToGrid w:val="0"/>
              <w:jc w:val="center"/>
              <w:rPr>
                <w:highlight w:val="green"/>
              </w:rPr>
            </w:pPr>
          </w:p>
        </w:tc>
      </w:tr>
    </w:tbl>
    <w:p w:rsidR="00603B4F" w:rsidRDefault="00603B4F">
      <w:pPr>
        <w:pStyle w:val="Zkladntext"/>
        <w:tabs>
          <w:tab w:val="left" w:pos="567"/>
        </w:tabs>
        <w:ind w:left="0"/>
        <w:rPr>
          <w:sz w:val="20"/>
        </w:rPr>
      </w:pPr>
    </w:p>
    <w:p w:rsidR="00603B4F" w:rsidRDefault="00603B4F">
      <w:pPr>
        <w:pStyle w:val="Zkladntext"/>
        <w:tabs>
          <w:tab w:val="left" w:pos="567"/>
        </w:tabs>
        <w:ind w:left="0"/>
        <w:rPr>
          <w:sz w:val="20"/>
        </w:rPr>
      </w:pPr>
    </w:p>
    <w:p w:rsidR="00603B4F" w:rsidRDefault="00603B4F">
      <w:pPr>
        <w:pStyle w:val="Nadpis2"/>
        <w:numPr>
          <w:ilvl w:val="0"/>
          <w:numId w:val="4"/>
        </w:numPr>
        <w:tabs>
          <w:tab w:val="left" w:pos="567"/>
        </w:tabs>
        <w:ind w:left="567" w:hanging="283"/>
      </w:pPr>
      <w:r>
        <w:rPr>
          <w:sz w:val="20"/>
        </w:rPr>
        <w:t>Informácie o neobmedzenom ručení</w:t>
      </w:r>
    </w:p>
    <w:p w:rsidR="00603B4F" w:rsidRDefault="00603B4F">
      <w:pPr>
        <w:tabs>
          <w:tab w:val="left" w:pos="567"/>
        </w:tabs>
        <w:ind w:left="567"/>
        <w:jc w:val="both"/>
      </w:pPr>
      <w:r>
        <w:t>Účtovná jednotka nie je neobmedzene ručiacim spoločníkom v iných účtovných jednotkách podľa § 56 ods. 5 Obchodného zákonníka.</w:t>
      </w:r>
    </w:p>
    <w:p w:rsidR="00603B4F" w:rsidRDefault="00603B4F">
      <w:pPr>
        <w:pStyle w:val="Zkladntext"/>
        <w:tabs>
          <w:tab w:val="left" w:pos="567"/>
        </w:tabs>
        <w:ind w:left="567" w:hanging="283"/>
        <w:rPr>
          <w:sz w:val="20"/>
        </w:rPr>
      </w:pPr>
    </w:p>
    <w:p w:rsidR="00603B4F" w:rsidRDefault="00603B4F">
      <w:pPr>
        <w:pStyle w:val="Nadpis2"/>
        <w:numPr>
          <w:ilvl w:val="0"/>
          <w:numId w:val="4"/>
        </w:numPr>
        <w:tabs>
          <w:tab w:val="left" w:pos="567"/>
        </w:tabs>
        <w:ind w:left="567" w:hanging="283"/>
      </w:pPr>
      <w:r>
        <w:rPr>
          <w:sz w:val="20"/>
        </w:rPr>
        <w:t>Právny dôvod na zostavenie účtovnej závierky</w:t>
      </w:r>
    </w:p>
    <w:p w:rsidR="00603B4F" w:rsidRDefault="00603B4F">
      <w:pPr>
        <w:pStyle w:val="Zkladntext"/>
        <w:tabs>
          <w:tab w:val="left" w:pos="567"/>
        </w:tabs>
        <w:ind w:left="567" w:hanging="283"/>
      </w:pPr>
      <w:r>
        <w:rPr>
          <w:sz w:val="20"/>
        </w:rPr>
        <w:tab/>
        <w:t>Účtovná závierka účtovnej jednotky je zostavená ako riadna účtovná závierka k 3</w:t>
      </w:r>
      <w:r w:rsidR="00395A7A">
        <w:rPr>
          <w:sz w:val="20"/>
        </w:rPr>
        <w:t>1.12.2022</w:t>
      </w:r>
      <w:r>
        <w:rPr>
          <w:sz w:val="20"/>
        </w:rPr>
        <w:t xml:space="preserve"> podľa § 17 ods. 6 zákona č. 431/2002 Z. z. o účtovníctve v zn. n. p. Účtovným obdobím účtovnej jednotky je kalendárny rok od 0</w:t>
      </w:r>
      <w:r w:rsidR="005E3BC9">
        <w:rPr>
          <w:sz w:val="20"/>
        </w:rPr>
        <w:t>1.01</w:t>
      </w:r>
      <w:r w:rsidR="00395A7A">
        <w:rPr>
          <w:sz w:val="20"/>
        </w:rPr>
        <w:t>.2022 do 31.12.2022</w:t>
      </w:r>
      <w:r>
        <w:rPr>
          <w:sz w:val="20"/>
        </w:rPr>
        <w:t xml:space="preserve">. </w:t>
      </w:r>
    </w:p>
    <w:p w:rsidR="00603B4F" w:rsidRDefault="00603B4F">
      <w:pPr>
        <w:pStyle w:val="Zkladntext"/>
        <w:tabs>
          <w:tab w:val="left" w:pos="567"/>
        </w:tabs>
        <w:ind w:left="567" w:hanging="283"/>
        <w:rPr>
          <w:sz w:val="20"/>
        </w:rPr>
      </w:pPr>
    </w:p>
    <w:p w:rsidR="00603B4F" w:rsidRDefault="00603B4F">
      <w:pPr>
        <w:pStyle w:val="Nadpis1"/>
        <w:pageBreakBefore/>
      </w:pPr>
      <w:r>
        <w:rPr>
          <w:sz w:val="20"/>
        </w:rPr>
        <w:lastRenderedPageBreak/>
        <w:t>Informácie o konsolidovanom celku</w:t>
      </w:r>
    </w:p>
    <w:p w:rsidR="00603B4F" w:rsidRDefault="00603B4F">
      <w:pPr>
        <w:ind w:left="538" w:hanging="181"/>
      </w:pPr>
      <w:r>
        <w:t xml:space="preserve">  Účtovná jednotka nie je súčasťou konsolidovaného celku.</w:t>
      </w:r>
    </w:p>
    <w:p w:rsidR="00603B4F" w:rsidRDefault="00603B4F">
      <w:pPr>
        <w:pStyle w:val="Zkladntext"/>
        <w:rPr>
          <w:sz w:val="20"/>
        </w:rPr>
      </w:pPr>
    </w:p>
    <w:p w:rsidR="00603B4F" w:rsidRDefault="00603B4F">
      <w:pPr>
        <w:pStyle w:val="Zkladntext"/>
        <w:rPr>
          <w:sz w:val="20"/>
        </w:rPr>
      </w:pPr>
    </w:p>
    <w:p w:rsidR="00603B4F" w:rsidRDefault="00603B4F">
      <w:pPr>
        <w:pStyle w:val="Nadpis1"/>
      </w:pPr>
      <w:r>
        <w:rPr>
          <w:sz w:val="20"/>
        </w:rPr>
        <w:t xml:space="preserve">Informácie o účtovných zásadách a účtovných metódach  </w:t>
      </w:r>
    </w:p>
    <w:p w:rsidR="00603B4F" w:rsidRDefault="00603B4F">
      <w:pPr>
        <w:pStyle w:val="Pismenka"/>
        <w:numPr>
          <w:ilvl w:val="0"/>
          <w:numId w:val="0"/>
        </w:numPr>
        <w:rPr>
          <w:b w:val="0"/>
          <w:sz w:val="20"/>
        </w:rPr>
      </w:pPr>
    </w:p>
    <w:p w:rsidR="00603B4F" w:rsidRDefault="00603B4F">
      <w:pPr>
        <w:pStyle w:val="Zkladntext"/>
        <w:ind w:left="720"/>
        <w:rPr>
          <w:sz w:val="20"/>
        </w:rPr>
      </w:pPr>
    </w:p>
    <w:p w:rsidR="00603B4F" w:rsidRDefault="00603B4F">
      <w:pPr>
        <w:pStyle w:val="Nadpis2"/>
        <w:numPr>
          <w:ilvl w:val="0"/>
          <w:numId w:val="6"/>
        </w:numPr>
      </w:pPr>
      <w:r>
        <w:rPr>
          <w:sz w:val="20"/>
        </w:rPr>
        <w:t>Zmena účtovných zásad a účtovných metód</w:t>
      </w:r>
    </w:p>
    <w:p w:rsidR="00603B4F" w:rsidRDefault="00603B4F">
      <w:pPr>
        <w:pStyle w:val="Zkladntext"/>
        <w:ind w:left="720"/>
      </w:pPr>
      <w:r>
        <w:rPr>
          <w:sz w:val="20"/>
        </w:rPr>
        <w:t>Účtovné zásady a účtovné metódy počas účtovného obdobia neboli zmenené a boli účtovnou jednotkou konzistentne aplikované.</w:t>
      </w:r>
    </w:p>
    <w:p w:rsidR="00603B4F" w:rsidRDefault="00603B4F">
      <w:pPr>
        <w:pStyle w:val="Zkladntext"/>
        <w:ind w:left="720"/>
        <w:rPr>
          <w:sz w:val="20"/>
        </w:rPr>
      </w:pPr>
    </w:p>
    <w:p w:rsidR="00603B4F" w:rsidRDefault="00603B4F">
      <w:pPr>
        <w:pStyle w:val="Nadpis2"/>
        <w:numPr>
          <w:ilvl w:val="0"/>
          <w:numId w:val="6"/>
        </w:numPr>
      </w:pPr>
      <w:r>
        <w:rPr>
          <w:sz w:val="20"/>
        </w:rPr>
        <w:t>Spôsoby oceňovania jednotlivých zložiek majetku a záväzkov</w:t>
      </w:r>
    </w:p>
    <w:p w:rsidR="00603B4F" w:rsidRDefault="00603B4F"/>
    <w:p w:rsidR="00603B4F" w:rsidRDefault="00603B4F">
      <w:pPr>
        <w:numPr>
          <w:ilvl w:val="1"/>
          <w:numId w:val="6"/>
        </w:numPr>
        <w:tabs>
          <w:tab w:val="left" w:pos="1080"/>
        </w:tabs>
        <w:ind w:left="1080"/>
        <w:jc w:val="both"/>
      </w:pPr>
      <w:r>
        <w:rPr>
          <w:b/>
        </w:rPr>
        <w:t>Dlhodobý nehmotný majetok obstaraný kúpou</w:t>
      </w:r>
      <w:r>
        <w:t xml:space="preserve"> sa oceňuje obstarávacou cenou, ktorá zahŕňa cenu obstarania a náklady súvisiace s obstaraním (clo, prepravu, montáž, poistné a pod.). Súčasťou obstarávacej ceny dlhodobého nehmotného majetku nie sú úroky z cudzích zdrojov, ktoré vznikli do momentu zaradenia dlhodobého nehmotného majetku do používania.</w:t>
      </w:r>
    </w:p>
    <w:p w:rsidR="00603B4F" w:rsidRDefault="00603B4F">
      <w:pPr>
        <w:jc w:val="both"/>
      </w:pPr>
    </w:p>
    <w:p w:rsidR="00603B4F" w:rsidRDefault="00603B4F">
      <w:pPr>
        <w:numPr>
          <w:ilvl w:val="1"/>
          <w:numId w:val="6"/>
        </w:numPr>
        <w:tabs>
          <w:tab w:val="left" w:pos="1080"/>
        </w:tabs>
        <w:ind w:left="1080"/>
        <w:jc w:val="both"/>
      </w:pPr>
      <w:r>
        <w:rPr>
          <w:b/>
        </w:rPr>
        <w:t>Dlhodobý nehmotný majetok vytvorený vlastnou činnosťou</w:t>
      </w:r>
      <w:r>
        <w:t xml:space="preserve"> sa oceňuje vlastnými nákladmi. Vlastnými nákladmi sú všetky priame náklady vynaložené na výrobu alebo inú činnosť a nepriame náklady, ktoré sa vzťahujú na výrobu alebo inú činnosť. Náklady na výskum sa neaktivujú, účtujú sa do nákladov účtovného obdobia, v ktorom vznikli.</w:t>
      </w:r>
    </w:p>
    <w:p w:rsidR="00603B4F" w:rsidRDefault="00603B4F">
      <w:pPr>
        <w:jc w:val="both"/>
      </w:pPr>
    </w:p>
    <w:p w:rsidR="00603B4F" w:rsidRDefault="00603B4F">
      <w:pPr>
        <w:numPr>
          <w:ilvl w:val="1"/>
          <w:numId w:val="6"/>
        </w:numPr>
        <w:tabs>
          <w:tab w:val="left" w:pos="1080"/>
        </w:tabs>
        <w:ind w:left="1080"/>
        <w:jc w:val="both"/>
      </w:pPr>
      <w:r>
        <w:rPr>
          <w:b/>
        </w:rPr>
        <w:t xml:space="preserve">Dlhodobý nehmotný majetok obstaraný iným spôsobom </w:t>
      </w:r>
      <w:r>
        <w:t>– nebol.</w:t>
      </w:r>
    </w:p>
    <w:p w:rsidR="00603B4F" w:rsidRDefault="00603B4F">
      <w:pPr>
        <w:tabs>
          <w:tab w:val="left" w:pos="1080"/>
        </w:tabs>
        <w:jc w:val="both"/>
      </w:pPr>
    </w:p>
    <w:p w:rsidR="00603B4F" w:rsidRDefault="00603B4F">
      <w:pPr>
        <w:numPr>
          <w:ilvl w:val="1"/>
          <w:numId w:val="6"/>
        </w:numPr>
        <w:tabs>
          <w:tab w:val="left" w:pos="1080"/>
        </w:tabs>
        <w:ind w:left="1080"/>
        <w:jc w:val="both"/>
      </w:pPr>
      <w:r>
        <w:rPr>
          <w:b/>
        </w:rPr>
        <w:t>Dlhodobý hmotný majetok obstaraný kúpou</w:t>
      </w:r>
      <w:r>
        <w:t xml:space="preserve"> sa oceňuje obstarávacou cenou, ktorá zahŕňa cenu obstarania a náklady súvisiace s obstaraním (clo, prepravu, montáž, poistné a pod.). Súčasťou obstarávacej ceny dlhodobého hmotného majetku nie sú úroky z cudzích zdrojov, ktoré vznikli do momentu zaradenia dlhodobého hmotného majetku do používania.</w:t>
      </w:r>
    </w:p>
    <w:p w:rsidR="00603B4F" w:rsidRDefault="00603B4F">
      <w:pPr>
        <w:tabs>
          <w:tab w:val="left" w:pos="1080"/>
        </w:tabs>
        <w:jc w:val="both"/>
      </w:pPr>
    </w:p>
    <w:p w:rsidR="00603B4F" w:rsidRDefault="00603B4F">
      <w:pPr>
        <w:numPr>
          <w:ilvl w:val="1"/>
          <w:numId w:val="6"/>
        </w:numPr>
        <w:tabs>
          <w:tab w:val="left" w:pos="1080"/>
        </w:tabs>
        <w:ind w:left="1080"/>
        <w:jc w:val="both"/>
      </w:pPr>
      <w:r>
        <w:rPr>
          <w:b/>
        </w:rPr>
        <w:t>Dlhodobý hmotný majetok vytvorený vlastnou činnosťou</w:t>
      </w:r>
      <w:r>
        <w:t xml:space="preserve"> sa oceňuje vlastnými nákladmi. Vlastnými nákladmi sú všetky priame náklady vynaložené na výrobu alebo inú činnosť a nepriame náklady, ktoré sa vzťahujú na výrobu alebo inú činnosť.</w:t>
      </w:r>
    </w:p>
    <w:p w:rsidR="00603B4F" w:rsidRDefault="00603B4F">
      <w:pPr>
        <w:tabs>
          <w:tab w:val="left" w:pos="1080"/>
        </w:tabs>
        <w:jc w:val="both"/>
      </w:pPr>
    </w:p>
    <w:p w:rsidR="00603B4F" w:rsidRDefault="00603B4F">
      <w:pPr>
        <w:numPr>
          <w:ilvl w:val="1"/>
          <w:numId w:val="6"/>
        </w:numPr>
        <w:tabs>
          <w:tab w:val="left" w:pos="1080"/>
        </w:tabs>
        <w:ind w:left="1080"/>
        <w:jc w:val="both"/>
      </w:pPr>
      <w:r>
        <w:rPr>
          <w:b/>
        </w:rPr>
        <w:t xml:space="preserve">Dlhodobý hmotný majetok obstaraný iným spôsobom </w:t>
      </w:r>
      <w:r>
        <w:t>– nebol.</w:t>
      </w:r>
    </w:p>
    <w:p w:rsidR="00603B4F" w:rsidRDefault="00603B4F">
      <w:pPr>
        <w:tabs>
          <w:tab w:val="left" w:pos="1080"/>
        </w:tabs>
        <w:jc w:val="both"/>
      </w:pPr>
    </w:p>
    <w:p w:rsidR="00603B4F" w:rsidRDefault="00603B4F">
      <w:pPr>
        <w:numPr>
          <w:ilvl w:val="1"/>
          <w:numId w:val="6"/>
        </w:numPr>
        <w:tabs>
          <w:tab w:val="left" w:pos="1080"/>
        </w:tabs>
        <w:ind w:left="1080"/>
        <w:jc w:val="both"/>
      </w:pPr>
      <w:r>
        <w:rPr>
          <w:b/>
        </w:rPr>
        <w:t>Cenné papiere a podiely</w:t>
      </w:r>
      <w:r>
        <w:t xml:space="preserve"> – neboli. </w:t>
      </w:r>
    </w:p>
    <w:p w:rsidR="00603B4F" w:rsidRDefault="00603B4F">
      <w:pPr>
        <w:pStyle w:val="Odsekzoznamu"/>
      </w:pPr>
    </w:p>
    <w:p w:rsidR="00603B4F" w:rsidRDefault="00603B4F">
      <w:pPr>
        <w:ind w:left="1080"/>
        <w:jc w:val="both"/>
      </w:pPr>
    </w:p>
    <w:p w:rsidR="00603B4F" w:rsidRDefault="00603B4F">
      <w:pPr>
        <w:numPr>
          <w:ilvl w:val="1"/>
          <w:numId w:val="6"/>
        </w:numPr>
        <w:tabs>
          <w:tab w:val="left" w:pos="1080"/>
        </w:tabs>
        <w:ind w:left="1080"/>
        <w:jc w:val="both"/>
      </w:pPr>
      <w:r>
        <w:rPr>
          <w:b/>
        </w:rPr>
        <w:t>Zásoby</w:t>
      </w:r>
      <w:r>
        <w:t xml:space="preserve"> </w:t>
      </w:r>
      <w:r>
        <w:rPr>
          <w:b/>
        </w:rPr>
        <w:t>obstarané kúpou</w:t>
      </w:r>
      <w:r>
        <w:t xml:space="preserve"> sa oceňujú nižšou z dvoch ocenení, ktorou je obstarávacia cena alebo čistá realizačná hodnota. Obstarávacia cena zahŕňa cenu zásob a náklady súvisiace s obstaraním (clo, prepravu, poistné, provízie, skonto a pod.). Úroky z cudzích zdrojov nie sú súčasťou obstarávacej ceny.</w:t>
      </w:r>
    </w:p>
    <w:p w:rsidR="00603B4F" w:rsidRDefault="00603B4F">
      <w:pPr>
        <w:tabs>
          <w:tab w:val="left" w:pos="1080"/>
        </w:tabs>
        <w:ind w:left="720"/>
        <w:jc w:val="both"/>
      </w:pPr>
    </w:p>
    <w:p w:rsidR="00603B4F" w:rsidRDefault="00603B4F">
      <w:pPr>
        <w:numPr>
          <w:ilvl w:val="1"/>
          <w:numId w:val="6"/>
        </w:numPr>
        <w:tabs>
          <w:tab w:val="left" w:pos="1080"/>
        </w:tabs>
        <w:ind w:left="1080"/>
        <w:jc w:val="both"/>
      </w:pPr>
      <w:r>
        <w:rPr>
          <w:b/>
        </w:rPr>
        <w:t>Zásoby vytvorené vlastnou činnosťou</w:t>
      </w:r>
      <w:r>
        <w:t xml:space="preserve"> sa oceňujú vlastnými nákladmi. Vlastné náklady zahŕňajú priame náklady (priamy materiál, priame mzdy a ostatné priame náklady) a časť nepriamych nákladov bezprostredne súvisiacich s vytvorením zásob vlastnou činnosťou (výrobná réžia). </w:t>
      </w:r>
    </w:p>
    <w:p w:rsidR="00603B4F" w:rsidRDefault="00603B4F">
      <w:pPr>
        <w:tabs>
          <w:tab w:val="left" w:pos="1080"/>
        </w:tabs>
        <w:jc w:val="both"/>
      </w:pPr>
    </w:p>
    <w:p w:rsidR="00603B4F" w:rsidRDefault="00603B4F">
      <w:pPr>
        <w:numPr>
          <w:ilvl w:val="1"/>
          <w:numId w:val="6"/>
        </w:numPr>
        <w:tabs>
          <w:tab w:val="left" w:pos="1080"/>
        </w:tabs>
        <w:ind w:left="1080"/>
        <w:jc w:val="both"/>
      </w:pPr>
      <w:r>
        <w:rPr>
          <w:b/>
        </w:rPr>
        <w:t>Zásoby obstarané iným spôsobom</w:t>
      </w:r>
      <w:r>
        <w:t xml:space="preserve"> – neboli. </w:t>
      </w:r>
    </w:p>
    <w:p w:rsidR="00603B4F" w:rsidRDefault="00603B4F">
      <w:pPr>
        <w:tabs>
          <w:tab w:val="left" w:pos="1080"/>
        </w:tabs>
        <w:ind w:left="1080" w:hanging="360"/>
        <w:jc w:val="both"/>
      </w:pPr>
    </w:p>
    <w:p w:rsidR="00603B4F" w:rsidRDefault="00603B4F">
      <w:pPr>
        <w:numPr>
          <w:ilvl w:val="1"/>
          <w:numId w:val="6"/>
        </w:numPr>
        <w:tabs>
          <w:tab w:val="left" w:pos="1080"/>
        </w:tabs>
        <w:ind w:left="1080"/>
        <w:jc w:val="both"/>
      </w:pPr>
      <w:r>
        <w:rPr>
          <w:b/>
        </w:rPr>
        <w:t>Zákazková výroba a zákazková výstavba určená na predaj</w:t>
      </w:r>
      <w:r>
        <w:t xml:space="preserve"> – nebola. </w:t>
      </w:r>
    </w:p>
    <w:p w:rsidR="00603B4F" w:rsidRDefault="00603B4F">
      <w:pPr>
        <w:pStyle w:val="Zkladntext"/>
        <w:ind w:left="1080"/>
        <w:rPr>
          <w:i/>
          <w:sz w:val="20"/>
        </w:rPr>
      </w:pPr>
    </w:p>
    <w:p w:rsidR="00603B4F" w:rsidRDefault="00603B4F">
      <w:pPr>
        <w:numPr>
          <w:ilvl w:val="1"/>
          <w:numId w:val="6"/>
        </w:numPr>
        <w:tabs>
          <w:tab w:val="left" w:pos="1080"/>
        </w:tabs>
        <w:ind w:left="1080"/>
        <w:jc w:val="both"/>
      </w:pPr>
      <w:r>
        <w:rPr>
          <w:b/>
        </w:rPr>
        <w:t xml:space="preserve">Pohľadávky </w:t>
      </w:r>
      <w:r>
        <w:t>pri ich vzniku</w:t>
      </w:r>
      <w:r>
        <w:rPr>
          <w:b/>
        </w:rPr>
        <w:t xml:space="preserve"> </w:t>
      </w:r>
      <w:r>
        <w:t>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03B4F" w:rsidRDefault="00603B4F">
      <w:pPr>
        <w:tabs>
          <w:tab w:val="left" w:pos="1080"/>
        </w:tabs>
        <w:jc w:val="both"/>
        <w:rPr>
          <w:b/>
        </w:rPr>
      </w:pPr>
    </w:p>
    <w:p w:rsidR="00603B4F" w:rsidRDefault="00603B4F">
      <w:pPr>
        <w:numPr>
          <w:ilvl w:val="1"/>
          <w:numId w:val="6"/>
        </w:numPr>
        <w:tabs>
          <w:tab w:val="left" w:pos="1080"/>
        </w:tabs>
        <w:ind w:left="1080"/>
        <w:jc w:val="both"/>
      </w:pPr>
      <w:r>
        <w:rPr>
          <w:b/>
        </w:rPr>
        <w:t xml:space="preserve">Peňažné prostriedky a ceniny </w:t>
      </w:r>
      <w:r>
        <w:t>sa oceňujú ich menovitou hodnotou. Zníženie ich hodnoty sa vyjadruje opravnou položkou</w:t>
      </w:r>
    </w:p>
    <w:p w:rsidR="00603B4F" w:rsidRDefault="00603B4F">
      <w:pPr>
        <w:tabs>
          <w:tab w:val="left" w:pos="1080"/>
        </w:tabs>
        <w:jc w:val="both"/>
        <w:rPr>
          <w:b/>
        </w:rPr>
      </w:pPr>
    </w:p>
    <w:p w:rsidR="00603B4F" w:rsidRDefault="00603B4F">
      <w:pPr>
        <w:numPr>
          <w:ilvl w:val="1"/>
          <w:numId w:val="6"/>
        </w:numPr>
        <w:tabs>
          <w:tab w:val="left" w:pos="1080"/>
        </w:tabs>
        <w:ind w:left="1080"/>
        <w:jc w:val="both"/>
      </w:pPr>
      <w:r>
        <w:rPr>
          <w:b/>
        </w:rPr>
        <w:t xml:space="preserve">Náklady budúcich období a príjmy budúcich období </w:t>
      </w:r>
      <w:r>
        <w:t>sa vykazujú vo výške, ktorá je potrebná na dodržanie zásady vecnej a časovej súvislosti s účtovným obdobím.</w:t>
      </w:r>
    </w:p>
    <w:p w:rsidR="00603B4F" w:rsidRDefault="00603B4F">
      <w:pPr>
        <w:tabs>
          <w:tab w:val="left" w:pos="1080"/>
        </w:tabs>
        <w:jc w:val="both"/>
        <w:rPr>
          <w:b/>
        </w:rPr>
      </w:pPr>
    </w:p>
    <w:p w:rsidR="00603B4F" w:rsidRDefault="00603B4F">
      <w:pPr>
        <w:numPr>
          <w:ilvl w:val="1"/>
          <w:numId w:val="6"/>
        </w:numPr>
        <w:tabs>
          <w:tab w:val="left" w:pos="1080"/>
        </w:tabs>
        <w:ind w:left="1080"/>
        <w:jc w:val="both"/>
      </w:pPr>
      <w:r>
        <w:rPr>
          <w:b/>
        </w:rPr>
        <w:t>Záväzky</w:t>
      </w:r>
      <w:r>
        <w:t xml:space="preserve">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03B4F" w:rsidRDefault="00603B4F">
      <w:pPr>
        <w:tabs>
          <w:tab w:val="left" w:pos="1080"/>
        </w:tabs>
        <w:jc w:val="both"/>
        <w:rPr>
          <w:b/>
        </w:rPr>
      </w:pPr>
    </w:p>
    <w:p w:rsidR="00603B4F" w:rsidRDefault="00603B4F">
      <w:pPr>
        <w:numPr>
          <w:ilvl w:val="1"/>
          <w:numId w:val="6"/>
        </w:numPr>
        <w:tabs>
          <w:tab w:val="left" w:pos="1080"/>
        </w:tabs>
        <w:ind w:left="1080"/>
        <w:jc w:val="both"/>
      </w:pPr>
      <w:r>
        <w:rPr>
          <w:b/>
        </w:rPr>
        <w:t>Rezervy</w:t>
      </w:r>
      <w:r>
        <w:t xml:space="preserve"> sú záväzky s neurčitým časovým vymedzením alebo výškou a tvoria sa na krytie známych rizík alebo strát z podnikania. Oceňujú sa v očakávanej výške záväzku.</w:t>
      </w:r>
    </w:p>
    <w:p w:rsidR="00603B4F" w:rsidRDefault="00603B4F">
      <w:pPr>
        <w:tabs>
          <w:tab w:val="left" w:pos="1080"/>
        </w:tabs>
        <w:ind w:left="1080" w:hanging="360"/>
        <w:jc w:val="both"/>
      </w:pPr>
    </w:p>
    <w:p w:rsidR="00603B4F" w:rsidRDefault="00603B4F">
      <w:pPr>
        <w:numPr>
          <w:ilvl w:val="1"/>
          <w:numId w:val="6"/>
        </w:numPr>
        <w:tabs>
          <w:tab w:val="left" w:pos="1080"/>
        </w:tabs>
        <w:ind w:left="1080"/>
        <w:jc w:val="both"/>
      </w:pPr>
      <w:r>
        <w:rPr>
          <w:b/>
        </w:rPr>
        <w:t>Výdavky budúcich období a výnosy budúcich období</w:t>
      </w:r>
      <w:r>
        <w:t xml:space="preserve"> sa vykazujú vo výške, ktorá je potrebná na dodržanie zásady vecnej a časovej súvislosti s účtovným obdobím.</w:t>
      </w:r>
    </w:p>
    <w:p w:rsidR="00603B4F" w:rsidRDefault="00603B4F">
      <w:pPr>
        <w:tabs>
          <w:tab w:val="left" w:pos="1080"/>
        </w:tabs>
        <w:jc w:val="both"/>
        <w:rPr>
          <w:b/>
        </w:rPr>
      </w:pPr>
    </w:p>
    <w:p w:rsidR="00603B4F" w:rsidRDefault="00603B4F">
      <w:pPr>
        <w:numPr>
          <w:ilvl w:val="1"/>
          <w:numId w:val="6"/>
        </w:numPr>
        <w:tabs>
          <w:tab w:val="left" w:pos="1080"/>
        </w:tabs>
        <w:ind w:left="1080"/>
        <w:jc w:val="both"/>
      </w:pPr>
      <w:r>
        <w:rPr>
          <w:b/>
        </w:rPr>
        <w:t xml:space="preserve">Deriváty – </w:t>
      </w:r>
      <w:r>
        <w:t xml:space="preserve">neboli. </w:t>
      </w:r>
    </w:p>
    <w:p w:rsidR="00603B4F" w:rsidRDefault="00603B4F">
      <w:pPr>
        <w:tabs>
          <w:tab w:val="left" w:pos="1080"/>
        </w:tabs>
        <w:ind w:left="1080"/>
        <w:jc w:val="both"/>
        <w:rPr>
          <w:b/>
        </w:rPr>
      </w:pPr>
    </w:p>
    <w:p w:rsidR="00603B4F" w:rsidRDefault="00603B4F">
      <w:pPr>
        <w:numPr>
          <w:ilvl w:val="1"/>
          <w:numId w:val="6"/>
        </w:numPr>
        <w:tabs>
          <w:tab w:val="left" w:pos="1080"/>
        </w:tabs>
        <w:ind w:left="1080"/>
        <w:jc w:val="both"/>
      </w:pPr>
      <w:r>
        <w:rPr>
          <w:b/>
        </w:rPr>
        <w:t>Majetok a záväzky zabezpečené derivátmi</w:t>
      </w:r>
      <w:r>
        <w:t xml:space="preserve"> – neboli. </w:t>
      </w:r>
    </w:p>
    <w:p w:rsidR="00603B4F" w:rsidRDefault="00603B4F">
      <w:pPr>
        <w:tabs>
          <w:tab w:val="left" w:pos="1080"/>
        </w:tabs>
        <w:jc w:val="both"/>
        <w:rPr>
          <w:b/>
        </w:rPr>
      </w:pPr>
    </w:p>
    <w:p w:rsidR="00603B4F" w:rsidRDefault="00603B4F">
      <w:pPr>
        <w:numPr>
          <w:ilvl w:val="1"/>
          <w:numId w:val="6"/>
        </w:numPr>
        <w:tabs>
          <w:tab w:val="left" w:pos="1080"/>
        </w:tabs>
        <w:ind w:left="1080"/>
        <w:jc w:val="both"/>
      </w:pPr>
      <w:r>
        <w:rPr>
          <w:b/>
        </w:rPr>
        <w:t>Prenajatý majetok a majetok obstaraný na základe zmluvy o kúpe prenajatej veci</w:t>
      </w:r>
      <w:r>
        <w:t xml:space="preserve"> – nebol. </w:t>
      </w:r>
    </w:p>
    <w:p w:rsidR="00603B4F" w:rsidRDefault="00603B4F">
      <w:pPr>
        <w:tabs>
          <w:tab w:val="left" w:pos="1080"/>
        </w:tabs>
        <w:ind w:left="1080"/>
        <w:jc w:val="both"/>
        <w:rPr>
          <w:b/>
          <w:i/>
        </w:rPr>
      </w:pPr>
    </w:p>
    <w:p w:rsidR="00603B4F" w:rsidRDefault="00603B4F">
      <w:pPr>
        <w:numPr>
          <w:ilvl w:val="1"/>
          <w:numId w:val="6"/>
        </w:numPr>
        <w:tabs>
          <w:tab w:val="left" w:pos="1080"/>
        </w:tabs>
        <w:ind w:left="1080"/>
        <w:jc w:val="both"/>
      </w:pPr>
      <w:r>
        <w:rPr>
          <w:b/>
        </w:rPr>
        <w:t>Majetok obstaraný v privatizácii</w:t>
      </w:r>
      <w:r>
        <w:t xml:space="preserve"> – nebol. </w:t>
      </w:r>
    </w:p>
    <w:p w:rsidR="00603B4F" w:rsidRDefault="00603B4F">
      <w:pPr>
        <w:tabs>
          <w:tab w:val="left" w:pos="1080"/>
        </w:tabs>
        <w:ind w:left="720"/>
        <w:jc w:val="both"/>
        <w:rPr>
          <w:b/>
        </w:rPr>
      </w:pPr>
    </w:p>
    <w:p w:rsidR="00603B4F" w:rsidRDefault="00603B4F">
      <w:pPr>
        <w:numPr>
          <w:ilvl w:val="1"/>
          <w:numId w:val="6"/>
        </w:numPr>
        <w:tabs>
          <w:tab w:val="left" w:pos="1080"/>
        </w:tabs>
        <w:ind w:left="1080"/>
        <w:jc w:val="both"/>
      </w:pPr>
      <w:r>
        <w:rPr>
          <w:b/>
        </w:rPr>
        <w:t xml:space="preserve">Splatná daň z príjmov </w:t>
      </w:r>
      <w:r>
        <w:t xml:space="preserve">za bežné účtovné obdobie činil </w:t>
      </w:r>
      <w:r w:rsidR="00497A1D">
        <w:t xml:space="preserve"> 0</w:t>
      </w:r>
      <w:r>
        <w:rPr>
          <w:b/>
        </w:rPr>
        <w:t xml:space="preserve"> EUR</w:t>
      </w:r>
      <w:r>
        <w:t xml:space="preserve">, daň z príjmov z bežnej činnosti bol vo výške </w:t>
      </w:r>
      <w:r w:rsidR="00497A1D">
        <w:t>0</w:t>
      </w:r>
      <w:r w:rsidR="00EB48DD">
        <w:t xml:space="preserve"> </w:t>
      </w:r>
      <w:r>
        <w:rPr>
          <w:b/>
        </w:rPr>
        <w:t xml:space="preserve"> EUR</w:t>
      </w:r>
      <w:r>
        <w:t xml:space="preserve"> a daň z príjmov z mimoriadnej činnosti činil 0</w:t>
      </w:r>
      <w:r>
        <w:rPr>
          <w:b/>
        </w:rPr>
        <w:t xml:space="preserve"> EUR</w:t>
      </w:r>
      <w:r>
        <w:t>.</w:t>
      </w:r>
    </w:p>
    <w:p w:rsidR="00603B4F" w:rsidRDefault="00603B4F">
      <w:pPr>
        <w:tabs>
          <w:tab w:val="left" w:pos="1080"/>
        </w:tabs>
        <w:jc w:val="both"/>
        <w:rPr>
          <w:b/>
        </w:rPr>
      </w:pPr>
    </w:p>
    <w:p w:rsidR="00603B4F" w:rsidRDefault="00603B4F">
      <w:pPr>
        <w:numPr>
          <w:ilvl w:val="1"/>
          <w:numId w:val="6"/>
        </w:numPr>
        <w:tabs>
          <w:tab w:val="left" w:pos="1080"/>
        </w:tabs>
        <w:ind w:left="1080"/>
        <w:jc w:val="both"/>
      </w:pPr>
      <w:r>
        <w:rPr>
          <w:b/>
          <w:bCs/>
        </w:rPr>
        <w:t>Opravné položky k majetku – tvorené podľa kritérií definovaných v zákone o dani z príjmov</w:t>
      </w:r>
    </w:p>
    <w:p w:rsidR="00603B4F" w:rsidRDefault="00603B4F">
      <w:pPr>
        <w:jc w:val="both"/>
        <w:rPr>
          <w:b/>
        </w:rPr>
      </w:pPr>
    </w:p>
    <w:p w:rsidR="00603B4F" w:rsidRDefault="00603B4F">
      <w:pPr>
        <w:jc w:val="both"/>
        <w:rPr>
          <w:b/>
        </w:rPr>
      </w:pPr>
    </w:p>
    <w:p w:rsidR="00603B4F" w:rsidRDefault="00603B4F">
      <w:pPr>
        <w:pStyle w:val="Nadpis2"/>
        <w:numPr>
          <w:ilvl w:val="0"/>
          <w:numId w:val="6"/>
        </w:numPr>
      </w:pPr>
      <w:r>
        <w:rPr>
          <w:sz w:val="20"/>
        </w:rPr>
        <w:t>Odpisovanie dlhodobého majetku</w:t>
      </w:r>
    </w:p>
    <w:p w:rsidR="00603B4F" w:rsidRDefault="00603B4F">
      <w:pPr>
        <w:pStyle w:val="Zkladntext"/>
        <w:ind w:left="720"/>
      </w:pPr>
      <w:r>
        <w:rPr>
          <w:sz w:val="20"/>
        </w:rPr>
        <w:t>Účtovná jednotka počas účtovného obdobia si uplatnila odpisy na základe vopred stanoveného odpisového plánu, v ktorom bola stanovená doba odpisovania, sadzby odpisov a odpisové metódy. Účtovné a daňové odpisy boli vypočítané z ceny, v ktorej bol majetok ocenený v účtovníctve. Účtovné odpisy sa zaokrúhlili na</w:t>
      </w:r>
      <w:r>
        <w:rPr>
          <w:b/>
          <w:sz w:val="20"/>
        </w:rPr>
        <w:t xml:space="preserve"> </w:t>
      </w:r>
      <w:r>
        <w:rPr>
          <w:sz w:val="20"/>
        </w:rPr>
        <w:t xml:space="preserve">celé EUR nahor. Účtovný a daňový odpis sa uviedol na inventárnej karte dlhodobého majetku spolu s ďalšími údajmi, ako je spôsob odpisovania, ročná odpisová sadzba a čiastka účtovných a daňových odpisov za dané účtovné obdobie. </w:t>
      </w:r>
    </w:p>
    <w:p w:rsidR="00603B4F" w:rsidRDefault="00603B4F">
      <w:pPr>
        <w:tabs>
          <w:tab w:val="left" w:pos="2595"/>
        </w:tabs>
        <w:ind w:left="720"/>
      </w:pPr>
    </w:p>
    <w:p w:rsidR="00603B4F" w:rsidRDefault="00603B4F">
      <w:pPr>
        <w:ind w:left="720"/>
      </w:pPr>
    </w:p>
    <w:p w:rsidR="00603B4F" w:rsidRDefault="00603B4F">
      <w:pPr>
        <w:ind w:left="720"/>
      </w:pPr>
      <w:r>
        <w:t>Tabuľka č. 3 Informácie k časti E. písm. d) o odpisovaní dlhodobého majetku</w:t>
      </w:r>
    </w:p>
    <w:tbl>
      <w:tblPr>
        <w:tblW w:w="0" w:type="auto"/>
        <w:tblInd w:w="803" w:type="dxa"/>
        <w:tblLayout w:type="fixed"/>
        <w:tblLook w:val="0000"/>
      </w:tblPr>
      <w:tblGrid>
        <w:gridCol w:w="3420"/>
        <w:gridCol w:w="1800"/>
        <w:gridCol w:w="1800"/>
        <w:gridCol w:w="1490"/>
      </w:tblGrid>
      <w:tr w:rsidR="00603B4F">
        <w:tc>
          <w:tcPr>
            <w:tcW w:w="3420" w:type="dxa"/>
            <w:tcBorders>
              <w:top w:val="single" w:sz="4" w:space="0" w:color="000000"/>
              <w:left w:val="single" w:sz="4" w:space="0" w:color="000000"/>
              <w:bottom w:val="single" w:sz="4" w:space="0" w:color="000000"/>
            </w:tcBorders>
            <w:shd w:val="clear" w:color="auto" w:fill="auto"/>
          </w:tcPr>
          <w:p w:rsidR="00603B4F" w:rsidRDefault="00603B4F">
            <w:pPr>
              <w:pStyle w:val="Zkladntext"/>
              <w:ind w:left="0"/>
              <w:jc w:val="center"/>
            </w:pPr>
            <w:r>
              <w:rPr>
                <w:b/>
                <w:sz w:val="20"/>
              </w:rPr>
              <w:t>Druh majetku</w:t>
            </w:r>
          </w:p>
        </w:tc>
        <w:tc>
          <w:tcPr>
            <w:tcW w:w="1800" w:type="dxa"/>
            <w:tcBorders>
              <w:top w:val="single" w:sz="4" w:space="0" w:color="000000"/>
              <w:left w:val="single" w:sz="4" w:space="0" w:color="000000"/>
              <w:bottom w:val="single" w:sz="4" w:space="0" w:color="000000"/>
            </w:tcBorders>
            <w:shd w:val="clear" w:color="auto" w:fill="auto"/>
          </w:tcPr>
          <w:p w:rsidR="00603B4F" w:rsidRDefault="00603B4F">
            <w:pPr>
              <w:pStyle w:val="Zkladntext"/>
              <w:ind w:left="0"/>
              <w:jc w:val="center"/>
            </w:pPr>
            <w:r>
              <w:rPr>
                <w:b/>
                <w:sz w:val="20"/>
              </w:rPr>
              <w:t>Doba odpisovania</w:t>
            </w:r>
          </w:p>
        </w:tc>
        <w:tc>
          <w:tcPr>
            <w:tcW w:w="1800" w:type="dxa"/>
            <w:tcBorders>
              <w:top w:val="single" w:sz="4" w:space="0" w:color="000000"/>
              <w:left w:val="single" w:sz="4" w:space="0" w:color="000000"/>
              <w:bottom w:val="single" w:sz="4" w:space="0" w:color="000000"/>
            </w:tcBorders>
            <w:shd w:val="clear" w:color="auto" w:fill="auto"/>
          </w:tcPr>
          <w:p w:rsidR="00603B4F" w:rsidRDefault="00603B4F">
            <w:pPr>
              <w:pStyle w:val="Zkladntext"/>
              <w:ind w:left="0"/>
              <w:jc w:val="center"/>
            </w:pPr>
            <w:r>
              <w:rPr>
                <w:b/>
                <w:sz w:val="20"/>
              </w:rPr>
              <w:t>Ročná sadzba odpisov</w:t>
            </w:r>
          </w:p>
        </w:tc>
        <w:tc>
          <w:tcPr>
            <w:tcW w:w="1490" w:type="dxa"/>
            <w:tcBorders>
              <w:top w:val="single" w:sz="4" w:space="0" w:color="000000"/>
              <w:left w:val="single" w:sz="4" w:space="0" w:color="000000"/>
              <w:bottom w:val="single" w:sz="4" w:space="0" w:color="000000"/>
              <w:right w:val="single" w:sz="4" w:space="0" w:color="000000"/>
            </w:tcBorders>
            <w:shd w:val="clear" w:color="auto" w:fill="auto"/>
          </w:tcPr>
          <w:p w:rsidR="00603B4F" w:rsidRDefault="00603B4F">
            <w:pPr>
              <w:pStyle w:val="Zkladntext"/>
              <w:ind w:left="0"/>
              <w:jc w:val="center"/>
            </w:pPr>
            <w:r>
              <w:rPr>
                <w:b/>
                <w:sz w:val="20"/>
              </w:rPr>
              <w:t>Odpisová metóda</w:t>
            </w:r>
          </w:p>
        </w:tc>
      </w:tr>
      <w:tr w:rsidR="00603B4F">
        <w:tc>
          <w:tcPr>
            <w:tcW w:w="3420" w:type="dxa"/>
            <w:tcBorders>
              <w:top w:val="single" w:sz="4" w:space="0" w:color="000000"/>
              <w:left w:val="single" w:sz="4" w:space="0" w:color="000000"/>
              <w:bottom w:val="single" w:sz="4" w:space="0" w:color="000000"/>
            </w:tcBorders>
            <w:shd w:val="clear" w:color="auto" w:fill="auto"/>
          </w:tcPr>
          <w:p w:rsidR="00603B4F" w:rsidRDefault="00603B4F">
            <w:pPr>
              <w:pStyle w:val="Zkladntext"/>
              <w:ind w:left="0"/>
              <w:jc w:val="left"/>
            </w:pPr>
            <w:r>
              <w:rPr>
                <w:sz w:val="20"/>
              </w:rPr>
              <w:t>Aktivované náklady na vývoj</w:t>
            </w:r>
          </w:p>
        </w:tc>
        <w:tc>
          <w:tcPr>
            <w:tcW w:w="1800" w:type="dxa"/>
            <w:tcBorders>
              <w:top w:val="single" w:sz="4" w:space="0" w:color="000000"/>
              <w:left w:val="single" w:sz="4" w:space="0" w:color="000000"/>
              <w:bottom w:val="single" w:sz="4" w:space="0" w:color="000000"/>
            </w:tcBorders>
            <w:shd w:val="clear" w:color="auto" w:fill="auto"/>
          </w:tcPr>
          <w:p w:rsidR="00603B4F" w:rsidRDefault="00603B4F">
            <w:pPr>
              <w:pStyle w:val="Zkladntext"/>
              <w:ind w:left="0"/>
              <w:jc w:val="center"/>
            </w:pPr>
            <w:r>
              <w:rPr>
                <w:sz w:val="20"/>
              </w:rPr>
              <w:t>5 rokov</w:t>
            </w:r>
          </w:p>
        </w:tc>
        <w:tc>
          <w:tcPr>
            <w:tcW w:w="1800" w:type="dxa"/>
            <w:tcBorders>
              <w:top w:val="single" w:sz="4" w:space="0" w:color="000000"/>
              <w:left w:val="single" w:sz="4" w:space="0" w:color="000000"/>
              <w:bottom w:val="single" w:sz="4" w:space="0" w:color="000000"/>
            </w:tcBorders>
            <w:shd w:val="clear" w:color="auto" w:fill="auto"/>
          </w:tcPr>
          <w:p w:rsidR="00603B4F" w:rsidRDefault="00603B4F">
            <w:pPr>
              <w:pStyle w:val="Zkladntext"/>
              <w:ind w:left="0"/>
              <w:jc w:val="center"/>
            </w:pPr>
            <w:r>
              <w:rPr>
                <w:sz w:val="20"/>
              </w:rPr>
              <w:t>20 %</w:t>
            </w:r>
          </w:p>
        </w:tc>
        <w:tc>
          <w:tcPr>
            <w:tcW w:w="1490" w:type="dxa"/>
            <w:tcBorders>
              <w:top w:val="single" w:sz="4" w:space="0" w:color="000000"/>
              <w:left w:val="single" w:sz="4" w:space="0" w:color="000000"/>
              <w:bottom w:val="single" w:sz="4" w:space="0" w:color="000000"/>
              <w:right w:val="single" w:sz="4" w:space="0" w:color="000000"/>
            </w:tcBorders>
            <w:shd w:val="clear" w:color="auto" w:fill="auto"/>
          </w:tcPr>
          <w:p w:rsidR="00603B4F" w:rsidRDefault="00603B4F">
            <w:pPr>
              <w:pStyle w:val="Zkladntext"/>
              <w:ind w:left="0"/>
              <w:jc w:val="center"/>
            </w:pPr>
            <w:r>
              <w:rPr>
                <w:sz w:val="20"/>
              </w:rPr>
              <w:t>lineárna</w:t>
            </w:r>
          </w:p>
        </w:tc>
      </w:tr>
      <w:tr w:rsidR="00603B4F">
        <w:tc>
          <w:tcPr>
            <w:tcW w:w="3420" w:type="dxa"/>
            <w:tcBorders>
              <w:top w:val="single" w:sz="4" w:space="0" w:color="000000"/>
              <w:left w:val="single" w:sz="4" w:space="0" w:color="000000"/>
              <w:bottom w:val="single" w:sz="4" w:space="0" w:color="000000"/>
            </w:tcBorders>
            <w:shd w:val="clear" w:color="auto" w:fill="auto"/>
          </w:tcPr>
          <w:p w:rsidR="00603B4F" w:rsidRDefault="00603B4F">
            <w:pPr>
              <w:pStyle w:val="Zkladntext"/>
              <w:ind w:left="0"/>
              <w:jc w:val="left"/>
            </w:pPr>
            <w:r>
              <w:rPr>
                <w:sz w:val="20"/>
              </w:rPr>
              <w:t>Softvér</w:t>
            </w:r>
          </w:p>
        </w:tc>
        <w:tc>
          <w:tcPr>
            <w:tcW w:w="1800" w:type="dxa"/>
            <w:tcBorders>
              <w:top w:val="single" w:sz="4" w:space="0" w:color="000000"/>
              <w:left w:val="single" w:sz="4" w:space="0" w:color="000000"/>
              <w:bottom w:val="single" w:sz="4" w:space="0" w:color="000000"/>
            </w:tcBorders>
            <w:shd w:val="clear" w:color="auto" w:fill="auto"/>
          </w:tcPr>
          <w:p w:rsidR="00603B4F" w:rsidRDefault="00603B4F">
            <w:pPr>
              <w:pStyle w:val="Zkladntext"/>
              <w:ind w:left="0"/>
              <w:jc w:val="center"/>
            </w:pPr>
            <w:r>
              <w:rPr>
                <w:sz w:val="20"/>
              </w:rPr>
              <w:t>5 rokov</w:t>
            </w:r>
          </w:p>
        </w:tc>
        <w:tc>
          <w:tcPr>
            <w:tcW w:w="1800" w:type="dxa"/>
            <w:tcBorders>
              <w:top w:val="single" w:sz="4" w:space="0" w:color="000000"/>
              <w:left w:val="single" w:sz="4" w:space="0" w:color="000000"/>
              <w:bottom w:val="single" w:sz="4" w:space="0" w:color="000000"/>
            </w:tcBorders>
            <w:shd w:val="clear" w:color="auto" w:fill="auto"/>
          </w:tcPr>
          <w:p w:rsidR="00603B4F" w:rsidRDefault="00603B4F">
            <w:pPr>
              <w:pStyle w:val="Zkladntext"/>
              <w:ind w:left="0"/>
              <w:jc w:val="center"/>
            </w:pPr>
            <w:r>
              <w:rPr>
                <w:sz w:val="20"/>
              </w:rPr>
              <w:t>20 %</w:t>
            </w:r>
          </w:p>
        </w:tc>
        <w:tc>
          <w:tcPr>
            <w:tcW w:w="1490" w:type="dxa"/>
            <w:tcBorders>
              <w:top w:val="single" w:sz="4" w:space="0" w:color="000000"/>
              <w:left w:val="single" w:sz="4" w:space="0" w:color="000000"/>
              <w:bottom w:val="single" w:sz="4" w:space="0" w:color="000000"/>
              <w:right w:val="single" w:sz="4" w:space="0" w:color="000000"/>
            </w:tcBorders>
            <w:shd w:val="clear" w:color="auto" w:fill="auto"/>
          </w:tcPr>
          <w:p w:rsidR="00603B4F" w:rsidRDefault="00603B4F">
            <w:pPr>
              <w:pStyle w:val="Zkladntext"/>
              <w:ind w:left="0"/>
              <w:jc w:val="center"/>
            </w:pPr>
            <w:r>
              <w:rPr>
                <w:sz w:val="20"/>
              </w:rPr>
              <w:t>lineárna</w:t>
            </w:r>
          </w:p>
        </w:tc>
      </w:tr>
      <w:tr w:rsidR="00603B4F">
        <w:tc>
          <w:tcPr>
            <w:tcW w:w="3420" w:type="dxa"/>
            <w:tcBorders>
              <w:top w:val="single" w:sz="4" w:space="0" w:color="000000"/>
              <w:left w:val="single" w:sz="4" w:space="0" w:color="000000"/>
              <w:bottom w:val="single" w:sz="4" w:space="0" w:color="000000"/>
            </w:tcBorders>
            <w:shd w:val="clear" w:color="auto" w:fill="auto"/>
            <w:vAlign w:val="center"/>
          </w:tcPr>
          <w:p w:rsidR="00603B4F" w:rsidRDefault="00603B4F">
            <w:pPr>
              <w:pStyle w:val="Zkladntext"/>
              <w:ind w:left="0"/>
              <w:jc w:val="left"/>
            </w:pPr>
            <w:r>
              <w:rPr>
                <w:sz w:val="20"/>
              </w:rPr>
              <w:t>Stavby</w:t>
            </w:r>
          </w:p>
        </w:tc>
        <w:tc>
          <w:tcPr>
            <w:tcW w:w="1800" w:type="dxa"/>
            <w:tcBorders>
              <w:top w:val="single" w:sz="4" w:space="0" w:color="000000"/>
              <w:left w:val="single" w:sz="4" w:space="0" w:color="000000"/>
              <w:bottom w:val="single" w:sz="4" w:space="0" w:color="000000"/>
            </w:tcBorders>
            <w:shd w:val="clear" w:color="auto" w:fill="auto"/>
            <w:vAlign w:val="center"/>
          </w:tcPr>
          <w:p w:rsidR="00603B4F" w:rsidRDefault="00603B4F">
            <w:pPr>
              <w:pStyle w:val="Zkladntext"/>
              <w:ind w:left="0"/>
              <w:jc w:val="center"/>
            </w:pPr>
            <w:r>
              <w:rPr>
                <w:sz w:val="20"/>
              </w:rPr>
              <w:t>20 rokov</w:t>
            </w:r>
          </w:p>
        </w:tc>
        <w:tc>
          <w:tcPr>
            <w:tcW w:w="1800" w:type="dxa"/>
            <w:tcBorders>
              <w:top w:val="single" w:sz="4" w:space="0" w:color="000000"/>
              <w:left w:val="single" w:sz="4" w:space="0" w:color="000000"/>
              <w:bottom w:val="single" w:sz="4" w:space="0" w:color="000000"/>
            </w:tcBorders>
            <w:shd w:val="clear" w:color="auto" w:fill="auto"/>
            <w:vAlign w:val="center"/>
          </w:tcPr>
          <w:p w:rsidR="00603B4F" w:rsidRDefault="00603B4F">
            <w:pPr>
              <w:pStyle w:val="Zkladntext"/>
              <w:ind w:left="0"/>
              <w:jc w:val="center"/>
            </w:pPr>
            <w:r>
              <w:rPr>
                <w:sz w:val="20"/>
              </w:rPr>
              <w:t>5 %</w:t>
            </w:r>
          </w:p>
        </w:tc>
        <w:tc>
          <w:tcPr>
            <w:tcW w:w="14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3B4F" w:rsidRDefault="00603B4F">
            <w:pPr>
              <w:jc w:val="center"/>
            </w:pPr>
            <w:r>
              <w:t>lineárna</w:t>
            </w:r>
          </w:p>
        </w:tc>
      </w:tr>
      <w:tr w:rsidR="00603B4F">
        <w:tc>
          <w:tcPr>
            <w:tcW w:w="3420" w:type="dxa"/>
            <w:tcBorders>
              <w:top w:val="single" w:sz="4" w:space="0" w:color="000000"/>
              <w:left w:val="single" w:sz="4" w:space="0" w:color="000000"/>
              <w:bottom w:val="single" w:sz="4" w:space="0" w:color="000000"/>
            </w:tcBorders>
            <w:shd w:val="clear" w:color="auto" w:fill="auto"/>
          </w:tcPr>
          <w:p w:rsidR="00603B4F" w:rsidRDefault="00603B4F">
            <w:pPr>
              <w:pStyle w:val="Zkladntext"/>
              <w:ind w:left="0"/>
              <w:jc w:val="left"/>
            </w:pPr>
            <w:r>
              <w:rPr>
                <w:sz w:val="20"/>
              </w:rPr>
              <w:t>Stroje, prístroje a zariadenia</w:t>
            </w:r>
          </w:p>
        </w:tc>
        <w:tc>
          <w:tcPr>
            <w:tcW w:w="1800" w:type="dxa"/>
            <w:tcBorders>
              <w:top w:val="single" w:sz="4" w:space="0" w:color="000000"/>
              <w:left w:val="single" w:sz="4" w:space="0" w:color="000000"/>
              <w:bottom w:val="single" w:sz="4" w:space="0" w:color="000000"/>
            </w:tcBorders>
            <w:shd w:val="clear" w:color="auto" w:fill="auto"/>
          </w:tcPr>
          <w:p w:rsidR="00603B4F" w:rsidRDefault="00603B4F">
            <w:pPr>
              <w:pStyle w:val="Zkladntext"/>
              <w:ind w:left="0"/>
              <w:jc w:val="center"/>
            </w:pPr>
            <w:r>
              <w:rPr>
                <w:sz w:val="20"/>
              </w:rPr>
              <w:t>6 alebo 12 rokov</w:t>
            </w:r>
          </w:p>
        </w:tc>
        <w:tc>
          <w:tcPr>
            <w:tcW w:w="1800" w:type="dxa"/>
            <w:tcBorders>
              <w:top w:val="single" w:sz="4" w:space="0" w:color="000000"/>
              <w:left w:val="single" w:sz="4" w:space="0" w:color="000000"/>
              <w:bottom w:val="single" w:sz="4" w:space="0" w:color="000000"/>
            </w:tcBorders>
            <w:shd w:val="clear" w:color="auto" w:fill="auto"/>
          </w:tcPr>
          <w:p w:rsidR="00603B4F" w:rsidRDefault="00603B4F">
            <w:pPr>
              <w:pStyle w:val="Zkladntext"/>
              <w:ind w:left="0"/>
              <w:jc w:val="center"/>
            </w:pPr>
            <w:r>
              <w:rPr>
                <w:sz w:val="20"/>
              </w:rPr>
              <w:t>16,67 alebo 8,33 %</w:t>
            </w:r>
          </w:p>
        </w:tc>
        <w:tc>
          <w:tcPr>
            <w:tcW w:w="1490" w:type="dxa"/>
            <w:tcBorders>
              <w:top w:val="single" w:sz="4" w:space="0" w:color="000000"/>
              <w:left w:val="single" w:sz="4" w:space="0" w:color="000000"/>
              <w:bottom w:val="single" w:sz="4" w:space="0" w:color="000000"/>
              <w:right w:val="single" w:sz="4" w:space="0" w:color="000000"/>
            </w:tcBorders>
            <w:shd w:val="clear" w:color="auto" w:fill="auto"/>
          </w:tcPr>
          <w:p w:rsidR="00603B4F" w:rsidRDefault="00603B4F">
            <w:pPr>
              <w:pStyle w:val="Zkladntext"/>
              <w:ind w:left="0"/>
              <w:jc w:val="center"/>
            </w:pPr>
            <w:r>
              <w:rPr>
                <w:sz w:val="20"/>
              </w:rPr>
              <w:t>lineárna</w:t>
            </w:r>
          </w:p>
        </w:tc>
      </w:tr>
      <w:tr w:rsidR="00603B4F">
        <w:tc>
          <w:tcPr>
            <w:tcW w:w="3420" w:type="dxa"/>
            <w:tcBorders>
              <w:top w:val="single" w:sz="4" w:space="0" w:color="000000"/>
              <w:left w:val="single" w:sz="4" w:space="0" w:color="000000"/>
              <w:bottom w:val="single" w:sz="4" w:space="0" w:color="000000"/>
            </w:tcBorders>
            <w:shd w:val="clear" w:color="auto" w:fill="auto"/>
          </w:tcPr>
          <w:p w:rsidR="00603B4F" w:rsidRDefault="00603B4F">
            <w:pPr>
              <w:pStyle w:val="Zkladntext"/>
              <w:ind w:left="0"/>
              <w:jc w:val="left"/>
            </w:pPr>
            <w:r>
              <w:rPr>
                <w:sz w:val="20"/>
              </w:rPr>
              <w:t>Dopravné prostriedky</w:t>
            </w:r>
          </w:p>
        </w:tc>
        <w:tc>
          <w:tcPr>
            <w:tcW w:w="1800" w:type="dxa"/>
            <w:tcBorders>
              <w:top w:val="single" w:sz="4" w:space="0" w:color="000000"/>
              <w:left w:val="single" w:sz="4" w:space="0" w:color="000000"/>
              <w:bottom w:val="single" w:sz="4" w:space="0" w:color="000000"/>
            </w:tcBorders>
            <w:shd w:val="clear" w:color="auto" w:fill="auto"/>
          </w:tcPr>
          <w:p w:rsidR="00603B4F" w:rsidRDefault="00603B4F">
            <w:pPr>
              <w:pStyle w:val="Zkladntext"/>
              <w:ind w:left="0"/>
              <w:jc w:val="center"/>
            </w:pPr>
            <w:r>
              <w:rPr>
                <w:sz w:val="20"/>
              </w:rPr>
              <w:t>4 alebo 6 rokov</w:t>
            </w:r>
          </w:p>
        </w:tc>
        <w:tc>
          <w:tcPr>
            <w:tcW w:w="1800" w:type="dxa"/>
            <w:tcBorders>
              <w:top w:val="single" w:sz="4" w:space="0" w:color="000000"/>
              <w:left w:val="single" w:sz="4" w:space="0" w:color="000000"/>
              <w:bottom w:val="single" w:sz="4" w:space="0" w:color="000000"/>
            </w:tcBorders>
            <w:shd w:val="clear" w:color="auto" w:fill="auto"/>
          </w:tcPr>
          <w:p w:rsidR="00603B4F" w:rsidRDefault="00603B4F">
            <w:pPr>
              <w:pStyle w:val="Zkladntext"/>
              <w:ind w:left="0"/>
              <w:jc w:val="center"/>
            </w:pPr>
            <w:r>
              <w:rPr>
                <w:sz w:val="20"/>
              </w:rPr>
              <w:t>25 alebo 16,67 %</w:t>
            </w:r>
          </w:p>
        </w:tc>
        <w:tc>
          <w:tcPr>
            <w:tcW w:w="1490" w:type="dxa"/>
            <w:tcBorders>
              <w:top w:val="single" w:sz="4" w:space="0" w:color="000000"/>
              <w:left w:val="single" w:sz="4" w:space="0" w:color="000000"/>
              <w:bottom w:val="single" w:sz="4" w:space="0" w:color="000000"/>
              <w:right w:val="single" w:sz="4" w:space="0" w:color="000000"/>
            </w:tcBorders>
            <w:shd w:val="clear" w:color="auto" w:fill="auto"/>
          </w:tcPr>
          <w:p w:rsidR="00603B4F" w:rsidRDefault="00603B4F">
            <w:pPr>
              <w:pStyle w:val="Zkladntext"/>
              <w:ind w:left="0"/>
              <w:jc w:val="center"/>
            </w:pPr>
            <w:r>
              <w:rPr>
                <w:sz w:val="20"/>
              </w:rPr>
              <w:t>lineárna</w:t>
            </w:r>
          </w:p>
        </w:tc>
      </w:tr>
      <w:tr w:rsidR="00603B4F">
        <w:tc>
          <w:tcPr>
            <w:tcW w:w="3420" w:type="dxa"/>
            <w:tcBorders>
              <w:top w:val="single" w:sz="4" w:space="0" w:color="000000"/>
              <w:left w:val="single" w:sz="4" w:space="0" w:color="000000"/>
              <w:bottom w:val="single" w:sz="4" w:space="0" w:color="000000"/>
            </w:tcBorders>
            <w:shd w:val="clear" w:color="auto" w:fill="auto"/>
          </w:tcPr>
          <w:p w:rsidR="00603B4F" w:rsidRDefault="00603B4F">
            <w:pPr>
              <w:pStyle w:val="Zkladntext"/>
              <w:ind w:left="0"/>
              <w:jc w:val="left"/>
            </w:pPr>
            <w:r>
              <w:rPr>
                <w:sz w:val="20"/>
              </w:rPr>
              <w:t>Drobný dlhodobý majetok</w:t>
            </w:r>
          </w:p>
        </w:tc>
        <w:tc>
          <w:tcPr>
            <w:tcW w:w="1800" w:type="dxa"/>
            <w:tcBorders>
              <w:top w:val="single" w:sz="4" w:space="0" w:color="000000"/>
              <w:left w:val="single" w:sz="4" w:space="0" w:color="000000"/>
              <w:bottom w:val="single" w:sz="4" w:space="0" w:color="000000"/>
            </w:tcBorders>
            <w:shd w:val="clear" w:color="auto" w:fill="auto"/>
          </w:tcPr>
          <w:p w:rsidR="00603B4F" w:rsidRDefault="00603B4F">
            <w:pPr>
              <w:pStyle w:val="Zkladntext"/>
              <w:snapToGrid w:val="0"/>
              <w:ind w:left="0"/>
              <w:jc w:val="center"/>
              <w:rPr>
                <w:sz w:val="20"/>
              </w:rPr>
            </w:pPr>
          </w:p>
        </w:tc>
        <w:tc>
          <w:tcPr>
            <w:tcW w:w="1800" w:type="dxa"/>
            <w:tcBorders>
              <w:top w:val="single" w:sz="4" w:space="0" w:color="000000"/>
              <w:left w:val="single" w:sz="4" w:space="0" w:color="000000"/>
              <w:bottom w:val="single" w:sz="4" w:space="0" w:color="000000"/>
            </w:tcBorders>
            <w:shd w:val="clear" w:color="auto" w:fill="auto"/>
          </w:tcPr>
          <w:p w:rsidR="00603B4F" w:rsidRDefault="00603B4F">
            <w:pPr>
              <w:pStyle w:val="Zkladntext"/>
              <w:ind w:left="0"/>
              <w:jc w:val="center"/>
            </w:pPr>
            <w:r>
              <w:rPr>
                <w:sz w:val="20"/>
              </w:rPr>
              <w:t>100 %</w:t>
            </w:r>
          </w:p>
        </w:tc>
        <w:tc>
          <w:tcPr>
            <w:tcW w:w="1490" w:type="dxa"/>
            <w:tcBorders>
              <w:top w:val="single" w:sz="4" w:space="0" w:color="000000"/>
              <w:left w:val="single" w:sz="4" w:space="0" w:color="000000"/>
              <w:bottom w:val="single" w:sz="4" w:space="0" w:color="000000"/>
              <w:right w:val="single" w:sz="4" w:space="0" w:color="000000"/>
            </w:tcBorders>
            <w:shd w:val="clear" w:color="auto" w:fill="auto"/>
          </w:tcPr>
          <w:p w:rsidR="00603B4F" w:rsidRDefault="00603B4F">
            <w:pPr>
              <w:pStyle w:val="Zkladntext"/>
              <w:ind w:left="0"/>
              <w:jc w:val="center"/>
            </w:pPr>
            <w:r>
              <w:rPr>
                <w:sz w:val="20"/>
              </w:rPr>
              <w:t>jednorázová</w:t>
            </w:r>
          </w:p>
        </w:tc>
      </w:tr>
    </w:tbl>
    <w:p w:rsidR="00603B4F" w:rsidRDefault="00603B4F">
      <w:pPr>
        <w:ind w:left="720"/>
      </w:pPr>
    </w:p>
    <w:p w:rsidR="00603B4F" w:rsidRDefault="00603B4F">
      <w:pPr>
        <w:pStyle w:val="Zkladntext"/>
        <w:ind w:left="720"/>
      </w:pPr>
      <w:r>
        <w:rPr>
          <w:sz w:val="20"/>
        </w:rPr>
        <w:t xml:space="preserve">Odpisy dlhodobého nehmotného majetku sú stanovené vychádzajúc z predpokladanej doby jeho používania a predpokladaného priebehu jeho opotrebenia. Odpisovať sa začína v mesiaci jeho zaradenia do používania. Drobný dlhodobý nehmotný majetok, ktorého obstarávacia cena (resp. vlastné náklady) je 2 400 EUR a nižšia, sa odpisuje jednorazovo pri uvedení do používania. </w:t>
      </w:r>
    </w:p>
    <w:p w:rsidR="00603B4F" w:rsidRDefault="00603B4F">
      <w:pPr>
        <w:pStyle w:val="Zkladntext"/>
        <w:ind w:left="720"/>
        <w:rPr>
          <w:sz w:val="20"/>
        </w:rPr>
      </w:pPr>
    </w:p>
    <w:p w:rsidR="00603B4F" w:rsidRDefault="00603B4F">
      <w:pPr>
        <w:pStyle w:val="Zkladntext"/>
        <w:ind w:left="720"/>
      </w:pPr>
      <w:r>
        <w:rPr>
          <w:sz w:val="20"/>
        </w:rPr>
        <w:t xml:space="preserve">Odpisy dlhodobého hmotného majetku sú stanovené vychádzajúc z predpokladanej doby jeho používania a predpokladaného priebehu jeho opotrebenia. Odpisovať sa začína v mesiaci jeho zaradenia do používania. Drobný dlhodobý hmotný majetok, ktorého obstarávacia cena (resp. vlastné náklady) je   1 700 EUR a nižšia, sa odpisuje jednorazovo pri uvedení do používania. Pozemky sa neodpisujú. </w:t>
      </w:r>
    </w:p>
    <w:p w:rsidR="00603B4F" w:rsidRDefault="00603B4F">
      <w:pPr>
        <w:pStyle w:val="Zkladntext"/>
        <w:rPr>
          <w:sz w:val="20"/>
        </w:rPr>
      </w:pPr>
    </w:p>
    <w:p w:rsidR="00603B4F" w:rsidRDefault="00603B4F">
      <w:pPr>
        <w:pStyle w:val="Zkladntext"/>
        <w:rPr>
          <w:sz w:val="20"/>
        </w:rPr>
      </w:pPr>
    </w:p>
    <w:p w:rsidR="00603B4F" w:rsidRDefault="00603B4F">
      <w:pPr>
        <w:pStyle w:val="Nadpis2"/>
        <w:numPr>
          <w:ilvl w:val="0"/>
          <w:numId w:val="6"/>
        </w:numPr>
      </w:pPr>
      <w:r>
        <w:rPr>
          <w:sz w:val="20"/>
        </w:rPr>
        <w:lastRenderedPageBreak/>
        <w:t>Dotácie poskytnuté na obstaranie majetku</w:t>
      </w:r>
    </w:p>
    <w:p w:rsidR="00603B4F" w:rsidRDefault="00603B4F">
      <w:pPr>
        <w:tabs>
          <w:tab w:val="left" w:pos="330"/>
        </w:tabs>
        <w:ind w:left="720"/>
        <w:jc w:val="both"/>
      </w:pPr>
      <w:r>
        <w:t>Účtovnej jednotke</w:t>
      </w:r>
      <w:r>
        <w:rPr>
          <w:b/>
        </w:rPr>
        <w:t xml:space="preserve"> </w:t>
      </w:r>
      <w:r>
        <w:t>nebola</w:t>
      </w:r>
      <w:r>
        <w:rPr>
          <w:b/>
        </w:rPr>
        <w:t xml:space="preserve"> </w:t>
      </w:r>
      <w:r>
        <w:t>poskytnutá dotácia počas účtovného obdobia.</w:t>
      </w:r>
    </w:p>
    <w:p w:rsidR="00603B4F" w:rsidRDefault="00603B4F"/>
    <w:p w:rsidR="00603B4F" w:rsidRDefault="00603B4F">
      <w:pPr>
        <w:pStyle w:val="Nadpis2"/>
        <w:numPr>
          <w:ilvl w:val="0"/>
          <w:numId w:val="6"/>
        </w:numPr>
      </w:pPr>
      <w:r>
        <w:rPr>
          <w:sz w:val="20"/>
        </w:rPr>
        <w:t>Opravy chýb minulých účtovných období</w:t>
      </w:r>
    </w:p>
    <w:p w:rsidR="00603B4F" w:rsidRDefault="00395A7A">
      <w:pPr>
        <w:pStyle w:val="Zkladntext"/>
        <w:ind w:left="720"/>
      </w:pPr>
      <w:r>
        <w:rPr>
          <w:sz w:val="20"/>
        </w:rPr>
        <w:t>V účtovnom období 2022</w:t>
      </w:r>
      <w:r w:rsidR="00603B4F">
        <w:rPr>
          <w:sz w:val="20"/>
        </w:rPr>
        <w:t xml:space="preserve"> účtovná jednotka nevykonala žiadne opravy významných chýb minulých účtovných období. </w:t>
      </w:r>
    </w:p>
    <w:p w:rsidR="00603B4F" w:rsidRDefault="00603B4F">
      <w:pPr>
        <w:tabs>
          <w:tab w:val="left" w:pos="330"/>
        </w:tabs>
        <w:jc w:val="both"/>
        <w:rPr>
          <w:i/>
        </w:rPr>
      </w:pPr>
    </w:p>
    <w:p w:rsidR="00603B4F" w:rsidRDefault="00603B4F">
      <w:pPr>
        <w:pStyle w:val="Nadpis1"/>
        <w:tabs>
          <w:tab w:val="left" w:pos="360"/>
        </w:tabs>
        <w:ind w:left="360"/>
      </w:pPr>
      <w:r>
        <w:rPr>
          <w:sz w:val="20"/>
        </w:rPr>
        <w:t>informácie ktoré vysvetľujú a dopĺňajú súvahu a výkaz ziskov a strát</w:t>
      </w:r>
    </w:p>
    <w:p w:rsidR="00603B4F" w:rsidRDefault="00603B4F"/>
    <w:p w:rsidR="00603B4F" w:rsidRDefault="00603B4F">
      <w:pPr>
        <w:pStyle w:val="Nadpis2"/>
        <w:numPr>
          <w:ilvl w:val="0"/>
          <w:numId w:val="8"/>
        </w:numPr>
        <w:tabs>
          <w:tab w:val="left" w:pos="426"/>
        </w:tabs>
        <w:jc w:val="both"/>
      </w:pPr>
      <w:r>
        <w:rPr>
          <w:sz w:val="20"/>
        </w:rPr>
        <w:t>Dlhodobý nehmotný a dlhodobý hmotný majetok, na ktorý je zriadené záložné právo a dlhodobý majetok, pri ktorom má účtovná jednotka obmedzené právo s nim nakladať</w:t>
      </w:r>
    </w:p>
    <w:p w:rsidR="00603B4F" w:rsidRDefault="00603B4F">
      <w:pPr>
        <w:ind w:left="720"/>
        <w:jc w:val="both"/>
      </w:pPr>
      <w:r>
        <w:t xml:space="preserve">Na dlhodobý nehmotný majetok nebolo zriadené záložné právo. </w:t>
      </w:r>
    </w:p>
    <w:p w:rsidR="00603B4F" w:rsidRDefault="00603B4F"/>
    <w:p w:rsidR="00603B4F" w:rsidRDefault="00603B4F">
      <w:pPr>
        <w:pStyle w:val="Nadpis2"/>
        <w:numPr>
          <w:ilvl w:val="0"/>
          <w:numId w:val="8"/>
        </w:numPr>
        <w:tabs>
          <w:tab w:val="left" w:pos="426"/>
        </w:tabs>
        <w:jc w:val="both"/>
      </w:pPr>
      <w:r>
        <w:rPr>
          <w:sz w:val="20"/>
        </w:rPr>
        <w:t>Dlhodobý majetok, pri ktorom vlastnícke právo nadobudol veriteľ zmluvou o zabezpečovacom prevode práva, ale ktorý užíva účtovná jednotka na základe zmluvy o výpožičke</w:t>
      </w:r>
    </w:p>
    <w:p w:rsidR="00603B4F" w:rsidRDefault="00603B4F">
      <w:pPr>
        <w:ind w:left="720"/>
        <w:jc w:val="both"/>
      </w:pPr>
      <w:r>
        <w:t>Účtovná jednotka nemala taký dlhodobý majetok, pri ktorom vlastnícke právo nadobudol veriteľ zmluvou o zabezpečovacom prevode práve, ale ktorý užíva účtovná jednotka na základe zmluvy o výpožičke.</w:t>
      </w:r>
    </w:p>
    <w:p w:rsidR="00603B4F" w:rsidRDefault="00603B4F">
      <w:pPr>
        <w:jc w:val="both"/>
        <w:rPr>
          <w:i/>
        </w:rPr>
      </w:pPr>
    </w:p>
    <w:p w:rsidR="00603B4F" w:rsidRDefault="00603B4F">
      <w:pPr>
        <w:pStyle w:val="Nadpis2"/>
        <w:numPr>
          <w:ilvl w:val="0"/>
          <w:numId w:val="8"/>
        </w:numPr>
        <w:tabs>
          <w:tab w:val="left" w:pos="426"/>
        </w:tabs>
        <w:jc w:val="both"/>
      </w:pPr>
      <w:r>
        <w:rPr>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603B4F" w:rsidRDefault="00603B4F">
      <w:pPr>
        <w:ind w:left="720"/>
        <w:jc w:val="both"/>
      </w:pPr>
      <w:r>
        <w:t xml:space="preserve">Účtovná jednotka neužíva nadobudnutý alebo prevedený dlhodobý nehnuteľný majetok, pri ktorom nebolo vlastnícke právo zapísané vkladom do katastra nehnuteľnosti do dňa, ku ktorému sa zostavuje účtovná závierka. </w:t>
      </w:r>
    </w:p>
    <w:p w:rsidR="00603B4F" w:rsidRDefault="00603B4F">
      <w:pPr>
        <w:jc w:val="both"/>
        <w:rPr>
          <w:i/>
        </w:rPr>
      </w:pPr>
    </w:p>
    <w:p w:rsidR="00603B4F" w:rsidRDefault="00603B4F">
      <w:pPr>
        <w:pStyle w:val="Nadpis2"/>
        <w:numPr>
          <w:ilvl w:val="0"/>
          <w:numId w:val="8"/>
        </w:numPr>
        <w:tabs>
          <w:tab w:val="left" w:pos="426"/>
        </w:tabs>
        <w:jc w:val="both"/>
      </w:pPr>
      <w:r>
        <w:rPr>
          <w:sz w:val="20"/>
        </w:rPr>
        <w:t>Goodwill</w:t>
      </w:r>
    </w:p>
    <w:p w:rsidR="00603B4F" w:rsidRDefault="00603B4F">
      <w:pPr>
        <w:ind w:left="720"/>
        <w:jc w:val="both"/>
      </w:pPr>
      <w:r>
        <w:t xml:space="preserve">Účtovná jednotka o goodwille neúčtovala.  </w:t>
      </w:r>
    </w:p>
    <w:p w:rsidR="00603B4F" w:rsidRDefault="00603B4F">
      <w:pPr>
        <w:ind w:left="720"/>
        <w:jc w:val="both"/>
        <w:rPr>
          <w:i/>
        </w:rPr>
      </w:pPr>
    </w:p>
    <w:p w:rsidR="00603B4F" w:rsidRDefault="00603B4F">
      <w:pPr>
        <w:pStyle w:val="Nadpis2"/>
        <w:numPr>
          <w:ilvl w:val="0"/>
          <w:numId w:val="8"/>
        </w:numPr>
        <w:tabs>
          <w:tab w:val="left" w:pos="426"/>
        </w:tabs>
        <w:jc w:val="both"/>
      </w:pPr>
      <w:r>
        <w:rPr>
          <w:sz w:val="20"/>
        </w:rPr>
        <w:t>Informácie o vlastných akciách</w:t>
      </w:r>
    </w:p>
    <w:p w:rsidR="00603B4F" w:rsidRDefault="00603B4F">
      <w:pPr>
        <w:tabs>
          <w:tab w:val="left" w:pos="720"/>
        </w:tabs>
        <w:ind w:left="720"/>
      </w:pPr>
      <w:r>
        <w:t>Účtovná jednotka nemá vlastné akcie.</w:t>
      </w:r>
    </w:p>
    <w:p w:rsidR="00603B4F" w:rsidRDefault="00603B4F">
      <w:pPr>
        <w:tabs>
          <w:tab w:val="left" w:pos="720"/>
        </w:tabs>
        <w:ind w:left="720"/>
      </w:pPr>
    </w:p>
    <w:p w:rsidR="00603B4F" w:rsidRDefault="00603B4F">
      <w:pPr>
        <w:pStyle w:val="Nadpis2"/>
        <w:numPr>
          <w:ilvl w:val="0"/>
          <w:numId w:val="8"/>
        </w:numPr>
        <w:tabs>
          <w:tab w:val="left" w:pos="426"/>
        </w:tabs>
        <w:jc w:val="both"/>
      </w:pPr>
      <w:r>
        <w:rPr>
          <w:sz w:val="20"/>
        </w:rPr>
        <w:t>Pohľadávky zabezpečené záložným právom alebo inou formou zabezpečenia</w:t>
      </w:r>
    </w:p>
    <w:p w:rsidR="00603B4F" w:rsidRDefault="00603B4F">
      <w:pPr>
        <w:ind w:left="720"/>
        <w:jc w:val="both"/>
      </w:pPr>
      <w:r>
        <w:t xml:space="preserve">Pohľadávky neboli zabezpečené záložným právom, ani inou formou zabezpečenia. </w:t>
      </w:r>
    </w:p>
    <w:p w:rsidR="00603B4F" w:rsidRDefault="00603B4F">
      <w:pPr>
        <w:ind w:left="720"/>
        <w:jc w:val="both"/>
        <w:rPr>
          <w:i/>
        </w:rPr>
      </w:pPr>
    </w:p>
    <w:p w:rsidR="00603B4F" w:rsidRDefault="00603B4F">
      <w:pPr>
        <w:pStyle w:val="Nadpis2"/>
        <w:numPr>
          <w:ilvl w:val="0"/>
          <w:numId w:val="8"/>
        </w:numPr>
        <w:tabs>
          <w:tab w:val="left" w:pos="426"/>
        </w:tabs>
        <w:jc w:val="both"/>
      </w:pPr>
      <w:r>
        <w:rPr>
          <w:sz w:val="20"/>
        </w:rPr>
        <w:t>Pohľadávky, na ktoré sa zriadilo záložné právo a pohľadávky, pri ktorých má účtovná jednotka obmedzené právo s nimi nakladať</w:t>
      </w:r>
    </w:p>
    <w:p w:rsidR="00603B4F" w:rsidRDefault="00603B4F">
      <w:pPr>
        <w:ind w:left="720"/>
        <w:jc w:val="both"/>
      </w:pPr>
      <w:r>
        <w:t xml:space="preserve">Na pohľadávky účtovnej jednotky nebolo zriadené záložné právo. </w:t>
      </w:r>
    </w:p>
    <w:p w:rsidR="00603B4F" w:rsidRDefault="00603B4F">
      <w:pPr>
        <w:jc w:val="both"/>
        <w:rPr>
          <w:b/>
          <w:bCs/>
          <w:lang w:eastAsia="sk-SK"/>
        </w:rPr>
      </w:pPr>
    </w:p>
    <w:p w:rsidR="00603B4F" w:rsidRDefault="00603B4F">
      <w:pPr>
        <w:pStyle w:val="Nadpis2"/>
        <w:numPr>
          <w:ilvl w:val="0"/>
          <w:numId w:val="8"/>
        </w:numPr>
        <w:tabs>
          <w:tab w:val="left" w:pos="426"/>
        </w:tabs>
        <w:jc w:val="both"/>
      </w:pPr>
      <w:r>
        <w:rPr>
          <w:sz w:val="20"/>
        </w:rPr>
        <w:t>Krátkodobý finančný majetok, na ktorý bolo zriadené záložné právo a krátkodobý finančný majetok, pri ktorom má účtovná jednotka obmedzené právo s nim nakladať</w:t>
      </w:r>
    </w:p>
    <w:p w:rsidR="00603B4F" w:rsidRDefault="00603B4F">
      <w:pPr>
        <w:pStyle w:val="Nadpis"/>
        <w:spacing w:before="0" w:after="0"/>
        <w:ind w:left="720"/>
        <w:jc w:val="both"/>
      </w:pPr>
      <w:r>
        <w:rPr>
          <w:b w:val="0"/>
          <w:sz w:val="20"/>
          <w:szCs w:val="20"/>
        </w:rPr>
        <w:t xml:space="preserve">Na krátkodobý finančný majetok nebolo zriadené záložné právo. </w:t>
      </w:r>
    </w:p>
    <w:p w:rsidR="00603B4F" w:rsidRDefault="00603B4F">
      <w:pPr>
        <w:pStyle w:val="Nadpis"/>
        <w:spacing w:before="0" w:after="0"/>
        <w:ind w:left="720"/>
        <w:jc w:val="both"/>
      </w:pPr>
      <w:r>
        <w:rPr>
          <w:b w:val="0"/>
          <w:sz w:val="20"/>
          <w:szCs w:val="20"/>
        </w:rPr>
        <w:t xml:space="preserve">Účtovná jednotka nemala krátkodobý finančný majetok s obmedzeným právom s nim nakladať. </w:t>
      </w:r>
    </w:p>
    <w:p w:rsidR="00603B4F" w:rsidRDefault="00603B4F">
      <w:pPr>
        <w:pStyle w:val="Nadpis"/>
        <w:spacing w:before="0" w:after="0"/>
        <w:jc w:val="both"/>
        <w:rPr>
          <w:i/>
        </w:rPr>
      </w:pPr>
    </w:p>
    <w:p w:rsidR="00603B4F" w:rsidRDefault="00603B4F">
      <w:pPr>
        <w:jc w:val="both"/>
      </w:pPr>
      <w:r>
        <w:rPr>
          <w:b/>
        </w:rPr>
        <w:t xml:space="preserve">        i)    Informácie o významných položkách derivátov</w:t>
      </w:r>
    </w:p>
    <w:p w:rsidR="00603B4F" w:rsidRDefault="00603B4F">
      <w:pPr>
        <w:ind w:left="720"/>
        <w:jc w:val="both"/>
      </w:pPr>
      <w:r>
        <w:t xml:space="preserve">Účtovná jednotka neúčtovala v bežnom a bezprostredne predchádzajúcom účtovnom období o derivátoch. </w:t>
      </w:r>
    </w:p>
    <w:p w:rsidR="00603B4F" w:rsidRDefault="00603B4F"/>
    <w:p w:rsidR="00603B4F" w:rsidRDefault="00603B4F"/>
    <w:p w:rsidR="00603B4F" w:rsidRDefault="00603B4F">
      <w:pPr>
        <w:ind w:left="380"/>
        <w:jc w:val="both"/>
      </w:pPr>
      <w:r>
        <w:rPr>
          <w:b/>
        </w:rPr>
        <w:t>j)     Informácie o majetku a záväzkoch zabezpečených derivátmi</w:t>
      </w:r>
    </w:p>
    <w:p w:rsidR="00603B4F" w:rsidRDefault="00603B4F">
      <w:pPr>
        <w:ind w:left="720"/>
        <w:jc w:val="both"/>
      </w:pPr>
      <w:r>
        <w:t xml:space="preserve">Účtovná jednotka neúčtovala v bežnom a bezprostredne predchádzajúcom období o majetku a záväzkoch zabezpečených derivátmi. </w:t>
      </w:r>
    </w:p>
    <w:p w:rsidR="00603B4F" w:rsidRDefault="00603B4F">
      <w:pPr>
        <w:ind w:left="720"/>
        <w:jc w:val="both"/>
      </w:pPr>
    </w:p>
    <w:p w:rsidR="00603B4F" w:rsidRDefault="00603B4F">
      <w:pPr>
        <w:ind w:left="720"/>
        <w:jc w:val="both"/>
      </w:pPr>
    </w:p>
    <w:p w:rsidR="00603B4F" w:rsidRDefault="00603B4F">
      <w:pPr>
        <w:ind w:left="720"/>
        <w:jc w:val="both"/>
        <w:rPr>
          <w:b/>
        </w:rPr>
      </w:pPr>
    </w:p>
    <w:p w:rsidR="00603B4F" w:rsidRDefault="00603B4F">
      <w:pPr>
        <w:ind w:left="680" w:hanging="680"/>
        <w:jc w:val="both"/>
      </w:pPr>
      <w:r>
        <w:rPr>
          <w:b/>
        </w:rPr>
        <w:t xml:space="preserve">k) </w:t>
      </w:r>
      <w:r>
        <w:rPr>
          <w:b/>
        </w:rPr>
        <w:tab/>
        <w:t>Informácie o záväzkoch so zostatkovou dobou splatnosti dlhšou ako 5 rokov a o hodnote záväzku  zabezpečenom záložným právom alebo zabezpečeným inou formou zabezpečenia</w:t>
      </w:r>
    </w:p>
    <w:p w:rsidR="00603B4F" w:rsidRDefault="00603B4F">
      <w:pPr>
        <w:ind w:left="720"/>
        <w:jc w:val="both"/>
      </w:pPr>
      <w:r>
        <w:t xml:space="preserve">Záväzky účtovnej jednotky v bežnom a bezprostredne predchádzajúcom účtovnom období neboli zabezpečené záložným právom ani inou formou zabezpečenia. </w:t>
      </w:r>
    </w:p>
    <w:p w:rsidR="00603B4F" w:rsidRDefault="00603B4F">
      <w:pPr>
        <w:ind w:left="1080"/>
        <w:jc w:val="both"/>
      </w:pPr>
    </w:p>
    <w:p w:rsidR="00603B4F" w:rsidRDefault="00603B4F">
      <w:pPr>
        <w:jc w:val="both"/>
      </w:pPr>
      <w:r>
        <w:rPr>
          <w:b/>
        </w:rPr>
        <w:t xml:space="preserve">l)            Informácie o vydaných dlhopisoch </w:t>
      </w:r>
    </w:p>
    <w:p w:rsidR="00603B4F" w:rsidRDefault="00603B4F">
      <w:pPr>
        <w:ind w:left="720"/>
      </w:pPr>
      <w:r>
        <w:t xml:space="preserve">Účtovná jednotka nemala vo svojom účtovníctve evidované dlhopisy. </w:t>
      </w:r>
    </w:p>
    <w:p w:rsidR="00603B4F" w:rsidRDefault="00603B4F">
      <w:pPr>
        <w:rPr>
          <w:lang w:eastAsia="sk-SK"/>
        </w:rPr>
      </w:pPr>
    </w:p>
    <w:p w:rsidR="00603B4F" w:rsidRDefault="00603B4F">
      <w:pPr>
        <w:ind w:left="57"/>
        <w:jc w:val="both"/>
      </w:pPr>
      <w:r>
        <w:rPr>
          <w:b/>
        </w:rPr>
        <w:t>m)          Výnosy, ktoré majú výnimočný rozsah alebo výskyt</w:t>
      </w:r>
    </w:p>
    <w:p w:rsidR="00603B4F" w:rsidRDefault="00603B4F">
      <w:pPr>
        <w:ind w:left="720"/>
        <w:jc w:val="both"/>
      </w:pPr>
      <w:r>
        <w:t xml:space="preserve">Účtovnej jednotke v bežnom a bezprostredne predchádzajúcom účtovnom období nevznikli mimoriadne výnosy. </w:t>
      </w:r>
    </w:p>
    <w:p w:rsidR="00603B4F" w:rsidRDefault="00603B4F">
      <w:pPr>
        <w:jc w:val="both"/>
      </w:pPr>
    </w:p>
    <w:p w:rsidR="00603B4F" w:rsidRDefault="00603B4F">
      <w:pPr>
        <w:jc w:val="both"/>
      </w:pPr>
      <w:r>
        <w:rPr>
          <w:b/>
        </w:rPr>
        <w:t>n)           Náklady, ktoré majú výnimočný rozsah alebo výskyt</w:t>
      </w:r>
    </w:p>
    <w:p w:rsidR="00603B4F" w:rsidRDefault="00603B4F">
      <w:pPr>
        <w:ind w:left="720"/>
        <w:jc w:val="both"/>
      </w:pPr>
      <w:r>
        <w:t xml:space="preserve">Účtovnej jednotke v bežnom a bezprostredne predchádzajúcom účtovnom období nevznikli mimoriadne náklady. </w:t>
      </w:r>
    </w:p>
    <w:p w:rsidR="00603B4F" w:rsidRDefault="00603B4F">
      <w:pPr>
        <w:ind w:left="720"/>
        <w:jc w:val="both"/>
      </w:pPr>
    </w:p>
    <w:p w:rsidR="00603B4F" w:rsidRDefault="00603B4F">
      <w:pPr>
        <w:pStyle w:val="Nadpis1"/>
        <w:numPr>
          <w:ilvl w:val="0"/>
          <w:numId w:val="0"/>
        </w:numPr>
        <w:tabs>
          <w:tab w:val="left" w:pos="360"/>
        </w:tabs>
        <w:ind w:left="450"/>
        <w:rPr>
          <w:b w:val="0"/>
          <w:sz w:val="20"/>
        </w:rPr>
      </w:pPr>
    </w:p>
    <w:p w:rsidR="00603B4F" w:rsidRDefault="00603B4F">
      <w:pPr>
        <w:pStyle w:val="Nadpis1"/>
        <w:numPr>
          <w:ilvl w:val="0"/>
          <w:numId w:val="0"/>
        </w:numPr>
        <w:tabs>
          <w:tab w:val="left" w:pos="360"/>
        </w:tabs>
      </w:pPr>
      <w:r>
        <w:rPr>
          <w:sz w:val="20"/>
        </w:rPr>
        <w:t>Informácie o podsúvahových účtoch</w:t>
      </w:r>
    </w:p>
    <w:p w:rsidR="00603B4F" w:rsidRDefault="00603B4F">
      <w:pPr>
        <w:tabs>
          <w:tab w:val="left" w:pos="330"/>
        </w:tabs>
        <w:ind w:left="737"/>
        <w:jc w:val="both"/>
      </w:pPr>
      <w:r>
        <w:t>Účtovná jednotka v bežnom a bezprostredne predchádzajúcom účtovnom období nepoužívala podsúvahové účty.</w:t>
      </w:r>
    </w:p>
    <w:p w:rsidR="00603B4F" w:rsidRDefault="00603B4F">
      <w:pPr>
        <w:tabs>
          <w:tab w:val="left" w:pos="330"/>
        </w:tabs>
        <w:jc w:val="both"/>
        <w:rPr>
          <w:i/>
        </w:rPr>
      </w:pPr>
    </w:p>
    <w:p w:rsidR="00603B4F" w:rsidRDefault="00603B4F">
      <w:pPr>
        <w:pStyle w:val="Nadpis1"/>
        <w:numPr>
          <w:ilvl w:val="0"/>
          <w:numId w:val="0"/>
        </w:numPr>
        <w:tabs>
          <w:tab w:val="left" w:pos="360"/>
        </w:tabs>
      </w:pPr>
      <w:r>
        <w:rPr>
          <w:sz w:val="20"/>
        </w:rPr>
        <w:t>informácie o iných aktívach a iných pasívach</w:t>
      </w:r>
    </w:p>
    <w:p w:rsidR="00603B4F" w:rsidRDefault="00603B4F">
      <w:pPr>
        <w:tabs>
          <w:tab w:val="left" w:pos="330"/>
        </w:tabs>
        <w:ind w:left="680"/>
      </w:pPr>
      <w:r>
        <w:t>Účtovná jednotka v bežnom a bezprostredne predchádzajúcom účtovnom období neevidovala iné aktíva a iné pasíva.</w:t>
      </w:r>
    </w:p>
    <w:p w:rsidR="00603B4F" w:rsidRDefault="00603B4F">
      <w:pPr>
        <w:tabs>
          <w:tab w:val="left" w:pos="330"/>
        </w:tabs>
        <w:rPr>
          <w:i/>
        </w:rPr>
      </w:pPr>
    </w:p>
    <w:p w:rsidR="00603B4F" w:rsidRDefault="00603B4F">
      <w:pPr>
        <w:tabs>
          <w:tab w:val="left" w:pos="330"/>
        </w:tabs>
        <w:jc w:val="both"/>
        <w:rPr>
          <w:i/>
          <w:color w:val="FF0000"/>
        </w:rPr>
      </w:pPr>
    </w:p>
    <w:p w:rsidR="00603B4F" w:rsidRDefault="00603B4F">
      <w:pPr>
        <w:tabs>
          <w:tab w:val="left" w:pos="330"/>
          <w:tab w:val="left" w:pos="709"/>
        </w:tabs>
        <w:jc w:val="both"/>
      </w:pPr>
      <w:r>
        <w:rPr>
          <w:b/>
          <w:caps/>
        </w:rPr>
        <w:t>Informácie o podmienenom majetku</w:t>
      </w:r>
    </w:p>
    <w:p w:rsidR="00603B4F" w:rsidRDefault="00603B4F">
      <w:pPr>
        <w:tabs>
          <w:tab w:val="left" w:pos="330"/>
        </w:tabs>
        <w:ind w:left="737"/>
        <w:jc w:val="both"/>
      </w:pPr>
      <w:r>
        <w:t xml:space="preserve">Účtovná jednotka o podmienenom majetku neúčtovala. </w:t>
      </w:r>
    </w:p>
    <w:p w:rsidR="00603B4F" w:rsidRDefault="00603B4F">
      <w:pPr>
        <w:tabs>
          <w:tab w:val="left" w:pos="330"/>
        </w:tabs>
        <w:jc w:val="both"/>
        <w:rPr>
          <w:i/>
        </w:rPr>
      </w:pPr>
    </w:p>
    <w:p w:rsidR="00603B4F" w:rsidRDefault="00603B4F">
      <w:pPr>
        <w:pStyle w:val="Nadpis1"/>
        <w:numPr>
          <w:ilvl w:val="0"/>
          <w:numId w:val="0"/>
        </w:numPr>
        <w:tabs>
          <w:tab w:val="left" w:pos="360"/>
        </w:tabs>
        <w:ind w:left="450"/>
        <w:jc w:val="both"/>
      </w:pPr>
      <w:r>
        <w:rPr>
          <w:sz w:val="20"/>
        </w:rPr>
        <w:t>informácie o príjmoch a výhodách členov štatutárnych orgánov, dozorných orgánov a iných orgánov účtovnej jednotky</w:t>
      </w:r>
    </w:p>
    <w:p w:rsidR="00603B4F" w:rsidRDefault="00603B4F">
      <w:pPr>
        <w:tabs>
          <w:tab w:val="left" w:pos="330"/>
        </w:tabs>
        <w:rPr>
          <w:i/>
        </w:rPr>
      </w:pPr>
    </w:p>
    <w:p w:rsidR="00603B4F" w:rsidRDefault="00603B4F">
      <w:pPr>
        <w:numPr>
          <w:ilvl w:val="0"/>
          <w:numId w:val="5"/>
        </w:numPr>
        <w:jc w:val="both"/>
      </w:pPr>
      <w:r>
        <w:rPr>
          <w:b/>
        </w:rPr>
        <w:t>Informácie o výške priznaných odmien za účtovné obdobie pre členov štatutárnych orgánov, dozorných orgánov a iných orgánov účtovnej jednotky z dôvodu výkonu ich funkcie vrátane plnení vyplývajúcich z dôchodkových programov pre bývalých členov týchto orgánov</w:t>
      </w:r>
    </w:p>
    <w:p w:rsidR="00603B4F" w:rsidRDefault="00603B4F">
      <w:pPr>
        <w:jc w:val="both"/>
        <w:rPr>
          <w:b/>
          <w:i/>
        </w:rPr>
      </w:pPr>
    </w:p>
    <w:p w:rsidR="00603B4F" w:rsidRDefault="00603B4F">
      <w:pPr>
        <w:ind w:left="720"/>
        <w:jc w:val="both"/>
      </w:pPr>
      <w:r>
        <w:t xml:space="preserve">Účtovnej jednotke nevzniká povinnosť zverejňovať informácie v časti M. písm. a) podľa § 3 ods. 4 Opatrenia MF SR z 31. Marca 2003 č. 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w:t>
      </w:r>
    </w:p>
    <w:p w:rsidR="00603B4F" w:rsidRDefault="00603B4F">
      <w:pPr>
        <w:tabs>
          <w:tab w:val="left" w:pos="330"/>
        </w:tabs>
        <w:jc w:val="both"/>
        <w:rPr>
          <w:i/>
        </w:rPr>
      </w:pPr>
    </w:p>
    <w:p w:rsidR="00603B4F" w:rsidRDefault="00603B4F">
      <w:pPr>
        <w:tabs>
          <w:tab w:val="left" w:pos="330"/>
        </w:tabs>
        <w:rPr>
          <w:b/>
          <w:i/>
        </w:rPr>
      </w:pPr>
    </w:p>
    <w:p w:rsidR="00603B4F" w:rsidRDefault="00603B4F">
      <w:pPr>
        <w:numPr>
          <w:ilvl w:val="0"/>
          <w:numId w:val="5"/>
        </w:numPr>
        <w:jc w:val="both"/>
      </w:pPr>
      <w:r>
        <w:rPr>
          <w:b/>
        </w:rPr>
        <w:t>Informácie o výške jednotlivých druhov záruk alebo iných zabezpečení poskytnutých pre členov štatutárnych orgánov, dozorných orgánov a iných orgánov účtovnej jednotky</w:t>
      </w:r>
    </w:p>
    <w:p w:rsidR="00603B4F" w:rsidRDefault="00603B4F">
      <w:pPr>
        <w:ind w:left="720"/>
        <w:jc w:val="both"/>
      </w:pPr>
      <w:r>
        <w:t xml:space="preserve">Účtovná jednotka neposkytla záruky alebo iné zabezpečenia pre členov štatutárnych orgánov, dozorných orgánov a iných členov účtovnej jednotky. </w:t>
      </w:r>
    </w:p>
    <w:p w:rsidR="00603B4F" w:rsidRDefault="00603B4F">
      <w:pPr>
        <w:jc w:val="both"/>
        <w:rPr>
          <w:i/>
        </w:rPr>
      </w:pPr>
    </w:p>
    <w:p w:rsidR="00603B4F" w:rsidRDefault="00603B4F">
      <w:pPr>
        <w:jc w:val="both"/>
        <w:rPr>
          <w:i/>
        </w:rPr>
      </w:pPr>
    </w:p>
    <w:p w:rsidR="00603B4F" w:rsidRDefault="00603B4F">
      <w:pPr>
        <w:pStyle w:val="Default"/>
        <w:numPr>
          <w:ilvl w:val="0"/>
          <w:numId w:val="5"/>
        </w:numPr>
        <w:jc w:val="both"/>
      </w:pPr>
      <w:r>
        <w:rPr>
          <w:rFonts w:ascii="Times New Roman" w:hAnsi="Times New Roman" w:cs="Times New Roman"/>
          <w:b/>
          <w:color w:val="auto"/>
          <w:sz w:val="20"/>
          <w:szCs w:val="20"/>
        </w:rPr>
        <w:t>Informácie o pôžičkách poskytnutých členom štatutárnych orgánov, dozorných orgánov a iných orgánov účtovnej jednotky</w:t>
      </w:r>
    </w:p>
    <w:p w:rsidR="00603B4F" w:rsidRDefault="00603B4F">
      <w:pPr>
        <w:pStyle w:val="Default"/>
        <w:ind w:left="720"/>
        <w:jc w:val="both"/>
      </w:pPr>
      <w:r>
        <w:rPr>
          <w:rFonts w:ascii="Times New Roman" w:hAnsi="Times New Roman" w:cs="Times New Roman"/>
          <w:color w:val="auto"/>
          <w:sz w:val="20"/>
          <w:szCs w:val="20"/>
        </w:rPr>
        <w:t xml:space="preserve">Účtovná jednotka neposkytla pôžičky členom štatutárnych orgánov, dozorných orgánov a iných orgánov účtovnej jednotky. </w:t>
      </w:r>
    </w:p>
    <w:p w:rsidR="00603B4F" w:rsidRDefault="00603B4F">
      <w:pPr>
        <w:pStyle w:val="Default"/>
        <w:jc w:val="both"/>
        <w:rPr>
          <w:rFonts w:ascii="Times New Roman" w:hAnsi="Times New Roman" w:cs="Times New Roman"/>
          <w:b/>
          <w:color w:val="auto"/>
          <w:sz w:val="20"/>
          <w:szCs w:val="20"/>
        </w:rPr>
      </w:pPr>
    </w:p>
    <w:p w:rsidR="00603B4F" w:rsidRDefault="00603B4F">
      <w:pPr>
        <w:pStyle w:val="Odsekzoznamu1"/>
        <w:spacing w:after="0" w:line="240" w:lineRule="auto"/>
        <w:jc w:val="both"/>
        <w:rPr>
          <w:rFonts w:ascii="Times New Roman" w:hAnsi="Times New Roman" w:cs="Times New Roman"/>
          <w:b/>
          <w:i/>
          <w:sz w:val="20"/>
          <w:szCs w:val="20"/>
        </w:rPr>
      </w:pPr>
    </w:p>
    <w:p w:rsidR="00603B4F" w:rsidRDefault="00603B4F">
      <w:pPr>
        <w:pStyle w:val="Default"/>
        <w:numPr>
          <w:ilvl w:val="0"/>
          <w:numId w:val="5"/>
        </w:numPr>
        <w:jc w:val="both"/>
      </w:pPr>
      <w:r>
        <w:rPr>
          <w:rFonts w:ascii="Times New Roman" w:hAnsi="Times New Roman" w:cs="Times New Roman"/>
          <w:b/>
          <w:color w:val="auto"/>
          <w:sz w:val="20"/>
          <w:szCs w:val="20"/>
        </w:rPr>
        <w:t>Informácie o hlavných podmienkach, na základe ktorých im boli záruky alebo iné zabezpečenia a pôžičky poskytnuté</w:t>
      </w:r>
    </w:p>
    <w:p w:rsidR="00603B4F" w:rsidRDefault="00603B4F">
      <w:pPr>
        <w:pStyle w:val="Default"/>
        <w:ind w:left="720"/>
        <w:jc w:val="both"/>
      </w:pPr>
      <w:r>
        <w:rPr>
          <w:rFonts w:ascii="Times New Roman" w:hAnsi="Times New Roman" w:cs="Times New Roman"/>
          <w:color w:val="auto"/>
          <w:sz w:val="20"/>
          <w:szCs w:val="20"/>
        </w:rPr>
        <w:t xml:space="preserve">Účtovná jednotka neposkytla pôžičky, ani </w:t>
      </w:r>
      <w:r>
        <w:rPr>
          <w:rFonts w:ascii="Times New Roman" w:hAnsi="Times New Roman" w:cs="Times New Roman"/>
          <w:sz w:val="20"/>
          <w:szCs w:val="20"/>
        </w:rPr>
        <w:t>záruky alebo iné zabezpečenia</w:t>
      </w:r>
      <w:r>
        <w:rPr>
          <w:rFonts w:ascii="Times New Roman" w:hAnsi="Times New Roman" w:cs="Times New Roman"/>
          <w:color w:val="auto"/>
          <w:sz w:val="20"/>
          <w:szCs w:val="20"/>
        </w:rPr>
        <w:t xml:space="preserve"> členom štatutárnych orgánov, dozorných orgánov a iných orgánov účtovnej jednotky. </w:t>
      </w:r>
    </w:p>
    <w:p w:rsidR="00603B4F" w:rsidRDefault="00603B4F">
      <w:pPr>
        <w:pStyle w:val="Default"/>
        <w:ind w:left="720"/>
        <w:jc w:val="both"/>
        <w:rPr>
          <w:rFonts w:ascii="Times New Roman" w:hAnsi="Times New Roman" w:cs="Times New Roman"/>
          <w:i/>
          <w:color w:val="auto"/>
          <w:sz w:val="20"/>
          <w:szCs w:val="20"/>
        </w:rPr>
      </w:pPr>
    </w:p>
    <w:p w:rsidR="00603B4F" w:rsidRDefault="00603B4F">
      <w:pPr>
        <w:pStyle w:val="Default"/>
        <w:jc w:val="both"/>
        <w:rPr>
          <w:rFonts w:ascii="Times New Roman" w:hAnsi="Times New Roman" w:cs="Times New Roman"/>
          <w:i/>
          <w:color w:val="auto"/>
          <w:sz w:val="20"/>
          <w:szCs w:val="20"/>
        </w:rPr>
      </w:pPr>
    </w:p>
    <w:p w:rsidR="00603B4F" w:rsidRDefault="00603B4F">
      <w:pPr>
        <w:pStyle w:val="Default"/>
        <w:numPr>
          <w:ilvl w:val="0"/>
          <w:numId w:val="5"/>
        </w:numPr>
        <w:jc w:val="both"/>
      </w:pPr>
      <w:r>
        <w:rPr>
          <w:rFonts w:ascii="Times New Roman" w:hAnsi="Times New Roman" w:cs="Times New Roman"/>
          <w:b/>
          <w:color w:val="auto"/>
          <w:sz w:val="20"/>
          <w:szCs w:val="20"/>
        </w:rPr>
        <w:lastRenderedPageBreak/>
        <w:t>Informácie o celkovej sume použitých finančných prostriedkov alebo iného plnenia na súkromné účely členmi štatutárnych orgánov, dozorných orgánov alebo iných orgánov účtovnej jednotky, ktoré sa vyúčtovávajú</w:t>
      </w:r>
    </w:p>
    <w:p w:rsidR="00603B4F" w:rsidRDefault="00603B4F">
      <w:pPr>
        <w:pStyle w:val="Default"/>
        <w:ind w:left="708"/>
        <w:jc w:val="both"/>
      </w:pPr>
      <w:r>
        <w:rPr>
          <w:rFonts w:ascii="Times New Roman" w:hAnsi="Times New Roman" w:cs="Times New Roman"/>
          <w:sz w:val="20"/>
          <w:szCs w:val="20"/>
        </w:rPr>
        <w:t xml:space="preserve">Účtovná jednotka nepoužila finančné prostriedky ani iné plnenia na súkromné účely členmi štatutárnych orgánov, dozorných orgánov alebo iných orgánov účtovnej jednotky. </w:t>
      </w:r>
    </w:p>
    <w:p w:rsidR="00603B4F" w:rsidRDefault="00603B4F">
      <w:pPr>
        <w:pStyle w:val="Default"/>
        <w:jc w:val="both"/>
        <w:rPr>
          <w:rFonts w:ascii="Times New Roman" w:hAnsi="Times New Roman" w:cs="Times New Roman"/>
          <w:b/>
          <w:sz w:val="20"/>
          <w:szCs w:val="20"/>
        </w:rPr>
      </w:pPr>
    </w:p>
    <w:p w:rsidR="00603B4F" w:rsidRDefault="00603B4F">
      <w:pPr>
        <w:pStyle w:val="Default"/>
        <w:jc w:val="both"/>
        <w:rPr>
          <w:rFonts w:ascii="Times New Roman" w:hAnsi="Times New Roman" w:cs="Times New Roman"/>
          <w:b/>
          <w:i/>
          <w:sz w:val="20"/>
          <w:szCs w:val="20"/>
        </w:rPr>
      </w:pPr>
    </w:p>
    <w:p w:rsidR="00603B4F" w:rsidRDefault="00603B4F">
      <w:pPr>
        <w:pStyle w:val="Nadpis1"/>
        <w:numPr>
          <w:ilvl w:val="0"/>
          <w:numId w:val="0"/>
        </w:numPr>
        <w:tabs>
          <w:tab w:val="left" w:pos="360"/>
        </w:tabs>
        <w:jc w:val="both"/>
      </w:pPr>
      <w:r>
        <w:rPr>
          <w:sz w:val="20"/>
        </w:rPr>
        <w:t>informácie o skutočnostiach, ktoré nastali po dni, ku ktorému sa zostavuje účtovná závierka do dňa zostavenia účtovnej závierky</w:t>
      </w:r>
    </w:p>
    <w:p w:rsidR="00603B4F" w:rsidRDefault="00603B4F">
      <w:pPr>
        <w:jc w:val="both"/>
        <w:rPr>
          <w:i/>
        </w:rPr>
      </w:pPr>
    </w:p>
    <w:p w:rsidR="00603B4F" w:rsidRDefault="00603B4F">
      <w:pPr>
        <w:tabs>
          <w:tab w:val="left" w:pos="330"/>
        </w:tabs>
        <w:ind w:left="360"/>
        <w:jc w:val="both"/>
      </w:pPr>
      <w:r>
        <w:t xml:space="preserve">V účtovnej jednotke nenastali žiadne skutočnosti po dni, ku ktorému sa zostavuje účtovná závierka do dňa jej zostavenia. </w:t>
      </w:r>
    </w:p>
    <w:p w:rsidR="00603B4F" w:rsidRDefault="00603B4F">
      <w:pPr>
        <w:pStyle w:val="Nadpis1"/>
        <w:numPr>
          <w:ilvl w:val="0"/>
          <w:numId w:val="0"/>
        </w:numPr>
        <w:tabs>
          <w:tab w:val="left" w:pos="360"/>
        </w:tabs>
        <w:ind w:left="360" w:hanging="360"/>
      </w:pPr>
    </w:p>
    <w:p w:rsidR="00603B4F" w:rsidRDefault="00603B4F">
      <w:pPr>
        <w:pStyle w:val="Nadpis1"/>
        <w:numPr>
          <w:ilvl w:val="0"/>
          <w:numId w:val="0"/>
        </w:numPr>
        <w:tabs>
          <w:tab w:val="left" w:pos="360"/>
        </w:tabs>
        <w:ind w:left="360" w:hanging="360"/>
      </w:pPr>
    </w:p>
    <w:p w:rsidR="00603B4F" w:rsidRDefault="00603B4F">
      <w:pPr>
        <w:pStyle w:val="Nadpis1"/>
        <w:numPr>
          <w:ilvl w:val="0"/>
          <w:numId w:val="0"/>
        </w:numPr>
        <w:tabs>
          <w:tab w:val="left" w:pos="360"/>
        </w:tabs>
        <w:ind w:left="360" w:hanging="360"/>
      </w:pPr>
      <w:r>
        <w:rPr>
          <w:b w:val="0"/>
          <w:caps w:val="0"/>
        </w:rPr>
        <w:t xml:space="preserve">. </w:t>
      </w:r>
      <w:r>
        <w:rPr>
          <w:bCs/>
          <w:sz w:val="20"/>
        </w:rPr>
        <w:t>Informácie o účtovnej jednotke, ak podľa § 23d ods. 6 zákona o účtovníctve jeho činnosť je zaradená do kategórie priemyselnej výroby</w:t>
      </w:r>
    </w:p>
    <w:p w:rsidR="00603B4F" w:rsidRDefault="00603B4F">
      <w:pPr>
        <w:tabs>
          <w:tab w:val="left" w:pos="330"/>
        </w:tabs>
        <w:ind w:left="360"/>
        <w:jc w:val="both"/>
      </w:pPr>
      <w:r>
        <w:t xml:space="preserve">Účtovnej jednotke nevznikla povinnosť uvedenia informácií v bode U. poznámok podľa </w:t>
      </w:r>
      <w:r>
        <w:rPr>
          <w:bCs/>
        </w:rPr>
        <w:t xml:space="preserve">§ 23d ods. 6 zákona o účtovníctve. </w:t>
      </w:r>
    </w:p>
    <w:p w:rsidR="00603B4F" w:rsidRDefault="00603B4F">
      <w:pPr>
        <w:pStyle w:val="Default"/>
        <w:jc w:val="both"/>
        <w:rPr>
          <w:rFonts w:ascii="Times New Roman" w:hAnsi="Times New Roman" w:cs="Times New Roman"/>
          <w:i/>
          <w:color w:val="auto"/>
          <w:sz w:val="20"/>
          <w:szCs w:val="20"/>
        </w:rPr>
      </w:pPr>
    </w:p>
    <w:p w:rsidR="00603B4F" w:rsidRDefault="00603B4F">
      <w:pPr>
        <w:tabs>
          <w:tab w:val="left" w:pos="360"/>
        </w:tabs>
        <w:ind w:left="360" w:hanging="360"/>
        <w:jc w:val="both"/>
        <w:rPr>
          <w:i/>
        </w:rPr>
      </w:pPr>
    </w:p>
    <w:p w:rsidR="00603B4F" w:rsidRDefault="00603B4F">
      <w:pPr>
        <w:tabs>
          <w:tab w:val="left" w:pos="330"/>
        </w:tabs>
        <w:jc w:val="both"/>
      </w:pPr>
    </w:p>
    <w:sectPr w:rsidR="00603B4F">
      <w:headerReference w:type="default" r:id="rId7"/>
      <w:footerReference w:type="default" r:id="rId8"/>
      <w:pgSz w:w="11906" w:h="16838"/>
      <w:pgMar w:top="1418" w:right="1418" w:bottom="16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77971" w:rsidRDefault="00D77971">
      <w:r>
        <w:separator/>
      </w:r>
    </w:p>
  </w:endnote>
  <w:endnote w:type="continuationSeparator" w:id="0">
    <w:p w:rsidR="00D77971" w:rsidRDefault="00D7797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OpenSymbol">
    <w:charset w:val="00"/>
    <w:family w:val="auto"/>
    <w:pitch w:val="variable"/>
    <w:sig w:usb0="800000AF" w:usb1="1001ECEA"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3B4F" w:rsidRDefault="00603B4F">
    <w:pPr>
      <w:pStyle w:val="Pta"/>
      <w:jc w:val="right"/>
    </w:pPr>
    <w:fldSimple w:instr=" PAGE ">
      <w:r w:rsidR="002A1131">
        <w:rPr>
          <w:noProof/>
        </w:rPr>
        <w:t>2</w:t>
      </w:r>
    </w:fldSimple>
  </w:p>
  <w:p w:rsidR="00603B4F" w:rsidRDefault="00603B4F">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77971" w:rsidRDefault="00D77971">
      <w:r>
        <w:separator/>
      </w:r>
    </w:p>
  </w:footnote>
  <w:footnote w:type="continuationSeparator" w:id="0">
    <w:p w:rsidR="00D77971" w:rsidRDefault="00D7797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3B4F" w:rsidRDefault="00603B4F">
    <w:pPr>
      <w:pStyle w:val="Hlavika"/>
    </w:pPr>
  </w:p>
  <w:tbl>
    <w:tblPr>
      <w:tblW w:w="9257" w:type="dxa"/>
      <w:tblInd w:w="70" w:type="dxa"/>
      <w:tblLayout w:type="fixed"/>
      <w:tblCellMar>
        <w:left w:w="70" w:type="dxa"/>
        <w:right w:w="70" w:type="dxa"/>
      </w:tblCellMar>
      <w:tblLook w:val="0000"/>
    </w:tblPr>
    <w:tblGrid>
      <w:gridCol w:w="2249"/>
      <w:gridCol w:w="4057"/>
      <w:gridCol w:w="283"/>
      <w:gridCol w:w="283"/>
      <w:gridCol w:w="284"/>
      <w:gridCol w:w="363"/>
      <w:gridCol w:w="284"/>
      <w:gridCol w:w="283"/>
      <w:gridCol w:w="284"/>
      <w:gridCol w:w="283"/>
      <w:gridCol w:w="284"/>
      <w:gridCol w:w="320"/>
    </w:tblGrid>
    <w:tr w:rsidR="00603B4F" w:rsidTr="00504CD0">
      <w:trPr>
        <w:trHeight w:val="299"/>
      </w:trPr>
      <w:tc>
        <w:tcPr>
          <w:tcW w:w="2249" w:type="dxa"/>
          <w:tcBorders>
            <w:top w:val="single" w:sz="4" w:space="0" w:color="000000"/>
            <w:left w:val="single" w:sz="4" w:space="0" w:color="000000"/>
            <w:bottom w:val="single" w:sz="4" w:space="0" w:color="000000"/>
          </w:tcBorders>
          <w:shd w:val="clear" w:color="auto" w:fill="auto"/>
          <w:vAlign w:val="center"/>
        </w:tcPr>
        <w:p w:rsidR="00603B4F" w:rsidRDefault="00603B4F">
          <w:pPr>
            <w:pStyle w:val="Hlavika"/>
            <w:tabs>
              <w:tab w:val="center" w:pos="4253"/>
              <w:tab w:val="right" w:pos="9214"/>
            </w:tabs>
            <w:jc w:val="center"/>
          </w:pPr>
          <w:r>
            <w:rPr>
              <w:rFonts w:ascii="Arial" w:hAnsi="Arial" w:cs="Arial"/>
              <w:sz w:val="18"/>
              <w:szCs w:val="18"/>
              <w:lang w:eastAsia="sk-SK"/>
            </w:rPr>
            <w:t>Poznámky Úč POD 3 - 01</w:t>
          </w:r>
        </w:p>
      </w:tc>
      <w:tc>
        <w:tcPr>
          <w:tcW w:w="4057" w:type="dxa"/>
          <w:tcBorders>
            <w:left w:val="single" w:sz="4" w:space="0" w:color="000000"/>
          </w:tcBorders>
          <w:shd w:val="clear" w:color="auto" w:fill="auto"/>
          <w:vAlign w:val="center"/>
        </w:tcPr>
        <w:p w:rsidR="00603B4F" w:rsidRDefault="00603B4F">
          <w:pPr>
            <w:pStyle w:val="Hlavika"/>
            <w:tabs>
              <w:tab w:val="center" w:pos="4253"/>
              <w:tab w:val="right" w:pos="9214"/>
            </w:tabs>
            <w:jc w:val="right"/>
          </w:pPr>
          <w:r>
            <w:rPr>
              <w:rFonts w:ascii="Arial" w:hAnsi="Arial" w:cs="Arial"/>
              <w:sz w:val="18"/>
              <w:szCs w:val="18"/>
            </w:rPr>
            <w:t>DIČ</w:t>
          </w:r>
        </w:p>
      </w:tc>
      <w:tc>
        <w:tcPr>
          <w:tcW w:w="283" w:type="dxa"/>
          <w:tcBorders>
            <w:top w:val="single" w:sz="4" w:space="0" w:color="000000"/>
            <w:left w:val="single" w:sz="4" w:space="0" w:color="000000"/>
            <w:bottom w:val="single" w:sz="4" w:space="0" w:color="000000"/>
          </w:tcBorders>
          <w:shd w:val="clear" w:color="auto" w:fill="auto"/>
          <w:vAlign w:val="center"/>
        </w:tcPr>
        <w:p w:rsidR="00603B4F" w:rsidRDefault="00603B4F">
          <w:pPr>
            <w:pStyle w:val="Hlavika"/>
            <w:tabs>
              <w:tab w:val="center" w:pos="4253"/>
              <w:tab w:val="right" w:pos="9214"/>
            </w:tabs>
            <w:jc w:val="center"/>
          </w:pPr>
          <w:r>
            <w:rPr>
              <w:rFonts w:ascii="Arial" w:hAnsi="Arial" w:cs="Arial"/>
              <w:sz w:val="22"/>
            </w:rPr>
            <w:t>2</w:t>
          </w:r>
        </w:p>
      </w:tc>
      <w:tc>
        <w:tcPr>
          <w:tcW w:w="283" w:type="dxa"/>
          <w:tcBorders>
            <w:top w:val="single" w:sz="4" w:space="0" w:color="000000"/>
            <w:left w:val="single" w:sz="4" w:space="0" w:color="000000"/>
            <w:bottom w:val="single" w:sz="4" w:space="0" w:color="000000"/>
          </w:tcBorders>
          <w:shd w:val="clear" w:color="auto" w:fill="auto"/>
          <w:vAlign w:val="center"/>
        </w:tcPr>
        <w:p w:rsidR="00603B4F" w:rsidRDefault="00D105D3">
          <w:pPr>
            <w:pStyle w:val="Hlavika"/>
            <w:tabs>
              <w:tab w:val="center" w:pos="4253"/>
              <w:tab w:val="right" w:pos="9214"/>
            </w:tabs>
            <w:jc w:val="center"/>
          </w:pPr>
          <w:r>
            <w:t>0</w:t>
          </w:r>
        </w:p>
      </w:tc>
      <w:tc>
        <w:tcPr>
          <w:tcW w:w="284" w:type="dxa"/>
          <w:tcBorders>
            <w:top w:val="single" w:sz="4" w:space="0" w:color="000000"/>
            <w:left w:val="single" w:sz="4" w:space="0" w:color="000000"/>
            <w:bottom w:val="single" w:sz="4" w:space="0" w:color="000000"/>
          </w:tcBorders>
          <w:shd w:val="clear" w:color="auto" w:fill="auto"/>
          <w:vAlign w:val="center"/>
        </w:tcPr>
        <w:p w:rsidR="00603B4F" w:rsidRDefault="00603B4F">
          <w:pPr>
            <w:pStyle w:val="Hlavika"/>
            <w:tabs>
              <w:tab w:val="center" w:pos="4253"/>
              <w:tab w:val="right" w:pos="9214"/>
            </w:tabs>
            <w:jc w:val="center"/>
          </w:pPr>
          <w:r>
            <w:rPr>
              <w:rFonts w:ascii="Arial" w:hAnsi="Arial" w:cs="Arial"/>
              <w:sz w:val="22"/>
            </w:rPr>
            <w:t>2</w:t>
          </w:r>
        </w:p>
      </w:tc>
      <w:tc>
        <w:tcPr>
          <w:tcW w:w="363" w:type="dxa"/>
          <w:tcBorders>
            <w:top w:val="single" w:sz="4" w:space="0" w:color="000000"/>
            <w:left w:val="single" w:sz="4" w:space="0" w:color="000000"/>
            <w:bottom w:val="single" w:sz="4" w:space="0" w:color="000000"/>
          </w:tcBorders>
          <w:shd w:val="clear" w:color="auto" w:fill="auto"/>
          <w:vAlign w:val="center"/>
        </w:tcPr>
        <w:p w:rsidR="00603B4F" w:rsidRPr="005312BC" w:rsidRDefault="00D105D3" w:rsidP="00D105D3">
          <w:pPr>
            <w:pStyle w:val="Hlavika"/>
            <w:tabs>
              <w:tab w:val="center" w:pos="4253"/>
              <w:tab w:val="right" w:pos="9214"/>
            </w:tabs>
            <w:jc w:val="center"/>
            <w:rPr>
              <w:rFonts w:ascii="Arial" w:hAnsi="Arial" w:cs="Arial"/>
              <w:sz w:val="22"/>
            </w:rPr>
          </w:pPr>
          <w:r>
            <w:rPr>
              <w:rFonts w:ascii="Arial" w:hAnsi="Arial" w:cs="Arial"/>
              <w:sz w:val="22"/>
            </w:rPr>
            <w:t>2</w:t>
          </w:r>
        </w:p>
      </w:tc>
      <w:tc>
        <w:tcPr>
          <w:tcW w:w="284" w:type="dxa"/>
          <w:tcBorders>
            <w:top w:val="single" w:sz="4" w:space="0" w:color="000000"/>
            <w:left w:val="single" w:sz="4" w:space="0" w:color="000000"/>
            <w:bottom w:val="single" w:sz="4" w:space="0" w:color="000000"/>
          </w:tcBorders>
          <w:shd w:val="clear" w:color="auto" w:fill="auto"/>
          <w:vAlign w:val="center"/>
        </w:tcPr>
        <w:p w:rsidR="00603B4F" w:rsidRPr="005312BC" w:rsidRDefault="00D105D3" w:rsidP="00D105D3">
          <w:pPr>
            <w:pStyle w:val="Hlavika"/>
            <w:tabs>
              <w:tab w:val="center" w:pos="4253"/>
              <w:tab w:val="right" w:pos="9214"/>
            </w:tabs>
            <w:jc w:val="center"/>
            <w:rPr>
              <w:rFonts w:ascii="Arial" w:hAnsi="Arial" w:cs="Arial"/>
              <w:sz w:val="22"/>
            </w:rPr>
          </w:pPr>
          <w:r>
            <w:rPr>
              <w:rFonts w:ascii="Arial" w:hAnsi="Arial" w:cs="Arial"/>
              <w:sz w:val="22"/>
            </w:rPr>
            <w:t>1</w:t>
          </w:r>
        </w:p>
      </w:tc>
      <w:tc>
        <w:tcPr>
          <w:tcW w:w="283" w:type="dxa"/>
          <w:tcBorders>
            <w:top w:val="single" w:sz="4" w:space="0" w:color="000000"/>
            <w:left w:val="single" w:sz="4" w:space="0" w:color="000000"/>
            <w:bottom w:val="single" w:sz="4" w:space="0" w:color="000000"/>
          </w:tcBorders>
          <w:shd w:val="clear" w:color="auto" w:fill="auto"/>
          <w:vAlign w:val="center"/>
        </w:tcPr>
        <w:p w:rsidR="00603B4F" w:rsidRPr="005312BC" w:rsidRDefault="00D105D3" w:rsidP="00D105D3">
          <w:pPr>
            <w:pStyle w:val="Hlavika"/>
            <w:tabs>
              <w:tab w:val="center" w:pos="4253"/>
              <w:tab w:val="right" w:pos="9214"/>
            </w:tabs>
            <w:jc w:val="center"/>
            <w:rPr>
              <w:rFonts w:ascii="Arial" w:hAnsi="Arial" w:cs="Arial"/>
              <w:sz w:val="22"/>
            </w:rPr>
          </w:pPr>
          <w:r>
            <w:rPr>
              <w:rFonts w:ascii="Arial" w:hAnsi="Arial" w:cs="Arial"/>
              <w:sz w:val="22"/>
            </w:rPr>
            <w:t>4</w:t>
          </w:r>
        </w:p>
      </w:tc>
      <w:tc>
        <w:tcPr>
          <w:tcW w:w="284" w:type="dxa"/>
          <w:tcBorders>
            <w:top w:val="single" w:sz="4" w:space="0" w:color="000000"/>
            <w:left w:val="single" w:sz="4" w:space="0" w:color="000000"/>
            <w:bottom w:val="single" w:sz="4" w:space="0" w:color="000000"/>
          </w:tcBorders>
          <w:shd w:val="clear" w:color="auto" w:fill="auto"/>
          <w:vAlign w:val="center"/>
        </w:tcPr>
        <w:p w:rsidR="00603B4F" w:rsidRDefault="00D105D3" w:rsidP="00D105D3">
          <w:pPr>
            <w:pStyle w:val="Hlavika"/>
            <w:tabs>
              <w:tab w:val="center" w:pos="4253"/>
              <w:tab w:val="right" w:pos="9214"/>
            </w:tabs>
            <w:jc w:val="center"/>
          </w:pPr>
          <w:r>
            <w:rPr>
              <w:rFonts w:ascii="Arial" w:hAnsi="Arial" w:cs="Arial"/>
              <w:sz w:val="22"/>
            </w:rPr>
            <w:t>0</w:t>
          </w:r>
        </w:p>
      </w:tc>
      <w:tc>
        <w:tcPr>
          <w:tcW w:w="283" w:type="dxa"/>
          <w:tcBorders>
            <w:top w:val="single" w:sz="4" w:space="0" w:color="000000"/>
            <w:left w:val="single" w:sz="4" w:space="0" w:color="000000"/>
            <w:bottom w:val="single" w:sz="4" w:space="0" w:color="000000"/>
          </w:tcBorders>
          <w:shd w:val="clear" w:color="auto" w:fill="auto"/>
          <w:vAlign w:val="center"/>
        </w:tcPr>
        <w:p w:rsidR="00603B4F" w:rsidRPr="005312BC" w:rsidRDefault="00D105D3" w:rsidP="00D105D3">
          <w:pPr>
            <w:pStyle w:val="Hlavika"/>
            <w:tabs>
              <w:tab w:val="center" w:pos="4253"/>
              <w:tab w:val="right" w:pos="9214"/>
            </w:tabs>
            <w:jc w:val="center"/>
            <w:rPr>
              <w:rFonts w:ascii="Arial" w:hAnsi="Arial" w:cs="Arial"/>
              <w:sz w:val="22"/>
            </w:rPr>
          </w:pPr>
          <w:r>
            <w:rPr>
              <w:rFonts w:ascii="Arial" w:hAnsi="Arial" w:cs="Arial"/>
              <w:sz w:val="22"/>
            </w:rPr>
            <w:t>2</w:t>
          </w:r>
        </w:p>
      </w:tc>
      <w:tc>
        <w:tcPr>
          <w:tcW w:w="284" w:type="dxa"/>
          <w:tcBorders>
            <w:top w:val="single" w:sz="4" w:space="0" w:color="000000"/>
            <w:left w:val="single" w:sz="4" w:space="0" w:color="000000"/>
            <w:bottom w:val="single" w:sz="4" w:space="0" w:color="000000"/>
          </w:tcBorders>
          <w:shd w:val="clear" w:color="auto" w:fill="auto"/>
          <w:vAlign w:val="center"/>
        </w:tcPr>
        <w:p w:rsidR="00603B4F" w:rsidRPr="005312BC" w:rsidRDefault="00D105D3" w:rsidP="00D105D3">
          <w:pPr>
            <w:pStyle w:val="Hlavika"/>
            <w:tabs>
              <w:tab w:val="center" w:pos="4253"/>
              <w:tab w:val="right" w:pos="9214"/>
            </w:tabs>
            <w:jc w:val="center"/>
            <w:rPr>
              <w:rFonts w:ascii="Arial" w:hAnsi="Arial" w:cs="Arial"/>
              <w:sz w:val="22"/>
            </w:rPr>
          </w:pPr>
          <w:r>
            <w:rPr>
              <w:rFonts w:ascii="Arial" w:hAnsi="Arial" w:cs="Arial"/>
              <w:sz w:val="22"/>
            </w:rPr>
            <w:t>0</w:t>
          </w:r>
        </w:p>
      </w:tc>
      <w:tc>
        <w:tcPr>
          <w:tcW w:w="3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03B4F" w:rsidRDefault="00D105D3" w:rsidP="00D105D3">
          <w:pPr>
            <w:pStyle w:val="Hlavika"/>
            <w:tabs>
              <w:tab w:val="center" w:pos="4253"/>
              <w:tab w:val="right" w:pos="9214"/>
            </w:tabs>
            <w:jc w:val="center"/>
          </w:pPr>
          <w:r>
            <w:rPr>
              <w:rFonts w:ascii="Arial" w:hAnsi="Arial" w:cs="Arial"/>
              <w:sz w:val="22"/>
            </w:rPr>
            <w:t>8</w:t>
          </w:r>
        </w:p>
      </w:tc>
    </w:tr>
  </w:tbl>
  <w:p w:rsidR="00603B4F" w:rsidRDefault="00603B4F">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upperLetter"/>
      <w:lvlText w:val="%1."/>
      <w:lvlJc w:val="left"/>
      <w:pPr>
        <w:tabs>
          <w:tab w:val="num" w:pos="450"/>
        </w:tabs>
        <w:ind w:left="450" w:hanging="360"/>
      </w:pPr>
      <w:rPr>
        <w:rFonts w:cs="Times New Roman" w:hint="default"/>
      </w:r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multilevel"/>
    <w:tmpl w:val="00000002"/>
    <w:name w:val="WW8Num2"/>
    <w:lvl w:ilvl="0">
      <w:start w:val="1"/>
      <w:numFmt w:val="upperLetter"/>
      <w:lvlText w:val="%1."/>
      <w:lvlJc w:val="left"/>
      <w:pPr>
        <w:tabs>
          <w:tab w:val="num" w:pos="450"/>
        </w:tabs>
        <w:ind w:left="450" w:hanging="360"/>
      </w:pPr>
      <w:rPr>
        <w:rFonts w:cs="Times New Roman" w:hint="default"/>
      </w:r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nsid w:val="00000003"/>
    <w:multiLevelType w:val="singleLevel"/>
    <w:tmpl w:val="00000003"/>
    <w:name w:val="WW8Num3"/>
    <w:lvl w:ilvl="0">
      <w:start w:val="2"/>
      <w:numFmt w:val="bullet"/>
      <w:lvlText w:val="-"/>
      <w:lvlJc w:val="left"/>
      <w:pPr>
        <w:tabs>
          <w:tab w:val="num" w:pos="720"/>
        </w:tabs>
        <w:ind w:left="720" w:hanging="360"/>
      </w:pPr>
      <w:rPr>
        <w:rFonts w:ascii="Times New Roman" w:hAnsi="Times New Roman" w:cs="Times New Roman" w:hint="default"/>
      </w:rPr>
    </w:lvl>
  </w:abstractNum>
  <w:abstractNum w:abstractNumId="3">
    <w:nsid w:val="00000004"/>
    <w:multiLevelType w:val="singleLevel"/>
    <w:tmpl w:val="00000004"/>
    <w:name w:val="WW8Num4"/>
    <w:lvl w:ilvl="0">
      <w:start w:val="1"/>
      <w:numFmt w:val="lowerLetter"/>
      <w:lvlText w:val="%1)"/>
      <w:lvlJc w:val="left"/>
      <w:pPr>
        <w:tabs>
          <w:tab w:val="num" w:pos="0"/>
        </w:tabs>
        <w:ind w:left="720" w:hanging="360"/>
      </w:pPr>
      <w:rPr>
        <w:rFonts w:hint="default"/>
        <w:sz w:val="20"/>
      </w:rPr>
    </w:lvl>
  </w:abstractNum>
  <w:abstractNum w:abstractNumId="4">
    <w:nsid w:val="00000005"/>
    <w:multiLevelType w:val="singleLevel"/>
    <w:tmpl w:val="00000005"/>
    <w:name w:val="WW8Num5"/>
    <w:lvl w:ilvl="0">
      <w:start w:val="1"/>
      <w:numFmt w:val="lowerLetter"/>
      <w:lvlText w:val="%1)"/>
      <w:lvlJc w:val="left"/>
      <w:pPr>
        <w:tabs>
          <w:tab w:val="num" w:pos="720"/>
        </w:tabs>
        <w:ind w:left="720" w:hanging="360"/>
      </w:pPr>
      <w:rPr>
        <w:rFonts w:cs="Times New Roman"/>
        <w:b/>
      </w:rPr>
    </w:lvl>
  </w:abstractNum>
  <w:abstractNum w:abstractNumId="5">
    <w:nsid w:val="00000006"/>
    <w:multiLevelType w:val="multilevel"/>
    <w:tmpl w:val="00000006"/>
    <w:name w:val="WW8Num6"/>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rPr>
        <w:b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00000007"/>
    <w:multiLevelType w:val="singleLevel"/>
    <w:tmpl w:val="00000007"/>
    <w:name w:val="WW8Num7"/>
    <w:lvl w:ilvl="0">
      <w:start w:val="1"/>
      <w:numFmt w:val="lowerLetter"/>
      <w:lvlText w:val="(%1)"/>
      <w:lvlJc w:val="left"/>
      <w:pPr>
        <w:tabs>
          <w:tab w:val="num" w:pos="360"/>
        </w:tabs>
        <w:ind w:left="360" w:hanging="360"/>
      </w:pPr>
      <w:rPr>
        <w:rFonts w:cs="Times New Roman" w:hint="default"/>
      </w:rPr>
    </w:lvl>
  </w:abstractNum>
  <w:abstractNum w:abstractNumId="7">
    <w:nsid w:val="00000008"/>
    <w:multiLevelType w:val="multilevel"/>
    <w:tmpl w:val="00000008"/>
    <w:name w:val="WW8Num8"/>
    <w:lvl w:ilvl="0">
      <w:start w:val="1"/>
      <w:numFmt w:val="lowerLetter"/>
      <w:lvlText w:val="%1)"/>
      <w:lvlJc w:val="left"/>
      <w:pPr>
        <w:tabs>
          <w:tab w:val="num" w:pos="0"/>
        </w:tabs>
        <w:ind w:left="720" w:hanging="360"/>
      </w:pPr>
      <w:rPr>
        <w:rFonts w:hint="default"/>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nsid w:val="36BE61C3"/>
    <w:multiLevelType w:val="singleLevel"/>
    <w:tmpl w:val="041B0017"/>
    <w:lvl w:ilvl="0">
      <w:start w:val="1"/>
      <w:numFmt w:val="lowerLetter"/>
      <w:lvlText w:val="%1)"/>
      <w:lvlJc w:val="left"/>
      <w:pPr>
        <w:ind w:left="644" w:hanging="360"/>
      </w:pPr>
      <w:rPr>
        <w:rFonts w:hint="default"/>
      </w:rPr>
    </w:lvl>
  </w:abstractNum>
  <w:abstractNum w:abstractNumId="9">
    <w:nsid w:val="71E94704"/>
    <w:multiLevelType w:val="hybridMultilevel"/>
    <w:tmpl w:val="69987762"/>
    <w:lvl w:ilvl="0" w:tplc="882C92AE">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grammar="clean"/>
  <w:attachedTemplate r:id="rId1"/>
  <w:stylePaneFormatFilter w:val="0000"/>
  <w:defaultTabStop w:val="708"/>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rsids>
    <w:rsidRoot w:val="003C1A42"/>
    <w:rsid w:val="00013ED3"/>
    <w:rsid w:val="001735FB"/>
    <w:rsid w:val="001C5F15"/>
    <w:rsid w:val="00294EFA"/>
    <w:rsid w:val="002A1131"/>
    <w:rsid w:val="002F61EE"/>
    <w:rsid w:val="00395A7A"/>
    <w:rsid w:val="003B3303"/>
    <w:rsid w:val="003C1A42"/>
    <w:rsid w:val="00497A1D"/>
    <w:rsid w:val="00504CD0"/>
    <w:rsid w:val="005312BC"/>
    <w:rsid w:val="00593830"/>
    <w:rsid w:val="005E3BC9"/>
    <w:rsid w:val="00603B4F"/>
    <w:rsid w:val="0065534B"/>
    <w:rsid w:val="007655B2"/>
    <w:rsid w:val="007A6209"/>
    <w:rsid w:val="00A13CFB"/>
    <w:rsid w:val="00A370E9"/>
    <w:rsid w:val="00CA3500"/>
    <w:rsid w:val="00CF33D7"/>
    <w:rsid w:val="00D105D3"/>
    <w:rsid w:val="00D203C6"/>
    <w:rsid w:val="00D51C9C"/>
    <w:rsid w:val="00D77971"/>
    <w:rsid w:val="00E50E8D"/>
    <w:rsid w:val="00EB48DD"/>
    <w:rsid w:val="00EE516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uppressAutoHyphens/>
    </w:pPr>
    <w:rPr>
      <w:lang w:eastAsia="zh-CN"/>
    </w:rPr>
  </w:style>
  <w:style w:type="paragraph" w:styleId="Nadpis1">
    <w:name w:val="heading 1"/>
    <w:basedOn w:val="Normlny"/>
    <w:next w:val="Normlny"/>
    <w:qFormat/>
    <w:pPr>
      <w:keepNext/>
      <w:numPr>
        <w:numId w:val="1"/>
      </w:numPr>
      <w:outlineLvl w:val="0"/>
    </w:pPr>
    <w:rPr>
      <w:b/>
      <w:caps/>
      <w:sz w:val="18"/>
    </w:rPr>
  </w:style>
  <w:style w:type="paragraph" w:styleId="Nadpis2">
    <w:name w:val="heading 2"/>
    <w:basedOn w:val="Normlny"/>
    <w:next w:val="Normlny"/>
    <w:qFormat/>
    <w:pPr>
      <w:keepNext/>
      <w:outlineLvl w:val="1"/>
    </w:pPr>
    <w:rPr>
      <w:b/>
      <w:sz w:val="18"/>
    </w:rPr>
  </w:style>
  <w:style w:type="paragraph" w:styleId="Nadpis3">
    <w:name w:val="heading 3"/>
    <w:basedOn w:val="Normlny"/>
    <w:next w:val="Normlny"/>
    <w:qFormat/>
    <w:pPr>
      <w:keepNext/>
      <w:spacing w:before="240" w:after="60"/>
      <w:outlineLvl w:val="2"/>
    </w:pPr>
    <w:rPr>
      <w:rFonts w:ascii="Cambria" w:hAnsi="Cambria" w:cs="Cambria"/>
      <w:b/>
      <w:bCs/>
      <w:sz w:val="26"/>
      <w:szCs w:val="26"/>
    </w:rPr>
  </w:style>
  <w:style w:type="paragraph" w:styleId="Nadpis4">
    <w:name w:val="heading 4"/>
    <w:basedOn w:val="Normlny"/>
    <w:next w:val="Normlny"/>
    <w:qFormat/>
    <w:pPr>
      <w:keepNext/>
      <w:spacing w:before="240" w:after="60"/>
      <w:outlineLvl w:val="3"/>
    </w:pPr>
    <w:rPr>
      <w:rFonts w:ascii="Arial Narrow" w:hAnsi="Arial Narrow" w:cs="Arial Narrow"/>
      <w:b/>
      <w:bCs/>
      <w:sz w:val="28"/>
      <w:szCs w:val="28"/>
    </w:rPr>
  </w:style>
  <w:style w:type="paragraph" w:styleId="Nadpis5">
    <w:name w:val="heading 5"/>
    <w:basedOn w:val="Normlny"/>
    <w:next w:val="Normlny"/>
    <w:qFormat/>
    <w:pPr>
      <w:spacing w:before="240" w:after="60"/>
      <w:outlineLvl w:val="4"/>
    </w:pPr>
    <w:rPr>
      <w:rFonts w:ascii="Arial Narrow" w:hAnsi="Arial Narrow" w:cs="Arial Narrow"/>
      <w:b/>
      <w:bCs/>
      <w:i/>
      <w:iCs/>
      <w:sz w:val="26"/>
      <w:szCs w:val="26"/>
    </w:rPr>
  </w:style>
  <w:style w:type="paragraph" w:styleId="Nadpis6">
    <w:name w:val="heading 6"/>
    <w:basedOn w:val="Normlny"/>
    <w:next w:val="Normlny"/>
    <w:qFormat/>
    <w:pPr>
      <w:spacing w:before="240" w:after="60"/>
      <w:outlineLvl w:val="5"/>
    </w:pPr>
    <w:rPr>
      <w:rFonts w:ascii="Arial Narrow" w:hAnsi="Arial Narrow" w:cs="Arial Narrow"/>
      <w:b/>
      <w:bCs/>
      <w:sz w:val="22"/>
      <w:szCs w:val="22"/>
    </w:rPr>
  </w:style>
  <w:style w:type="paragraph" w:styleId="Nadpis7">
    <w:name w:val="heading 7"/>
    <w:basedOn w:val="Normlny"/>
    <w:next w:val="Normlny"/>
    <w:qFormat/>
    <w:pPr>
      <w:spacing w:before="240" w:after="60"/>
      <w:outlineLvl w:val="6"/>
    </w:pPr>
    <w:rPr>
      <w:rFonts w:ascii="Arial Narrow" w:hAnsi="Arial Narrow" w:cs="Arial Narrow"/>
      <w:sz w:val="22"/>
      <w:szCs w:val="24"/>
    </w:rPr>
  </w:style>
  <w:style w:type="paragraph" w:styleId="Nadpis8">
    <w:name w:val="heading 8"/>
    <w:basedOn w:val="Normlny"/>
    <w:next w:val="Normlny"/>
    <w:qFormat/>
    <w:pPr>
      <w:spacing w:before="240" w:after="60"/>
      <w:outlineLvl w:val="7"/>
    </w:pPr>
    <w:rPr>
      <w:rFonts w:ascii="Arial Narrow" w:hAnsi="Arial Narrow" w:cs="Arial Narrow"/>
      <w:i/>
      <w:iCs/>
      <w:sz w:val="22"/>
      <w:szCs w:val="24"/>
    </w:rPr>
  </w:style>
  <w:style w:type="paragraph" w:styleId="Nadpis9">
    <w:name w:val="heading 9"/>
    <w:basedOn w:val="Normlny"/>
    <w:next w:val="Normlny"/>
    <w:qFormat/>
    <w:p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Pr>
      <w:rFonts w:cs="Times New Roman" w:hint="default"/>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cs="Times New Roman" w:hint="default"/>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Times New Roman" w:hAnsi="Times New Roman" w:cs="Times New Roman" w:hint="default"/>
    </w:rPr>
  </w:style>
  <w:style w:type="character" w:customStyle="1" w:styleId="WW8Num4z0">
    <w:name w:val="WW8Num4z0"/>
    <w:rPr>
      <w:rFonts w:hint="default"/>
      <w:sz w:val="20"/>
    </w:rPr>
  </w:style>
  <w:style w:type="character" w:customStyle="1" w:styleId="WW8Num5z0">
    <w:name w:val="WW8Num5z0"/>
    <w:rPr>
      <w:rFonts w:cs="Times New Roman"/>
      <w:b/>
    </w:rPr>
  </w:style>
  <w:style w:type="character" w:customStyle="1" w:styleId="WW8Num6z0">
    <w:name w:val="WW8Num6z0"/>
  </w:style>
  <w:style w:type="character" w:customStyle="1" w:styleId="WW8Num6z1">
    <w:name w:val="WW8Num6z1"/>
    <w:rPr>
      <w:b w:val="0"/>
    </w:rPr>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rPr>
      <w:rFonts w:cs="Times New Roman" w:hint="default"/>
    </w:rPr>
  </w:style>
  <w:style w:type="character" w:customStyle="1" w:styleId="WW8Num8z0">
    <w:name w:val="WW8Num8z0"/>
    <w:rPr>
      <w:rFonts w:hint="default"/>
      <w:sz w:val="20"/>
    </w:rPr>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rPr>
      <w:rFonts w:hint="default"/>
      <w:sz w:val="20"/>
    </w:rPr>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rPr>
      <w:rFonts w:cs="Times New Roman"/>
      <w:b/>
    </w:rPr>
  </w:style>
  <w:style w:type="character" w:customStyle="1" w:styleId="WW8Num4z1">
    <w:name w:val="WW8Num4z1"/>
    <w:rPr>
      <w:rFonts w:ascii="Arial Narrow" w:hAnsi="Arial Narrow" w:cs="Arial Narrow" w:hint="default"/>
    </w:rPr>
  </w:style>
  <w:style w:type="character" w:customStyle="1" w:styleId="WW8Num4z2">
    <w:name w:val="WW8Num4z2"/>
    <w:rPr>
      <w:rFonts w:cs="Times New Roman" w:hint="default"/>
    </w:rPr>
  </w:style>
  <w:style w:type="character" w:customStyle="1" w:styleId="WW8Num11z0">
    <w:name w:val="WW8Num11z0"/>
    <w:rPr>
      <w:rFonts w:hint="default"/>
      <w:sz w:val="20"/>
    </w:rPr>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0z1">
    <w:name w:val="WW8Num10z1"/>
    <w:rPr>
      <w:b w:val="0"/>
    </w:rPr>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2z0">
    <w:name w:val="WW8Num12z0"/>
    <w:rPr>
      <w:rFonts w:cs="Times New Roman" w:hint="default"/>
    </w:rPr>
  </w:style>
  <w:style w:type="character" w:customStyle="1" w:styleId="WW8Num13z0">
    <w:name w:val="WW8Num13z0"/>
    <w:rPr>
      <w:rFonts w:cs="Times New Roman"/>
      <w:b/>
    </w:rPr>
  </w:style>
  <w:style w:type="character" w:customStyle="1" w:styleId="WW8Num14z0">
    <w:name w:val="WW8Num14z0"/>
    <w:rPr>
      <w:rFonts w:cs="Times New Roman" w:hint="default"/>
      <w:b/>
    </w:rPr>
  </w:style>
  <w:style w:type="character" w:customStyle="1" w:styleId="WW8Num15z0">
    <w:name w:val="WW8Num15z0"/>
    <w:rPr>
      <w:rFonts w:hint="default"/>
      <w:sz w:val="20"/>
    </w:rPr>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3z1">
    <w:name w:val="WW8Num3z1"/>
    <w:rPr>
      <w:rFonts w:cs="Times New Roman" w:hint="default"/>
    </w:rPr>
  </w:style>
  <w:style w:type="character" w:customStyle="1" w:styleId="WW8Num3z2">
    <w:name w:val="WW8Num3z2"/>
    <w:rPr>
      <w:rFonts w:cs="Times New Roman"/>
    </w:rPr>
  </w:style>
  <w:style w:type="character" w:customStyle="1" w:styleId="WW8Num5z1">
    <w:name w:val="WW8Num5z1"/>
    <w:rPr>
      <w:rFonts w:cs="Times New Roman"/>
    </w:rPr>
  </w:style>
  <w:style w:type="character" w:customStyle="1" w:styleId="WW8Num7z1">
    <w:name w:val="WW8Num7z1"/>
    <w:rPr>
      <w:rFonts w:ascii="Arial Narrow" w:eastAsia="Times New Roman" w:hAnsi="Arial Narrow" w:cs="Arial Narrow" w:hint="default"/>
    </w:rPr>
  </w:style>
  <w:style w:type="character" w:customStyle="1" w:styleId="WW8Num7z2">
    <w:name w:val="WW8Num7z2"/>
    <w:rPr>
      <w:rFonts w:cs="Times New Roman" w:hint="default"/>
    </w:rPr>
  </w:style>
  <w:style w:type="character" w:customStyle="1" w:styleId="WW8Num12z1">
    <w:name w:val="WW8Num12z1"/>
    <w:rPr>
      <w:rFonts w:cs="Times New Roman"/>
    </w:rPr>
  </w:style>
  <w:style w:type="character" w:customStyle="1" w:styleId="WW8Num14z1">
    <w:name w:val="WW8Num14z1"/>
    <w:rPr>
      <w:rFonts w:cs="Times New Roman" w:hint="default"/>
      <w:b/>
    </w:rPr>
  </w:style>
  <w:style w:type="character" w:customStyle="1" w:styleId="WW8Num14z2">
    <w:name w:val="WW8Num14z2"/>
    <w:rPr>
      <w:rFonts w:ascii="Wingdings" w:hAnsi="Wingdings" w:cs="Wingdings" w:hint="default"/>
    </w:rPr>
  </w:style>
  <w:style w:type="character" w:customStyle="1" w:styleId="WW8Num14z3">
    <w:name w:val="WW8Num14z3"/>
    <w:rPr>
      <w:rFonts w:ascii="Symbol" w:hAnsi="Symbol" w:cs="Symbol" w:hint="default"/>
    </w:rPr>
  </w:style>
  <w:style w:type="character" w:customStyle="1" w:styleId="WW8Num14z4">
    <w:name w:val="WW8Num14z4"/>
    <w:rPr>
      <w:rFonts w:ascii="Courier New" w:hAnsi="Courier New" w:cs="Courier New" w:hint="default"/>
    </w:rPr>
  </w:style>
  <w:style w:type="character" w:customStyle="1" w:styleId="WW8Num16z0">
    <w:name w:val="WW8Num16z0"/>
    <w:rPr>
      <w:rFonts w:cs="Times New Roman"/>
      <w:b/>
    </w:rPr>
  </w:style>
  <w:style w:type="character" w:customStyle="1" w:styleId="WW8Num16z1">
    <w:name w:val="WW8Num16z1"/>
    <w:rPr>
      <w:rFonts w:cs="Times New Roman"/>
    </w:rPr>
  </w:style>
  <w:style w:type="character" w:customStyle="1" w:styleId="WW8Num17z0">
    <w:name w:val="WW8Num17z0"/>
    <w:rPr>
      <w:rFonts w:cs="Times New Roman" w:hint="default"/>
      <w:b/>
    </w:rPr>
  </w:style>
  <w:style w:type="character" w:customStyle="1" w:styleId="WW8Num17z1">
    <w:name w:val="WW8Num17z1"/>
    <w:rPr>
      <w:rFonts w:cs="Times New Roman" w:hint="default"/>
    </w:rPr>
  </w:style>
  <w:style w:type="character" w:customStyle="1" w:styleId="WW8Num17z2">
    <w:name w:val="WW8Num17z2"/>
    <w:rPr>
      <w:rFonts w:cs="Times New Roman"/>
    </w:rPr>
  </w:style>
  <w:style w:type="character" w:customStyle="1" w:styleId="WW8Num18z0">
    <w:name w:val="WW8Num18z0"/>
    <w:rPr>
      <w:rFonts w:ascii="Times New Roman" w:eastAsia="Times New Roman" w:hAnsi="Times New Roman" w:cs="Times New Roman" w:hint="default"/>
    </w:rPr>
  </w:style>
  <w:style w:type="character" w:customStyle="1" w:styleId="WW8Num18z1">
    <w:name w:val="WW8Num18z1"/>
    <w:rPr>
      <w:rFonts w:ascii="Courier New" w:hAnsi="Courier New" w:cs="Courier New" w:hint="default"/>
    </w:rPr>
  </w:style>
  <w:style w:type="character" w:customStyle="1" w:styleId="WW8Num18z2">
    <w:name w:val="WW8Num18z2"/>
    <w:rPr>
      <w:rFonts w:ascii="Wingdings" w:hAnsi="Wingdings" w:cs="Wingdings" w:hint="default"/>
    </w:rPr>
  </w:style>
  <w:style w:type="character" w:customStyle="1" w:styleId="WW8Num18z3">
    <w:name w:val="WW8Num18z3"/>
    <w:rPr>
      <w:rFonts w:ascii="Symbol" w:hAnsi="Symbol" w:cs="Symbol" w:hint="default"/>
    </w:rPr>
  </w:style>
  <w:style w:type="character" w:customStyle="1" w:styleId="Predvolenpsmoodseku1">
    <w:name w:val="Predvolené písmo odseku1"/>
  </w:style>
  <w:style w:type="character" w:customStyle="1" w:styleId="CharChar18">
    <w:name w:val=" Char Char18"/>
    <w:rPr>
      <w:b/>
      <w:caps/>
      <w:sz w:val="18"/>
      <w:lang w:val="sk-SK" w:bidi="ar-SA"/>
    </w:rPr>
  </w:style>
  <w:style w:type="character" w:customStyle="1" w:styleId="CharChar17">
    <w:name w:val=" Char Char17"/>
    <w:rPr>
      <w:b/>
      <w:sz w:val="18"/>
      <w:lang w:val="sk-SK" w:bidi="ar-SA"/>
    </w:rPr>
  </w:style>
  <w:style w:type="character" w:customStyle="1" w:styleId="CharChar16">
    <w:name w:val=" Char Char16"/>
    <w:rPr>
      <w:rFonts w:ascii="Cambria" w:hAnsi="Cambria" w:cs="Cambria"/>
      <w:b/>
      <w:bCs/>
      <w:sz w:val="26"/>
      <w:szCs w:val="26"/>
      <w:lang w:val="sk-SK" w:bidi="ar-SA"/>
    </w:rPr>
  </w:style>
  <w:style w:type="character" w:customStyle="1" w:styleId="CharChar15">
    <w:name w:val=" Char Char15"/>
    <w:rPr>
      <w:rFonts w:ascii="Arial Narrow" w:hAnsi="Arial Narrow" w:cs="Arial Narrow"/>
      <w:b/>
      <w:bCs/>
      <w:sz w:val="28"/>
      <w:szCs w:val="28"/>
      <w:lang w:val="sk-SK" w:bidi="ar-SA"/>
    </w:rPr>
  </w:style>
  <w:style w:type="character" w:customStyle="1" w:styleId="CharChar14">
    <w:name w:val=" Char Char14"/>
    <w:rPr>
      <w:rFonts w:ascii="Arial Narrow" w:hAnsi="Arial Narrow" w:cs="Arial Narrow"/>
      <w:b/>
      <w:bCs/>
      <w:i/>
      <w:iCs/>
      <w:sz w:val="26"/>
      <w:szCs w:val="26"/>
      <w:lang w:val="sk-SK" w:bidi="ar-SA"/>
    </w:rPr>
  </w:style>
  <w:style w:type="character" w:customStyle="1" w:styleId="CharChar13">
    <w:name w:val=" Char Char13"/>
    <w:rPr>
      <w:rFonts w:ascii="Arial Narrow" w:hAnsi="Arial Narrow" w:cs="Arial Narrow"/>
      <w:b/>
      <w:bCs/>
      <w:sz w:val="22"/>
      <w:szCs w:val="22"/>
      <w:lang w:val="sk-SK" w:bidi="ar-SA"/>
    </w:rPr>
  </w:style>
  <w:style w:type="character" w:customStyle="1" w:styleId="CharChar12">
    <w:name w:val=" Char Char12"/>
    <w:rPr>
      <w:rFonts w:ascii="Arial Narrow" w:hAnsi="Arial Narrow" w:cs="Arial Narrow"/>
      <w:sz w:val="22"/>
      <w:szCs w:val="24"/>
      <w:lang w:val="sk-SK" w:bidi="ar-SA"/>
    </w:rPr>
  </w:style>
  <w:style w:type="character" w:customStyle="1" w:styleId="CharChar11">
    <w:name w:val=" Char Char11"/>
    <w:rPr>
      <w:rFonts w:ascii="Arial Narrow" w:hAnsi="Arial Narrow" w:cs="Arial Narrow"/>
      <w:i/>
      <w:iCs/>
      <w:sz w:val="22"/>
      <w:szCs w:val="24"/>
      <w:lang w:val="sk-SK" w:bidi="ar-SA"/>
    </w:rPr>
  </w:style>
  <w:style w:type="character" w:customStyle="1" w:styleId="CharChar10">
    <w:name w:val=" Char Char10"/>
    <w:rPr>
      <w:rFonts w:ascii="Cambria" w:hAnsi="Cambria" w:cs="Cambria"/>
      <w:sz w:val="22"/>
      <w:szCs w:val="22"/>
      <w:lang w:val="sk-SK" w:bidi="ar-SA"/>
    </w:rPr>
  </w:style>
  <w:style w:type="character" w:customStyle="1" w:styleId="CharChar9">
    <w:name w:val=" Char Char9"/>
    <w:rPr>
      <w:lang w:val="sk-SK" w:bidi="ar-SA"/>
    </w:rPr>
  </w:style>
  <w:style w:type="character" w:customStyle="1" w:styleId="CharChar8">
    <w:name w:val=" Char Char8"/>
    <w:rPr>
      <w:sz w:val="18"/>
      <w:lang w:val="sk-SK" w:bidi="ar-SA"/>
    </w:rPr>
  </w:style>
  <w:style w:type="character" w:customStyle="1" w:styleId="CharChar7">
    <w:name w:val=" Char Char7"/>
    <w:rPr>
      <w:b/>
      <w:bCs/>
      <w:kern w:val="2"/>
      <w:sz w:val="32"/>
      <w:szCs w:val="32"/>
      <w:lang w:bidi="ar-SA"/>
    </w:rPr>
  </w:style>
  <w:style w:type="character" w:customStyle="1" w:styleId="CharChar6">
    <w:name w:val=" Char Char6"/>
    <w:rPr>
      <w:lang w:val="sk-SK" w:bidi="ar-SA"/>
    </w:rPr>
  </w:style>
  <w:style w:type="character" w:styleId="slostrany">
    <w:name w:val="page number"/>
    <w:basedOn w:val="Predvolenpsmoodseku1"/>
  </w:style>
  <w:style w:type="character" w:customStyle="1" w:styleId="NzovChar">
    <w:name w:val="Názov Char"/>
    <w:rPr>
      <w:rFonts w:eastAsia="Times New Roman" w:cs="Times New Roman"/>
      <w:b/>
      <w:bCs/>
      <w:kern w:val="2"/>
      <w:sz w:val="32"/>
      <w:szCs w:val="32"/>
    </w:rPr>
  </w:style>
  <w:style w:type="character" w:customStyle="1" w:styleId="Nadpis1Char">
    <w:name w:val="Nadpis 1 Char"/>
    <w:rPr>
      <w:rFonts w:ascii="Cambria" w:hAnsi="Cambria" w:cs="Times New Roman"/>
      <w:b/>
      <w:bCs/>
      <w:kern w:val="2"/>
      <w:sz w:val="32"/>
      <w:szCs w:val="32"/>
    </w:rPr>
  </w:style>
  <w:style w:type="character" w:customStyle="1" w:styleId="HlavikaChar">
    <w:name w:val="Hlavička Char"/>
    <w:rPr>
      <w:rFonts w:cs="Times New Roman"/>
    </w:rPr>
  </w:style>
  <w:style w:type="character" w:customStyle="1" w:styleId="CharChar5">
    <w:name w:val=" Char Char5"/>
    <w:rPr>
      <w:lang w:bidi="ar-SA"/>
    </w:rPr>
  </w:style>
  <w:style w:type="character" w:customStyle="1" w:styleId="NzovChar1">
    <w:name w:val="Názov Char1"/>
    <w:rPr>
      <w:rFonts w:ascii="Cambria" w:eastAsia="Times New Roman" w:hAnsi="Cambria" w:cs="Times New Roman"/>
      <w:b/>
      <w:bCs/>
      <w:kern w:val="2"/>
      <w:sz w:val="32"/>
      <w:szCs w:val="32"/>
    </w:rPr>
  </w:style>
  <w:style w:type="character" w:customStyle="1" w:styleId="NzovChar146">
    <w:name w:val="Názov Char146"/>
    <w:rPr>
      <w:rFonts w:ascii="Cambria" w:eastAsia="Times New Roman" w:hAnsi="Cambria" w:cs="Times New Roman"/>
      <w:b/>
      <w:bCs/>
      <w:kern w:val="2"/>
      <w:sz w:val="32"/>
      <w:szCs w:val="32"/>
    </w:rPr>
  </w:style>
  <w:style w:type="character" w:customStyle="1" w:styleId="NzovChar145">
    <w:name w:val="Názov Char145"/>
    <w:rPr>
      <w:rFonts w:ascii="Cambria" w:eastAsia="Times New Roman" w:hAnsi="Cambria" w:cs="Times New Roman"/>
      <w:b/>
      <w:bCs/>
      <w:kern w:val="2"/>
      <w:sz w:val="32"/>
      <w:szCs w:val="32"/>
    </w:rPr>
  </w:style>
  <w:style w:type="character" w:customStyle="1" w:styleId="NzovChar144">
    <w:name w:val="Názov Char144"/>
    <w:rPr>
      <w:rFonts w:ascii="Cambria" w:eastAsia="Times New Roman" w:hAnsi="Cambria" w:cs="Times New Roman"/>
      <w:b/>
      <w:bCs/>
      <w:kern w:val="2"/>
      <w:sz w:val="32"/>
      <w:szCs w:val="32"/>
    </w:rPr>
  </w:style>
  <w:style w:type="character" w:customStyle="1" w:styleId="NzovChar143">
    <w:name w:val="Názov Char143"/>
    <w:rPr>
      <w:rFonts w:ascii="Cambria" w:eastAsia="Times New Roman" w:hAnsi="Cambria" w:cs="Times New Roman"/>
      <w:b/>
      <w:bCs/>
      <w:kern w:val="2"/>
      <w:sz w:val="32"/>
      <w:szCs w:val="32"/>
    </w:rPr>
  </w:style>
  <w:style w:type="character" w:customStyle="1" w:styleId="NzovChar142">
    <w:name w:val="Názov Char142"/>
    <w:rPr>
      <w:rFonts w:ascii="Cambria" w:eastAsia="Times New Roman" w:hAnsi="Cambria" w:cs="Times New Roman"/>
      <w:b/>
      <w:bCs/>
      <w:kern w:val="2"/>
      <w:sz w:val="32"/>
      <w:szCs w:val="32"/>
    </w:rPr>
  </w:style>
  <w:style w:type="character" w:customStyle="1" w:styleId="NzovChar141">
    <w:name w:val="Názov Char141"/>
    <w:rPr>
      <w:rFonts w:ascii="Cambria" w:hAnsi="Cambria" w:cs="Times New Roman"/>
      <w:b/>
      <w:bCs/>
      <w:kern w:val="2"/>
      <w:sz w:val="32"/>
      <w:szCs w:val="32"/>
    </w:rPr>
  </w:style>
  <w:style w:type="character" w:customStyle="1" w:styleId="NzovChar140">
    <w:name w:val="Názov Char140"/>
    <w:rPr>
      <w:rFonts w:ascii="Cambria" w:hAnsi="Cambria" w:cs="Times New Roman"/>
      <w:b/>
      <w:bCs/>
      <w:kern w:val="2"/>
      <w:sz w:val="32"/>
      <w:szCs w:val="32"/>
    </w:rPr>
  </w:style>
  <w:style w:type="character" w:customStyle="1" w:styleId="NzovChar139">
    <w:name w:val="Názov Char139"/>
    <w:rPr>
      <w:rFonts w:ascii="Cambria" w:hAnsi="Cambria" w:cs="Times New Roman"/>
      <w:b/>
      <w:bCs/>
      <w:kern w:val="2"/>
      <w:sz w:val="32"/>
      <w:szCs w:val="32"/>
    </w:rPr>
  </w:style>
  <w:style w:type="character" w:customStyle="1" w:styleId="NzovChar138">
    <w:name w:val="Názov Char138"/>
    <w:rPr>
      <w:rFonts w:ascii="Cambria" w:hAnsi="Cambria" w:cs="Times New Roman"/>
      <w:b/>
      <w:bCs/>
      <w:kern w:val="2"/>
      <w:sz w:val="32"/>
      <w:szCs w:val="32"/>
    </w:rPr>
  </w:style>
  <w:style w:type="character" w:customStyle="1" w:styleId="NzovChar137">
    <w:name w:val="Názov Char137"/>
    <w:rPr>
      <w:rFonts w:ascii="Cambria" w:hAnsi="Cambria" w:cs="Times New Roman"/>
      <w:b/>
      <w:bCs/>
      <w:kern w:val="2"/>
      <w:sz w:val="32"/>
      <w:szCs w:val="32"/>
    </w:rPr>
  </w:style>
  <w:style w:type="character" w:customStyle="1" w:styleId="NzovChar136">
    <w:name w:val="Názov Char136"/>
    <w:rPr>
      <w:rFonts w:ascii="Cambria" w:hAnsi="Cambria" w:cs="Times New Roman"/>
      <w:b/>
      <w:bCs/>
      <w:kern w:val="2"/>
      <w:sz w:val="32"/>
      <w:szCs w:val="32"/>
    </w:rPr>
  </w:style>
  <w:style w:type="character" w:customStyle="1" w:styleId="NzovChar135">
    <w:name w:val="Názov Char135"/>
    <w:rPr>
      <w:rFonts w:ascii="Cambria" w:hAnsi="Cambria" w:cs="Times New Roman"/>
      <w:b/>
      <w:bCs/>
      <w:kern w:val="2"/>
      <w:sz w:val="32"/>
      <w:szCs w:val="32"/>
    </w:rPr>
  </w:style>
  <w:style w:type="character" w:customStyle="1" w:styleId="NzovChar134">
    <w:name w:val="Názov Char134"/>
    <w:rPr>
      <w:rFonts w:ascii="Cambria" w:hAnsi="Cambria" w:cs="Times New Roman"/>
      <w:b/>
      <w:bCs/>
      <w:kern w:val="2"/>
      <w:sz w:val="32"/>
      <w:szCs w:val="32"/>
    </w:rPr>
  </w:style>
  <w:style w:type="character" w:customStyle="1" w:styleId="NzovChar133">
    <w:name w:val="Názov Char133"/>
    <w:rPr>
      <w:rFonts w:ascii="Cambria" w:hAnsi="Cambria" w:cs="Times New Roman"/>
      <w:b/>
      <w:bCs/>
      <w:kern w:val="2"/>
      <w:sz w:val="32"/>
      <w:szCs w:val="32"/>
    </w:rPr>
  </w:style>
  <w:style w:type="character" w:customStyle="1" w:styleId="NzovChar132">
    <w:name w:val="Názov Char132"/>
    <w:rPr>
      <w:rFonts w:ascii="Cambria" w:hAnsi="Cambria" w:cs="Times New Roman"/>
      <w:b/>
      <w:bCs/>
      <w:kern w:val="2"/>
      <w:sz w:val="32"/>
      <w:szCs w:val="32"/>
    </w:rPr>
  </w:style>
  <w:style w:type="character" w:customStyle="1" w:styleId="NzovChar131">
    <w:name w:val="Názov Char131"/>
    <w:rPr>
      <w:rFonts w:ascii="Cambria" w:hAnsi="Cambria" w:cs="Times New Roman"/>
      <w:b/>
      <w:bCs/>
      <w:kern w:val="2"/>
      <w:sz w:val="32"/>
      <w:szCs w:val="32"/>
    </w:rPr>
  </w:style>
  <w:style w:type="character" w:customStyle="1" w:styleId="NzovChar130">
    <w:name w:val="Názov Char130"/>
    <w:rPr>
      <w:rFonts w:ascii="Cambria" w:hAnsi="Cambria" w:cs="Times New Roman"/>
      <w:b/>
      <w:bCs/>
      <w:kern w:val="2"/>
      <w:sz w:val="32"/>
      <w:szCs w:val="32"/>
    </w:rPr>
  </w:style>
  <w:style w:type="character" w:customStyle="1" w:styleId="NzovChar129">
    <w:name w:val="Názov Char129"/>
    <w:rPr>
      <w:rFonts w:ascii="Cambria" w:hAnsi="Cambria" w:cs="Times New Roman"/>
      <w:b/>
      <w:bCs/>
      <w:kern w:val="2"/>
      <w:sz w:val="32"/>
      <w:szCs w:val="32"/>
    </w:rPr>
  </w:style>
  <w:style w:type="character" w:customStyle="1" w:styleId="NzovChar128">
    <w:name w:val="Názov Char128"/>
    <w:rPr>
      <w:rFonts w:ascii="Cambria" w:hAnsi="Cambria" w:cs="Times New Roman"/>
      <w:b/>
      <w:bCs/>
      <w:kern w:val="2"/>
      <w:sz w:val="32"/>
      <w:szCs w:val="32"/>
    </w:rPr>
  </w:style>
  <w:style w:type="character" w:customStyle="1" w:styleId="NzovChar127">
    <w:name w:val="Názov Char127"/>
    <w:rPr>
      <w:rFonts w:ascii="Cambria" w:hAnsi="Cambria" w:cs="Times New Roman"/>
      <w:b/>
      <w:bCs/>
      <w:kern w:val="2"/>
      <w:sz w:val="32"/>
      <w:szCs w:val="32"/>
    </w:rPr>
  </w:style>
  <w:style w:type="character" w:customStyle="1" w:styleId="NzovChar126">
    <w:name w:val="Názov Char126"/>
    <w:rPr>
      <w:rFonts w:ascii="Cambria" w:hAnsi="Cambria" w:cs="Times New Roman"/>
      <w:b/>
      <w:bCs/>
      <w:kern w:val="2"/>
      <w:sz w:val="32"/>
      <w:szCs w:val="32"/>
    </w:rPr>
  </w:style>
  <w:style w:type="character" w:customStyle="1" w:styleId="NzovChar125">
    <w:name w:val="Názov Char125"/>
    <w:rPr>
      <w:rFonts w:ascii="Cambria" w:hAnsi="Cambria" w:cs="Times New Roman"/>
      <w:b/>
      <w:bCs/>
      <w:kern w:val="2"/>
      <w:sz w:val="32"/>
      <w:szCs w:val="32"/>
    </w:rPr>
  </w:style>
  <w:style w:type="character" w:customStyle="1" w:styleId="NzovChar124">
    <w:name w:val="Názov Char124"/>
    <w:rPr>
      <w:rFonts w:ascii="Cambria" w:hAnsi="Cambria" w:cs="Times New Roman"/>
      <w:b/>
      <w:bCs/>
      <w:kern w:val="2"/>
      <w:sz w:val="32"/>
      <w:szCs w:val="32"/>
    </w:rPr>
  </w:style>
  <w:style w:type="character" w:customStyle="1" w:styleId="NzovChar123">
    <w:name w:val="Názov Char123"/>
    <w:rPr>
      <w:rFonts w:ascii="Cambria" w:hAnsi="Cambria" w:cs="Times New Roman"/>
      <w:b/>
      <w:bCs/>
      <w:kern w:val="2"/>
      <w:sz w:val="32"/>
      <w:szCs w:val="32"/>
    </w:rPr>
  </w:style>
  <w:style w:type="character" w:customStyle="1" w:styleId="NzovChar122">
    <w:name w:val="Názov Char122"/>
    <w:rPr>
      <w:rFonts w:ascii="Cambria" w:hAnsi="Cambria" w:cs="Times New Roman"/>
      <w:b/>
      <w:bCs/>
      <w:kern w:val="2"/>
      <w:sz w:val="32"/>
      <w:szCs w:val="32"/>
    </w:rPr>
  </w:style>
  <w:style w:type="character" w:customStyle="1" w:styleId="NzovChar121">
    <w:name w:val="Názov Char121"/>
    <w:rPr>
      <w:rFonts w:ascii="Cambria" w:hAnsi="Cambria" w:cs="Times New Roman"/>
      <w:b/>
      <w:bCs/>
      <w:kern w:val="2"/>
      <w:sz w:val="32"/>
      <w:szCs w:val="32"/>
    </w:rPr>
  </w:style>
  <w:style w:type="character" w:customStyle="1" w:styleId="NzovChar120">
    <w:name w:val="Názov Char120"/>
    <w:rPr>
      <w:rFonts w:ascii="Cambria" w:hAnsi="Cambria" w:cs="Times New Roman"/>
      <w:b/>
      <w:bCs/>
      <w:kern w:val="2"/>
      <w:sz w:val="32"/>
      <w:szCs w:val="32"/>
    </w:rPr>
  </w:style>
  <w:style w:type="character" w:customStyle="1" w:styleId="NzovChar119">
    <w:name w:val="Názov Char119"/>
    <w:rPr>
      <w:rFonts w:ascii="Cambria" w:hAnsi="Cambria" w:cs="Times New Roman"/>
      <w:b/>
      <w:bCs/>
      <w:kern w:val="2"/>
      <w:sz w:val="32"/>
      <w:szCs w:val="32"/>
    </w:rPr>
  </w:style>
  <w:style w:type="character" w:customStyle="1" w:styleId="NzovChar118">
    <w:name w:val="Názov Char118"/>
    <w:rPr>
      <w:rFonts w:ascii="Cambria" w:hAnsi="Cambria" w:cs="Times New Roman"/>
      <w:b/>
      <w:bCs/>
      <w:kern w:val="2"/>
      <w:sz w:val="32"/>
      <w:szCs w:val="32"/>
    </w:rPr>
  </w:style>
  <w:style w:type="character" w:customStyle="1" w:styleId="NzovChar117">
    <w:name w:val="Názov Char117"/>
    <w:rPr>
      <w:rFonts w:ascii="Cambria" w:hAnsi="Cambria" w:cs="Times New Roman"/>
      <w:b/>
      <w:bCs/>
      <w:kern w:val="2"/>
      <w:sz w:val="32"/>
      <w:szCs w:val="32"/>
    </w:rPr>
  </w:style>
  <w:style w:type="character" w:customStyle="1" w:styleId="NzovChar116">
    <w:name w:val="Názov Char116"/>
    <w:rPr>
      <w:rFonts w:ascii="Cambria" w:hAnsi="Cambria" w:cs="Times New Roman"/>
      <w:b/>
      <w:bCs/>
      <w:kern w:val="2"/>
      <w:sz w:val="32"/>
      <w:szCs w:val="32"/>
    </w:rPr>
  </w:style>
  <w:style w:type="character" w:customStyle="1" w:styleId="NzovChar115">
    <w:name w:val="Názov Char115"/>
    <w:rPr>
      <w:rFonts w:ascii="Cambria" w:hAnsi="Cambria" w:cs="Times New Roman"/>
      <w:b/>
      <w:bCs/>
      <w:kern w:val="2"/>
      <w:sz w:val="32"/>
      <w:szCs w:val="32"/>
    </w:rPr>
  </w:style>
  <w:style w:type="character" w:customStyle="1" w:styleId="NzovChar114">
    <w:name w:val="Názov Char114"/>
    <w:rPr>
      <w:rFonts w:ascii="Cambria" w:hAnsi="Cambria" w:cs="Times New Roman"/>
      <w:b/>
      <w:bCs/>
      <w:kern w:val="2"/>
      <w:sz w:val="32"/>
      <w:szCs w:val="32"/>
    </w:rPr>
  </w:style>
  <w:style w:type="character" w:customStyle="1" w:styleId="NzovChar113">
    <w:name w:val="Názov Char113"/>
    <w:rPr>
      <w:rFonts w:ascii="Cambria" w:hAnsi="Cambria" w:cs="Times New Roman"/>
      <w:b/>
      <w:bCs/>
      <w:kern w:val="2"/>
      <w:sz w:val="32"/>
      <w:szCs w:val="32"/>
    </w:rPr>
  </w:style>
  <w:style w:type="character" w:customStyle="1" w:styleId="NzovChar112">
    <w:name w:val="Názov Char112"/>
    <w:rPr>
      <w:rFonts w:ascii="Cambria" w:hAnsi="Cambria" w:cs="Times New Roman"/>
      <w:b/>
      <w:bCs/>
      <w:kern w:val="2"/>
      <w:sz w:val="32"/>
      <w:szCs w:val="32"/>
    </w:rPr>
  </w:style>
  <w:style w:type="character" w:customStyle="1" w:styleId="NzovChar111">
    <w:name w:val="Názov Char111"/>
    <w:rPr>
      <w:rFonts w:ascii="Cambria" w:hAnsi="Cambria" w:cs="Times New Roman"/>
      <w:b/>
      <w:bCs/>
      <w:kern w:val="2"/>
      <w:sz w:val="32"/>
      <w:szCs w:val="32"/>
    </w:rPr>
  </w:style>
  <w:style w:type="character" w:customStyle="1" w:styleId="NzovChar110">
    <w:name w:val="Názov Char110"/>
    <w:rPr>
      <w:rFonts w:ascii="Cambria" w:hAnsi="Cambria" w:cs="Times New Roman"/>
      <w:b/>
      <w:bCs/>
      <w:kern w:val="2"/>
      <w:sz w:val="32"/>
      <w:szCs w:val="32"/>
    </w:rPr>
  </w:style>
  <w:style w:type="character" w:customStyle="1" w:styleId="NzovChar19">
    <w:name w:val="Názov Char19"/>
    <w:rPr>
      <w:rFonts w:ascii="Cambria" w:hAnsi="Cambria" w:cs="Times New Roman"/>
      <w:b/>
      <w:bCs/>
      <w:kern w:val="2"/>
      <w:sz w:val="32"/>
      <w:szCs w:val="32"/>
    </w:rPr>
  </w:style>
  <w:style w:type="character" w:customStyle="1" w:styleId="NzovChar18">
    <w:name w:val="Názov Char18"/>
    <w:rPr>
      <w:rFonts w:ascii="Cambria" w:hAnsi="Cambria" w:cs="Times New Roman"/>
      <w:b/>
      <w:bCs/>
      <w:kern w:val="2"/>
      <w:sz w:val="32"/>
      <w:szCs w:val="32"/>
    </w:rPr>
  </w:style>
  <w:style w:type="character" w:customStyle="1" w:styleId="NzovChar17">
    <w:name w:val="Názov Char17"/>
    <w:rPr>
      <w:rFonts w:ascii="Cambria" w:hAnsi="Cambria" w:cs="Times New Roman"/>
      <w:b/>
      <w:bCs/>
      <w:kern w:val="2"/>
      <w:sz w:val="32"/>
      <w:szCs w:val="32"/>
    </w:rPr>
  </w:style>
  <w:style w:type="character" w:customStyle="1" w:styleId="NzovChar16">
    <w:name w:val="Názov Char16"/>
    <w:rPr>
      <w:rFonts w:ascii="Cambria" w:hAnsi="Cambria" w:cs="Times New Roman"/>
      <w:b/>
      <w:bCs/>
      <w:kern w:val="2"/>
      <w:sz w:val="32"/>
      <w:szCs w:val="32"/>
    </w:rPr>
  </w:style>
  <w:style w:type="character" w:customStyle="1" w:styleId="NzovChar15">
    <w:name w:val="Názov Char15"/>
    <w:rPr>
      <w:rFonts w:ascii="Cambria" w:hAnsi="Cambria" w:cs="Times New Roman"/>
      <w:b/>
      <w:bCs/>
      <w:kern w:val="2"/>
      <w:sz w:val="32"/>
      <w:szCs w:val="32"/>
    </w:rPr>
  </w:style>
  <w:style w:type="character" w:customStyle="1" w:styleId="NzovChar14">
    <w:name w:val="Názov Char14"/>
    <w:rPr>
      <w:rFonts w:ascii="Cambria" w:hAnsi="Cambria" w:cs="Times New Roman"/>
      <w:b/>
      <w:bCs/>
      <w:kern w:val="2"/>
      <w:sz w:val="32"/>
      <w:szCs w:val="32"/>
    </w:rPr>
  </w:style>
  <w:style w:type="character" w:customStyle="1" w:styleId="NzovChar13">
    <w:name w:val="Názov Char13"/>
    <w:rPr>
      <w:rFonts w:ascii="Cambria" w:hAnsi="Cambria" w:cs="Times New Roman"/>
      <w:b/>
      <w:bCs/>
      <w:kern w:val="2"/>
      <w:sz w:val="32"/>
      <w:szCs w:val="32"/>
    </w:rPr>
  </w:style>
  <w:style w:type="character" w:customStyle="1" w:styleId="NzovChar12">
    <w:name w:val="Názov Char12"/>
    <w:rPr>
      <w:rFonts w:ascii="Cambria" w:hAnsi="Cambria" w:cs="Times New Roman"/>
      <w:b/>
      <w:bCs/>
      <w:kern w:val="2"/>
      <w:sz w:val="32"/>
      <w:szCs w:val="32"/>
    </w:rPr>
  </w:style>
  <w:style w:type="character" w:customStyle="1" w:styleId="NzovChar11">
    <w:name w:val="Názov Char11"/>
    <w:rPr>
      <w:rFonts w:ascii="Cambria" w:hAnsi="Cambria" w:cs="Times New Roman"/>
      <w:b/>
      <w:bCs/>
      <w:kern w:val="2"/>
      <w:sz w:val="32"/>
      <w:szCs w:val="32"/>
    </w:rPr>
  </w:style>
  <w:style w:type="character" w:customStyle="1" w:styleId="CharChar4">
    <w:name w:val=" Char Char4"/>
    <w:rPr>
      <w:rFonts w:ascii="Cambria" w:hAnsi="Cambria" w:cs="Cambria"/>
      <w:sz w:val="24"/>
      <w:szCs w:val="24"/>
      <w:lang w:bidi="ar-SA"/>
    </w:rPr>
  </w:style>
  <w:style w:type="character" w:customStyle="1" w:styleId="PodtitulChar1">
    <w:name w:val="Podtitul Char1"/>
    <w:rPr>
      <w:rFonts w:ascii="Cambria" w:eastAsia="Times New Roman" w:hAnsi="Cambria" w:cs="Times New Roman"/>
      <w:sz w:val="24"/>
      <w:szCs w:val="24"/>
    </w:rPr>
  </w:style>
  <w:style w:type="character" w:customStyle="1" w:styleId="PodtitulChar146">
    <w:name w:val="Podtitul Char146"/>
    <w:rPr>
      <w:rFonts w:ascii="Cambria" w:eastAsia="Times New Roman" w:hAnsi="Cambria" w:cs="Times New Roman"/>
      <w:sz w:val="24"/>
      <w:szCs w:val="24"/>
    </w:rPr>
  </w:style>
  <w:style w:type="character" w:customStyle="1" w:styleId="PodtitulChar145">
    <w:name w:val="Podtitul Char145"/>
    <w:rPr>
      <w:rFonts w:ascii="Cambria" w:eastAsia="Times New Roman" w:hAnsi="Cambria" w:cs="Times New Roman"/>
      <w:sz w:val="24"/>
      <w:szCs w:val="24"/>
    </w:rPr>
  </w:style>
  <w:style w:type="character" w:customStyle="1" w:styleId="PodtitulChar144">
    <w:name w:val="Podtitul Char144"/>
    <w:rPr>
      <w:rFonts w:ascii="Cambria" w:eastAsia="Times New Roman" w:hAnsi="Cambria" w:cs="Times New Roman"/>
      <w:sz w:val="24"/>
      <w:szCs w:val="24"/>
    </w:rPr>
  </w:style>
  <w:style w:type="character" w:customStyle="1" w:styleId="PodtitulChar143">
    <w:name w:val="Podtitul Char143"/>
    <w:rPr>
      <w:rFonts w:ascii="Cambria" w:eastAsia="Times New Roman" w:hAnsi="Cambria" w:cs="Times New Roman"/>
      <w:sz w:val="24"/>
      <w:szCs w:val="24"/>
    </w:rPr>
  </w:style>
  <w:style w:type="character" w:customStyle="1" w:styleId="PodtitulChar142">
    <w:name w:val="Podtitul Char142"/>
    <w:rPr>
      <w:rFonts w:ascii="Cambria" w:eastAsia="Times New Roman" w:hAnsi="Cambria" w:cs="Times New Roman"/>
      <w:sz w:val="24"/>
      <w:szCs w:val="24"/>
    </w:rPr>
  </w:style>
  <w:style w:type="character" w:customStyle="1" w:styleId="PodtitulChar141">
    <w:name w:val="Podtitul Char141"/>
    <w:rPr>
      <w:rFonts w:ascii="Cambria" w:hAnsi="Cambria" w:cs="Times New Roman"/>
      <w:sz w:val="24"/>
      <w:szCs w:val="24"/>
    </w:rPr>
  </w:style>
  <w:style w:type="character" w:customStyle="1" w:styleId="PodtitulChar140">
    <w:name w:val="Podtitul Char140"/>
    <w:rPr>
      <w:rFonts w:ascii="Cambria" w:hAnsi="Cambria" w:cs="Times New Roman"/>
      <w:sz w:val="24"/>
      <w:szCs w:val="24"/>
    </w:rPr>
  </w:style>
  <w:style w:type="character" w:customStyle="1" w:styleId="PodtitulChar139">
    <w:name w:val="Podtitul Char139"/>
    <w:rPr>
      <w:rFonts w:ascii="Cambria" w:hAnsi="Cambria" w:cs="Times New Roman"/>
      <w:sz w:val="24"/>
      <w:szCs w:val="24"/>
    </w:rPr>
  </w:style>
  <w:style w:type="character" w:customStyle="1" w:styleId="PodtitulChar138">
    <w:name w:val="Podtitul Char138"/>
    <w:rPr>
      <w:rFonts w:ascii="Cambria" w:hAnsi="Cambria" w:cs="Times New Roman"/>
      <w:sz w:val="24"/>
      <w:szCs w:val="24"/>
    </w:rPr>
  </w:style>
  <w:style w:type="character" w:customStyle="1" w:styleId="PodtitulChar137">
    <w:name w:val="Podtitul Char137"/>
    <w:rPr>
      <w:rFonts w:ascii="Cambria" w:hAnsi="Cambria" w:cs="Times New Roman"/>
      <w:sz w:val="24"/>
      <w:szCs w:val="24"/>
    </w:rPr>
  </w:style>
  <w:style w:type="character" w:customStyle="1" w:styleId="PodtitulChar136">
    <w:name w:val="Podtitul Char136"/>
    <w:rPr>
      <w:rFonts w:ascii="Cambria" w:hAnsi="Cambria" w:cs="Times New Roman"/>
      <w:sz w:val="24"/>
      <w:szCs w:val="24"/>
    </w:rPr>
  </w:style>
  <w:style w:type="character" w:customStyle="1" w:styleId="PodtitulChar135">
    <w:name w:val="Podtitul Char135"/>
    <w:rPr>
      <w:rFonts w:ascii="Cambria" w:hAnsi="Cambria" w:cs="Times New Roman"/>
      <w:sz w:val="24"/>
      <w:szCs w:val="24"/>
    </w:rPr>
  </w:style>
  <w:style w:type="character" w:customStyle="1" w:styleId="PodtitulChar134">
    <w:name w:val="Podtitul Char134"/>
    <w:rPr>
      <w:rFonts w:ascii="Cambria" w:hAnsi="Cambria" w:cs="Times New Roman"/>
      <w:sz w:val="24"/>
      <w:szCs w:val="24"/>
    </w:rPr>
  </w:style>
  <w:style w:type="character" w:customStyle="1" w:styleId="PodtitulChar133">
    <w:name w:val="Podtitul Char133"/>
    <w:rPr>
      <w:rFonts w:ascii="Cambria" w:hAnsi="Cambria" w:cs="Times New Roman"/>
      <w:sz w:val="24"/>
      <w:szCs w:val="24"/>
    </w:rPr>
  </w:style>
  <w:style w:type="character" w:customStyle="1" w:styleId="PodtitulChar132">
    <w:name w:val="Podtitul Char132"/>
    <w:rPr>
      <w:rFonts w:ascii="Cambria" w:hAnsi="Cambria" w:cs="Times New Roman"/>
      <w:sz w:val="24"/>
      <w:szCs w:val="24"/>
    </w:rPr>
  </w:style>
  <w:style w:type="character" w:customStyle="1" w:styleId="PodtitulChar131">
    <w:name w:val="Podtitul Char131"/>
    <w:rPr>
      <w:rFonts w:ascii="Cambria" w:hAnsi="Cambria" w:cs="Times New Roman"/>
      <w:sz w:val="24"/>
      <w:szCs w:val="24"/>
    </w:rPr>
  </w:style>
  <w:style w:type="character" w:customStyle="1" w:styleId="PodtitulChar130">
    <w:name w:val="Podtitul Char130"/>
    <w:rPr>
      <w:rFonts w:ascii="Cambria" w:hAnsi="Cambria" w:cs="Times New Roman"/>
      <w:sz w:val="24"/>
      <w:szCs w:val="24"/>
    </w:rPr>
  </w:style>
  <w:style w:type="character" w:customStyle="1" w:styleId="PodtitulChar129">
    <w:name w:val="Podtitul Char129"/>
    <w:rPr>
      <w:rFonts w:ascii="Cambria" w:hAnsi="Cambria" w:cs="Times New Roman"/>
      <w:sz w:val="24"/>
      <w:szCs w:val="24"/>
    </w:rPr>
  </w:style>
  <w:style w:type="character" w:customStyle="1" w:styleId="PodtitulChar128">
    <w:name w:val="Podtitul Char128"/>
    <w:rPr>
      <w:rFonts w:ascii="Cambria" w:hAnsi="Cambria" w:cs="Times New Roman"/>
      <w:sz w:val="24"/>
      <w:szCs w:val="24"/>
    </w:rPr>
  </w:style>
  <w:style w:type="character" w:customStyle="1" w:styleId="PodtitulChar127">
    <w:name w:val="Podtitul Char127"/>
    <w:rPr>
      <w:rFonts w:ascii="Cambria" w:hAnsi="Cambria" w:cs="Times New Roman"/>
      <w:sz w:val="24"/>
      <w:szCs w:val="24"/>
    </w:rPr>
  </w:style>
  <w:style w:type="character" w:customStyle="1" w:styleId="PodtitulChar126">
    <w:name w:val="Podtitul Char126"/>
    <w:rPr>
      <w:rFonts w:ascii="Cambria" w:hAnsi="Cambria" w:cs="Times New Roman"/>
      <w:sz w:val="24"/>
      <w:szCs w:val="24"/>
    </w:rPr>
  </w:style>
  <w:style w:type="character" w:customStyle="1" w:styleId="PodtitulChar125">
    <w:name w:val="Podtitul Char125"/>
    <w:rPr>
      <w:rFonts w:ascii="Cambria" w:hAnsi="Cambria" w:cs="Times New Roman"/>
      <w:sz w:val="24"/>
      <w:szCs w:val="24"/>
    </w:rPr>
  </w:style>
  <w:style w:type="character" w:customStyle="1" w:styleId="PodtitulChar124">
    <w:name w:val="Podtitul Char124"/>
    <w:rPr>
      <w:rFonts w:ascii="Cambria" w:hAnsi="Cambria" w:cs="Times New Roman"/>
      <w:sz w:val="24"/>
      <w:szCs w:val="24"/>
    </w:rPr>
  </w:style>
  <w:style w:type="character" w:customStyle="1" w:styleId="PodtitulChar123">
    <w:name w:val="Podtitul Char123"/>
    <w:rPr>
      <w:rFonts w:ascii="Cambria" w:hAnsi="Cambria" w:cs="Times New Roman"/>
      <w:sz w:val="24"/>
      <w:szCs w:val="24"/>
    </w:rPr>
  </w:style>
  <w:style w:type="character" w:customStyle="1" w:styleId="PodtitulChar122">
    <w:name w:val="Podtitul Char122"/>
    <w:rPr>
      <w:rFonts w:ascii="Cambria" w:hAnsi="Cambria" w:cs="Times New Roman"/>
      <w:sz w:val="24"/>
      <w:szCs w:val="24"/>
    </w:rPr>
  </w:style>
  <w:style w:type="character" w:customStyle="1" w:styleId="PodtitulChar121">
    <w:name w:val="Podtitul Char121"/>
    <w:rPr>
      <w:rFonts w:ascii="Cambria" w:hAnsi="Cambria" w:cs="Times New Roman"/>
      <w:sz w:val="24"/>
      <w:szCs w:val="24"/>
    </w:rPr>
  </w:style>
  <w:style w:type="character" w:customStyle="1" w:styleId="PodtitulChar120">
    <w:name w:val="Podtitul Char120"/>
    <w:rPr>
      <w:rFonts w:ascii="Cambria" w:hAnsi="Cambria" w:cs="Times New Roman"/>
      <w:sz w:val="24"/>
      <w:szCs w:val="24"/>
    </w:rPr>
  </w:style>
  <w:style w:type="character" w:customStyle="1" w:styleId="PodtitulChar119">
    <w:name w:val="Podtitul Char119"/>
    <w:rPr>
      <w:rFonts w:ascii="Cambria" w:hAnsi="Cambria" w:cs="Times New Roman"/>
      <w:sz w:val="24"/>
      <w:szCs w:val="24"/>
    </w:rPr>
  </w:style>
  <w:style w:type="character" w:customStyle="1" w:styleId="PodtitulChar118">
    <w:name w:val="Podtitul Char118"/>
    <w:rPr>
      <w:rFonts w:ascii="Cambria" w:hAnsi="Cambria" w:cs="Times New Roman"/>
      <w:sz w:val="24"/>
      <w:szCs w:val="24"/>
    </w:rPr>
  </w:style>
  <w:style w:type="character" w:customStyle="1" w:styleId="PodtitulChar117">
    <w:name w:val="Podtitul Char117"/>
    <w:rPr>
      <w:rFonts w:ascii="Cambria" w:hAnsi="Cambria" w:cs="Times New Roman"/>
      <w:sz w:val="24"/>
      <w:szCs w:val="24"/>
    </w:rPr>
  </w:style>
  <w:style w:type="character" w:customStyle="1" w:styleId="PodtitulChar116">
    <w:name w:val="Podtitul Char116"/>
    <w:rPr>
      <w:rFonts w:ascii="Cambria" w:hAnsi="Cambria" w:cs="Times New Roman"/>
      <w:sz w:val="24"/>
      <w:szCs w:val="24"/>
    </w:rPr>
  </w:style>
  <w:style w:type="character" w:customStyle="1" w:styleId="PodtitulChar115">
    <w:name w:val="Podtitul Char115"/>
    <w:rPr>
      <w:rFonts w:ascii="Cambria" w:hAnsi="Cambria" w:cs="Times New Roman"/>
      <w:sz w:val="24"/>
      <w:szCs w:val="24"/>
    </w:rPr>
  </w:style>
  <w:style w:type="character" w:customStyle="1" w:styleId="PodtitulChar114">
    <w:name w:val="Podtitul Char114"/>
    <w:rPr>
      <w:rFonts w:ascii="Cambria" w:hAnsi="Cambria" w:cs="Times New Roman"/>
      <w:sz w:val="24"/>
      <w:szCs w:val="24"/>
    </w:rPr>
  </w:style>
  <w:style w:type="character" w:customStyle="1" w:styleId="PodtitulChar113">
    <w:name w:val="Podtitul Char113"/>
    <w:rPr>
      <w:rFonts w:ascii="Cambria" w:hAnsi="Cambria" w:cs="Times New Roman"/>
      <w:sz w:val="24"/>
      <w:szCs w:val="24"/>
    </w:rPr>
  </w:style>
  <w:style w:type="character" w:customStyle="1" w:styleId="PodtitulChar112">
    <w:name w:val="Podtitul Char112"/>
    <w:rPr>
      <w:rFonts w:ascii="Cambria" w:hAnsi="Cambria" w:cs="Times New Roman"/>
      <w:sz w:val="24"/>
      <w:szCs w:val="24"/>
    </w:rPr>
  </w:style>
  <w:style w:type="character" w:customStyle="1" w:styleId="PodtitulChar111">
    <w:name w:val="Podtitul Char111"/>
    <w:rPr>
      <w:rFonts w:ascii="Cambria" w:hAnsi="Cambria" w:cs="Times New Roman"/>
      <w:sz w:val="24"/>
      <w:szCs w:val="24"/>
    </w:rPr>
  </w:style>
  <w:style w:type="character" w:customStyle="1" w:styleId="PodtitulChar110">
    <w:name w:val="Podtitul Char110"/>
    <w:rPr>
      <w:rFonts w:ascii="Cambria" w:hAnsi="Cambria" w:cs="Times New Roman"/>
      <w:sz w:val="24"/>
      <w:szCs w:val="24"/>
    </w:rPr>
  </w:style>
  <w:style w:type="character" w:customStyle="1" w:styleId="PodtitulChar19">
    <w:name w:val="Podtitul Char19"/>
    <w:rPr>
      <w:rFonts w:ascii="Cambria" w:hAnsi="Cambria" w:cs="Times New Roman"/>
      <w:sz w:val="24"/>
      <w:szCs w:val="24"/>
    </w:rPr>
  </w:style>
  <w:style w:type="character" w:customStyle="1" w:styleId="PodtitulChar18">
    <w:name w:val="Podtitul Char18"/>
    <w:rPr>
      <w:rFonts w:ascii="Cambria" w:hAnsi="Cambria" w:cs="Times New Roman"/>
      <w:sz w:val="24"/>
      <w:szCs w:val="24"/>
    </w:rPr>
  </w:style>
  <w:style w:type="character" w:customStyle="1" w:styleId="PodtitulChar17">
    <w:name w:val="Podtitul Char17"/>
    <w:rPr>
      <w:rFonts w:ascii="Cambria" w:hAnsi="Cambria" w:cs="Times New Roman"/>
      <w:sz w:val="24"/>
      <w:szCs w:val="24"/>
    </w:rPr>
  </w:style>
  <w:style w:type="character" w:customStyle="1" w:styleId="PodtitulChar16">
    <w:name w:val="Podtitul Char16"/>
    <w:rPr>
      <w:rFonts w:ascii="Cambria" w:hAnsi="Cambria" w:cs="Times New Roman"/>
      <w:sz w:val="24"/>
      <w:szCs w:val="24"/>
    </w:rPr>
  </w:style>
  <w:style w:type="character" w:customStyle="1" w:styleId="PodtitulChar15">
    <w:name w:val="Podtitul Char15"/>
    <w:rPr>
      <w:rFonts w:ascii="Cambria" w:hAnsi="Cambria" w:cs="Times New Roman"/>
      <w:sz w:val="24"/>
      <w:szCs w:val="24"/>
    </w:rPr>
  </w:style>
  <w:style w:type="character" w:customStyle="1" w:styleId="PodtitulChar14">
    <w:name w:val="Podtitul Char14"/>
    <w:rPr>
      <w:rFonts w:ascii="Cambria" w:hAnsi="Cambria" w:cs="Times New Roman"/>
      <w:sz w:val="24"/>
      <w:szCs w:val="24"/>
    </w:rPr>
  </w:style>
  <w:style w:type="character" w:customStyle="1" w:styleId="PodtitulChar13">
    <w:name w:val="Podtitul Char13"/>
    <w:rPr>
      <w:rFonts w:ascii="Cambria" w:hAnsi="Cambria" w:cs="Times New Roman"/>
      <w:sz w:val="24"/>
      <w:szCs w:val="24"/>
    </w:rPr>
  </w:style>
  <w:style w:type="character" w:customStyle="1" w:styleId="PodtitulChar12">
    <w:name w:val="Podtitul Char12"/>
    <w:rPr>
      <w:rFonts w:ascii="Cambria" w:hAnsi="Cambria" w:cs="Times New Roman"/>
      <w:sz w:val="24"/>
      <w:szCs w:val="24"/>
    </w:rPr>
  </w:style>
  <w:style w:type="character" w:customStyle="1" w:styleId="PodtitulChar11">
    <w:name w:val="Podtitul Char11"/>
    <w:rPr>
      <w:rFonts w:ascii="Cambria" w:hAnsi="Cambria" w:cs="Times New Roman"/>
      <w:sz w:val="24"/>
      <w:szCs w:val="24"/>
    </w:rPr>
  </w:style>
  <w:style w:type="character" w:customStyle="1" w:styleId="CharChar3">
    <w:name w:val=" Char Char3"/>
    <w:rPr>
      <w:sz w:val="24"/>
      <w:szCs w:val="24"/>
      <w:lang w:bidi="ar-SA"/>
    </w:rPr>
  </w:style>
  <w:style w:type="character" w:customStyle="1" w:styleId="CharChar2">
    <w:name w:val=" Char Char2"/>
    <w:rPr>
      <w:sz w:val="24"/>
      <w:szCs w:val="24"/>
      <w:lang w:bidi="ar-SA"/>
    </w:rPr>
  </w:style>
  <w:style w:type="character" w:customStyle="1" w:styleId="CharChar1">
    <w:name w:val=" Char Char1"/>
    <w:rPr>
      <w:sz w:val="24"/>
      <w:szCs w:val="24"/>
      <w:lang w:bidi="ar-SA"/>
    </w:rPr>
  </w:style>
  <w:style w:type="character" w:customStyle="1" w:styleId="CharChar">
    <w:name w:val=" Char Char"/>
    <w:rPr>
      <w:rFonts w:ascii="Tahoma" w:hAnsi="Tahoma" w:cs="Tahoma"/>
      <w:sz w:val="16"/>
      <w:szCs w:val="16"/>
      <w:lang w:bidi="ar-SA"/>
    </w:rPr>
  </w:style>
  <w:style w:type="character" w:customStyle="1" w:styleId="apple-converted-space">
    <w:name w:val="apple-converted-space"/>
    <w:rPr>
      <w:rFonts w:cs="Times New Roman"/>
    </w:rPr>
  </w:style>
  <w:style w:type="character" w:customStyle="1" w:styleId="Odrky">
    <w:name w:val="Odrážky"/>
    <w:rPr>
      <w:rFonts w:ascii="OpenSymbol" w:eastAsia="OpenSymbol" w:hAnsi="OpenSymbol" w:cs="OpenSymbol"/>
    </w:rPr>
  </w:style>
  <w:style w:type="character" w:customStyle="1" w:styleId="Symbolypreslovanie">
    <w:name w:val="Symboly pre číslovanie"/>
  </w:style>
  <w:style w:type="paragraph" w:customStyle="1" w:styleId="Nadpis">
    <w:name w:val="Nadpis"/>
    <w:basedOn w:val="Normlny"/>
    <w:next w:val="Normlny"/>
    <w:pPr>
      <w:keepNext/>
      <w:spacing w:before="280" w:after="220"/>
      <w:jc w:val="center"/>
    </w:pPr>
    <w:rPr>
      <w:b/>
      <w:bCs/>
      <w:kern w:val="2"/>
      <w:sz w:val="32"/>
      <w:szCs w:val="32"/>
    </w:rPr>
  </w:style>
  <w:style w:type="paragraph" w:styleId="Zkladntext">
    <w:name w:val="Body Text"/>
    <w:basedOn w:val="Normlny"/>
    <w:pPr>
      <w:ind w:left="426"/>
      <w:jc w:val="both"/>
    </w:pPr>
    <w:rPr>
      <w:sz w:val="18"/>
    </w:rPr>
  </w:style>
  <w:style w:type="paragraph" w:styleId="Zoznam">
    <w:name w:val="List"/>
    <w:basedOn w:val="Zkladntext"/>
    <w:rPr>
      <w:rFonts w:cs="Arial"/>
    </w:rPr>
  </w:style>
  <w:style w:type="paragraph" w:styleId="Popis">
    <w:name w:val="caption"/>
    <w:basedOn w:val="Normlny"/>
    <w:qFormat/>
    <w:pPr>
      <w:suppressLineNumbers/>
      <w:spacing w:before="120" w:after="120"/>
    </w:pPr>
    <w:rPr>
      <w:rFonts w:cs="Arial"/>
      <w:i/>
      <w:iCs/>
      <w:sz w:val="24"/>
      <w:szCs w:val="24"/>
    </w:rPr>
  </w:style>
  <w:style w:type="paragraph" w:customStyle="1" w:styleId="Index">
    <w:name w:val="Index"/>
    <w:basedOn w:val="Normlny"/>
    <w:pPr>
      <w:suppressLineNumbers/>
    </w:pPr>
    <w:rPr>
      <w:rFonts w:cs="Arial"/>
    </w:rPr>
  </w:style>
  <w:style w:type="paragraph" w:styleId="Normlnywebov">
    <w:name w:val="Normal (Web)"/>
    <w:basedOn w:val="Normlny"/>
  </w:style>
  <w:style w:type="paragraph" w:customStyle="1" w:styleId="TNR12riad1">
    <w:name w:val="TNR 12 riad1"/>
    <w:basedOn w:val="Normlnywebov"/>
    <w:pPr>
      <w:spacing w:before="120" w:after="120"/>
      <w:jc w:val="both"/>
    </w:pPr>
  </w:style>
  <w:style w:type="paragraph" w:styleId="Hlavika">
    <w:name w:val="header"/>
    <w:basedOn w:val="Normlny"/>
  </w:style>
  <w:style w:type="paragraph" w:customStyle="1" w:styleId="Pismenka">
    <w:name w:val="Pismenka"/>
    <w:basedOn w:val="Zkladntext"/>
    <w:pPr>
      <w:numPr>
        <w:numId w:val="7"/>
      </w:numPr>
      <w:ind w:left="426" w:hanging="426"/>
    </w:pPr>
    <w:rPr>
      <w:b/>
    </w:rPr>
  </w:style>
  <w:style w:type="paragraph" w:customStyle="1" w:styleId="TopHeader">
    <w:name w:val="Top Header"/>
    <w:basedOn w:val="Normlny"/>
    <w:pPr>
      <w:jc w:val="center"/>
    </w:pPr>
    <w:rPr>
      <w:rFonts w:ascii="Arial Narrow" w:hAnsi="Arial Narrow" w:cs="Arial Narrow"/>
      <w:b/>
      <w:bCs/>
      <w:sz w:val="22"/>
      <w:szCs w:val="22"/>
    </w:rPr>
  </w:style>
  <w:style w:type="paragraph" w:styleId="Pta">
    <w:name w:val="footer"/>
    <w:basedOn w:val="Normlny"/>
  </w:style>
  <w:style w:type="paragraph" w:styleId="Textpoznmkypodiarou">
    <w:name w:val="footnote text"/>
    <w:basedOn w:val="Normlny"/>
  </w:style>
  <w:style w:type="paragraph" w:styleId="Podtitul">
    <w:name w:val="Subtitle"/>
    <w:basedOn w:val="Normlny"/>
    <w:next w:val="Normlny"/>
    <w:qFormat/>
    <w:pPr>
      <w:spacing w:after="60"/>
      <w:jc w:val="center"/>
    </w:pPr>
    <w:rPr>
      <w:rFonts w:ascii="Cambria" w:hAnsi="Cambria" w:cs="Cambria"/>
      <w:sz w:val="24"/>
      <w:szCs w:val="24"/>
    </w:rPr>
  </w:style>
  <w:style w:type="paragraph" w:customStyle="1" w:styleId="Zkladntext21">
    <w:name w:val="Základný text 21"/>
    <w:basedOn w:val="Normlny"/>
    <w:pPr>
      <w:ind w:left="2124" w:hanging="2124"/>
      <w:jc w:val="both"/>
    </w:pPr>
    <w:rPr>
      <w:sz w:val="24"/>
      <w:szCs w:val="24"/>
    </w:rPr>
  </w:style>
  <w:style w:type="paragraph" w:customStyle="1" w:styleId="Zarkazkladnhotextu21">
    <w:name w:val="Zarážka základného textu 21"/>
    <w:basedOn w:val="Normlny"/>
    <w:pPr>
      <w:ind w:firstLine="708"/>
      <w:jc w:val="both"/>
    </w:pPr>
    <w:rPr>
      <w:sz w:val="24"/>
      <w:szCs w:val="24"/>
    </w:rPr>
  </w:style>
  <w:style w:type="paragraph" w:customStyle="1" w:styleId="Zarkazkladnhotextu31">
    <w:name w:val="Zarážka základného textu 31"/>
    <w:basedOn w:val="Normlny"/>
    <w:pPr>
      <w:ind w:left="708" w:firstLine="708"/>
      <w:jc w:val="both"/>
    </w:pPr>
    <w:rPr>
      <w:sz w:val="24"/>
      <w:szCs w:val="24"/>
    </w:rPr>
  </w:style>
  <w:style w:type="paragraph" w:styleId="Textbubliny">
    <w:name w:val="Balloon Text"/>
    <w:basedOn w:val="Normlny"/>
    <w:rPr>
      <w:rFonts w:ascii="Tahoma" w:hAnsi="Tahoma" w:cs="Tahoma"/>
      <w:sz w:val="16"/>
      <w:szCs w:val="16"/>
    </w:rPr>
  </w:style>
  <w:style w:type="paragraph" w:customStyle="1" w:styleId="Odsekzoznamu1">
    <w:name w:val="Odsek zoznamu1"/>
    <w:basedOn w:val="Normlny"/>
    <w:pPr>
      <w:spacing w:after="200" w:line="276" w:lineRule="auto"/>
      <w:ind w:left="720"/>
      <w:contextualSpacing/>
    </w:pPr>
    <w:rPr>
      <w:rFonts w:ascii="Arial Narrow" w:hAnsi="Arial Narrow" w:cs="Arial Narrow"/>
      <w:sz w:val="22"/>
      <w:szCs w:val="36"/>
    </w:rPr>
  </w:style>
  <w:style w:type="paragraph" w:customStyle="1" w:styleId="Default">
    <w:name w:val="Default"/>
    <w:pPr>
      <w:suppressAutoHyphens/>
      <w:autoSpaceDE w:val="0"/>
    </w:pPr>
    <w:rPr>
      <w:rFonts w:ascii="Arial" w:hAnsi="Arial" w:cs="Arial"/>
      <w:color w:val="000000"/>
      <w:sz w:val="24"/>
      <w:szCs w:val="24"/>
      <w:lang w:eastAsia="zh-CN"/>
    </w:rPr>
  </w:style>
  <w:style w:type="paragraph" w:styleId="Odsekzoznamu">
    <w:name w:val="List Paragraph"/>
    <w:basedOn w:val="Normlny"/>
    <w:qFormat/>
    <w:pPr>
      <w:ind w:left="720"/>
      <w:contextualSpacing/>
    </w:pPr>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 w:type="paragraph" w:customStyle="1" w:styleId="Nadpis10">
    <w:name w:val="Nadpis 10"/>
    <w:basedOn w:val="Nadpis"/>
    <w:next w:val="Zkladntext"/>
    <w:pPr>
      <w:numPr>
        <w:numId w:val="2"/>
      </w:numPr>
      <w:spacing w:before="60" w:after="60"/>
    </w:pPr>
    <w:rPr>
      <w:sz w:val="21"/>
      <w:szCs w:val="21"/>
    </w:rPr>
  </w:style>
  <w:style w:type="character" w:customStyle="1" w:styleId="ra">
    <w:name w:val="ra"/>
    <w:basedOn w:val="Predvolenpsmoodseku"/>
    <w:rsid w:val="00504CD0"/>
  </w:style>
</w:styles>
</file>

<file path=word/webSettings.xml><?xml version="1.0" encoding="utf-8"?>
<w:webSettings xmlns:r="http://schemas.openxmlformats.org/officeDocument/2006/relationships" xmlns:w="http://schemas.openxmlformats.org/wordprocessingml/2006/main">
  <w:divs>
    <w:div w:id="28654529">
      <w:bodyDiv w:val="1"/>
      <w:marLeft w:val="0"/>
      <w:marRight w:val="0"/>
      <w:marTop w:val="0"/>
      <w:marBottom w:val="0"/>
      <w:divBdr>
        <w:top w:val="none" w:sz="0" w:space="0" w:color="auto"/>
        <w:left w:val="none" w:sz="0" w:space="0" w:color="auto"/>
        <w:bottom w:val="none" w:sz="0" w:space="0" w:color="auto"/>
        <w:right w:val="none" w:sz="0" w:space="0" w:color="auto"/>
      </w:divBdr>
    </w:div>
    <w:div w:id="210386219">
      <w:bodyDiv w:val="1"/>
      <w:marLeft w:val="0"/>
      <w:marRight w:val="0"/>
      <w:marTop w:val="0"/>
      <w:marBottom w:val="0"/>
      <w:divBdr>
        <w:top w:val="none" w:sz="0" w:space="0" w:color="auto"/>
        <w:left w:val="none" w:sz="0" w:space="0" w:color="auto"/>
        <w:bottom w:val="none" w:sz="0" w:space="0" w:color="auto"/>
        <w:right w:val="none" w:sz="0" w:space="0" w:color="auto"/>
      </w:divBdr>
    </w:div>
    <w:div w:id="929240395">
      <w:bodyDiv w:val="1"/>
      <w:marLeft w:val="0"/>
      <w:marRight w:val="0"/>
      <w:marTop w:val="0"/>
      <w:marBottom w:val="0"/>
      <w:divBdr>
        <w:top w:val="none" w:sz="0" w:space="0" w:color="auto"/>
        <w:left w:val="none" w:sz="0" w:space="0" w:color="auto"/>
        <w:bottom w:val="none" w:sz="0" w:space="0" w:color="auto"/>
        <w:right w:val="none" w:sz="0" w:space="0" w:color="auto"/>
      </w:divBdr>
    </w:div>
    <w:div w:id="1622372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targetScreenSz w:val="1024x768"/>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I:\Dokumenty\Kore&#353;pondencia\Pozn&#225;mky%20k%2031.12.2013\Pozn&#225;mky%20k%2031.12.2013%20VZOR.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Poznámky k 31.12.2013 VZOR</Template>
  <TotalTime>2</TotalTime>
  <Pages>7</Pages>
  <Words>2104</Words>
  <Characters>11993</Characters>
  <Application>Microsoft Office Word</Application>
  <DocSecurity>0</DocSecurity>
  <Lines>99</Lines>
  <Paragraphs>28</Paragraphs>
  <ScaleCrop>false</ScaleCrop>
  <HeadingPairs>
    <vt:vector size="2" baseType="variant">
      <vt:variant>
        <vt:lpstr>Názov</vt:lpstr>
      </vt:variant>
      <vt:variant>
        <vt:i4>1</vt:i4>
      </vt:variant>
    </vt:vector>
  </HeadingPairs>
  <TitlesOfParts>
    <vt:vector size="1" baseType="lpstr">
      <vt:lpstr>A</vt:lpstr>
    </vt:vector>
  </TitlesOfParts>
  <Company>ATC</Company>
  <LinksUpToDate>false</LinksUpToDate>
  <CharactersWithSpaces>14069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Your User Name</dc:creator>
  <cp:lastModifiedBy>PC1</cp:lastModifiedBy>
  <cp:revision>2</cp:revision>
  <cp:lastPrinted>2022-11-09T07:57:00Z</cp:lastPrinted>
  <dcterms:created xsi:type="dcterms:W3CDTF">2023-03-20T09:27:00Z</dcterms:created>
  <dcterms:modified xsi:type="dcterms:W3CDTF">2023-03-20T09:27:00Z</dcterms:modified>
</cp:coreProperties>
</file>