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0" w:name="_gjdgxs" w:colFirst="0" w:colLast="0"/>
      <w:bookmarkEnd w:id="0"/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účtovnej jednotke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Založenie spoločnosti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Spoločnosť: </w:t>
      </w:r>
      <w:r>
        <w:rPr>
          <w:rFonts w:hint="default"/>
          <w:color w:val="000000"/>
          <w:sz w:val="18"/>
          <w:szCs w:val="18"/>
          <w:lang w:val="sk-SK"/>
        </w:rPr>
        <w:t>KOMI GROUP</w:t>
      </w:r>
      <w:r>
        <w:rPr>
          <w:color w:val="000000"/>
          <w:sz w:val="18"/>
          <w:szCs w:val="18"/>
        </w:rPr>
        <w:t>, s.r.o. (ďalej len Spoločnosť)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Sídlo: Chotčanská 2, 091 01  Stropkov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18"/>
          <w:szCs w:val="18"/>
          <w:lang w:val="sk-SK"/>
        </w:rPr>
      </w:pPr>
      <w:r>
        <w:rPr>
          <w:color w:val="000000"/>
          <w:sz w:val="18"/>
          <w:szCs w:val="18"/>
        </w:rPr>
        <w:t>Založená dňa:  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>.</w:t>
      </w:r>
      <w:r>
        <w:rPr>
          <w:rFonts w:hint="default"/>
          <w:color w:val="000000"/>
          <w:sz w:val="18"/>
          <w:szCs w:val="18"/>
          <w:lang w:val="sk-SK"/>
        </w:rPr>
        <w:t>10</w:t>
      </w:r>
      <w:r>
        <w:rPr>
          <w:color w:val="000000"/>
          <w:sz w:val="18"/>
          <w:szCs w:val="18"/>
        </w:rPr>
        <w:t>.</w:t>
      </w:r>
      <w:r>
        <w:rPr>
          <w:rFonts w:hint="default"/>
          <w:color w:val="000000"/>
          <w:sz w:val="18"/>
          <w:szCs w:val="18"/>
          <w:lang w:val="sk-SK"/>
        </w:rPr>
        <w:t>2001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Do obchodného registra bola zapísaná dňa: 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>.</w:t>
      </w:r>
      <w:r>
        <w:rPr>
          <w:rFonts w:hint="default"/>
          <w:color w:val="000000"/>
          <w:sz w:val="18"/>
          <w:szCs w:val="18"/>
          <w:lang w:val="sk-SK"/>
        </w:rPr>
        <w:t>10</w:t>
      </w:r>
      <w:r>
        <w:rPr>
          <w:color w:val="000000"/>
          <w:sz w:val="18"/>
          <w:szCs w:val="18"/>
        </w:rPr>
        <w:t>.</w:t>
      </w:r>
      <w:r>
        <w:rPr>
          <w:rFonts w:hint="default"/>
          <w:color w:val="000000"/>
          <w:sz w:val="18"/>
          <w:szCs w:val="18"/>
          <w:lang w:val="sk-SK"/>
        </w:rPr>
        <w:t>2001</w:t>
      </w:r>
      <w:r>
        <w:rPr>
          <w:color w:val="000000"/>
          <w:sz w:val="18"/>
          <w:szCs w:val="18"/>
        </w:rPr>
        <w:t xml:space="preserve">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(Obchodný register Okresného súdu Prešov, oddiel s.r.o., vložka </w:t>
      </w:r>
      <w:r>
        <w:rPr>
          <w:rFonts w:hint="default"/>
          <w:color w:val="000000"/>
          <w:sz w:val="18"/>
          <w:szCs w:val="18"/>
          <w:lang w:val="sk-SK"/>
        </w:rPr>
        <w:t>1</w:t>
      </w:r>
      <w:r>
        <w:rPr>
          <w:color w:val="000000"/>
          <w:sz w:val="18"/>
          <w:szCs w:val="18"/>
        </w:rPr>
        <w:t>3</w:t>
      </w:r>
      <w:r>
        <w:rPr>
          <w:rFonts w:hint="default"/>
          <w:color w:val="000000"/>
          <w:sz w:val="18"/>
          <w:szCs w:val="18"/>
          <w:lang w:val="sk-SK"/>
        </w:rPr>
        <w:t>1</w:t>
      </w:r>
      <w:r>
        <w:rPr>
          <w:color w:val="000000"/>
          <w:sz w:val="18"/>
          <w:szCs w:val="18"/>
        </w:rPr>
        <w:t xml:space="preserve">14/P). </w:t>
      </w:r>
    </w:p>
    <w:p>
      <w:pPr>
        <w:pStyle w:val="3"/>
        <w:rPr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bookmarkStart w:id="1" w:name="_30j0zll" w:colFirst="0" w:colLast="0"/>
      <w:bookmarkEnd w:id="1"/>
      <w:r>
        <w:rPr>
          <w:b/>
          <w:color w:val="000000"/>
          <w:sz w:val="18"/>
          <w:szCs w:val="18"/>
        </w:rPr>
        <w:t xml:space="preserve">Hlavnými činnosťami Spoločnosti sú: </w:t>
      </w:r>
      <w:r>
        <w:rPr>
          <w:rFonts w:hint="default"/>
          <w:b/>
          <w:color w:val="000000"/>
          <w:sz w:val="18"/>
          <w:szCs w:val="18"/>
          <w:lang w:val="sk-SK"/>
        </w:rPr>
        <w:t xml:space="preserve">Pripravné práce k realizácií stavby, uskutočňovanie stavieb a ich zmien, </w:t>
      </w:r>
    </w:p>
    <w:p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default"/>
          <w:b/>
          <w:color w:val="000000"/>
          <w:sz w:val="18"/>
          <w:szCs w:val="18"/>
          <w:lang w:val="sk-SK"/>
        </w:rPr>
      </w:pPr>
      <w:r>
        <w:rPr>
          <w:rFonts w:hint="default"/>
          <w:b/>
          <w:color w:val="000000"/>
          <w:sz w:val="18"/>
          <w:szCs w:val="18"/>
          <w:lang w:val="sk-SK"/>
        </w:rPr>
        <w:t xml:space="preserve">        Prenájom hnuteľných vecí a nehnuteľností</w:t>
      </w:r>
      <w:r>
        <w:rPr>
          <w:rFonts w:hint="default"/>
          <w:b/>
          <w:color w:val="000000"/>
          <w:sz w:val="18"/>
          <w:szCs w:val="18"/>
          <w:lang w:val="sk-SK"/>
        </w:rPr>
        <w:tab/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Údaje o neobmedzenom ručení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Právny dôvod na zostavenie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Účtovná závierka Spoločnosti k 31. decembru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 xml:space="preserve"> do 31. decembra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>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Dátum schválenia účtovnej závierky za predchádzajúce účtovné obdobie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Počet zamestnancov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Údaje o počte zamestnancov za bežné účtovné obdobie sú uvedené v nasledujúcom prehľade: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0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 orgánoch účtovnej jednotky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Výška jednotlivých druhov záruk alebo iných zabezpečení poskytnutých pre členov štatutárneho orgánu, dozorného orgánu a iného orgánu ÚJ:</w:t>
      </w:r>
    </w:p>
    <w:p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Informácia o pôžičkách: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poskytnutých pôžičiek k 31.12. bežného obdobia podľa jednotlivých orgánov: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Konateľ: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Predseda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Člen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splatených pôžičiek za posledné účtovné obdobie: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Konateľ: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Predseda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Člen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odpustených pôžičiek a odpísaných pôžičiek k 31.12. bežného obdobia: 0,- €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 aktuálnom účtovnom období neboli odpustené ani odpísané žiadne pôžičky.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konsolidovanom celku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</w:pPr>
      <w:bookmarkStart w:id="2" w:name="_1fob9te" w:colFirst="0" w:colLast="0"/>
      <w:bookmarkEnd w:id="2"/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 xml:space="preserve">Informácie o účtovných zásadách a účtovných metódach 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Východiská pre zostavenie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Účtovná závierka bola zostavená za predpokladu, že Spoločnosť bude nepretržite pokračovať vo svojej činnosti (goingconcern).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Počas účtovného obdobia neboli prijaté zmeny účtovných zásad a účtovných metód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Účtovné metódy a všeobecné účtovné zásady pri oceňovaní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Dlhodobý nehmotný majetok a dlhodobý hmotný majetok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Cenné papiere a podiely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na obchodovanie sa pri ich obstaraní oceňujú reálnou hodnotou.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 xml:space="preserve">Zásoby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Zásoby sa oceňujú obstarávacou cenou.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účtuje  zásoby spôsobom B.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Peňažné prostriedky a ceniny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Peňažné prostriedky a ceniny sa oceňujú ich menovitou hodnotou. Zníženie ich hodnoty sa vyjadruje opravnou položkou.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Cudzia mena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Na ocenenie prírastku cudzej meny nakúpenej za euro sa použije kurz, za ktorý bola táto cudzia mena nakúpená.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Výnosy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Zákazková výroba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Nemáme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Zákazková výstavba nehnuteľnosti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Nemáme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Pohľadávky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Náklady budúcich období a príjmy budúcich období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Rezervy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Záväzky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Výdavky budúcich období a výnosy budúcich období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Prenájom (lízing)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Majetok prenajatý na základe operatívneho prenájmu vykazuje ako svoj majetok jeho vlastník, nie nájomca.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Odložené dane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Odložené dane (odložená daňová pohľadávka a odložený daňový záväzok) sa vzťahujú na: 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dočasné rozdiely medzi účtovnou hodnotou majetku a účtovnou hodnotou záväzkov vykázanou v súvahe a ich daňovou základňou,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možnosť umorovať daňovú stratu v budúcnosti, ktorou sa rozumie možnosť odpočítať daňovú stratu od základu dane v budúcnosti,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možnosť previesť nevyužité daňové odpočty a iné daňové nároky do budúcich období.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6"/>
          <w:szCs w:val="16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bookmarkStart w:id="3" w:name="_3znysh7" w:colFirst="0" w:colLast="0"/>
      <w:bookmarkEnd w:id="3"/>
      <w:r>
        <w:rPr>
          <w:b/>
          <w:color w:val="000000"/>
          <w:sz w:val="18"/>
          <w:szCs w:val="18"/>
        </w:rPr>
        <w:t>Tvorba odpisovaného plánu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Predpokladaná</w:t>
            </w:r>
          </w:p>
        </w:tc>
        <w:tc>
          <w:tcPr>
            <w:tcW w:w="14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Metóda</w:t>
            </w:r>
          </w:p>
        </w:tc>
        <w:tc>
          <w:tcPr>
            <w:tcW w:w="14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Ročná odpisová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sadzba v %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Budovy pre administratívu, bytové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40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linárna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2,5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Budovy pre obchod, priemysel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Lode, lietadlá, železničné lokomotívy</w:t>
            </w:r>
          </w:p>
        </w:tc>
        <w:tc>
          <w:tcPr>
            <w:tcW w:w="1985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12</w:t>
            </w:r>
          </w:p>
        </w:tc>
        <w:tc>
          <w:tcPr>
            <w:tcW w:w="14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4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8,3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Elektrické motory,turbíny, pece,horáky</w:t>
            </w:r>
          </w:p>
        </w:tc>
        <w:tc>
          <w:tcPr>
            <w:tcW w:w="1985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8</w:t>
            </w:r>
          </w:p>
        </w:tc>
        <w:tc>
          <w:tcPr>
            <w:tcW w:w="14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4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12,5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Benzinový os. automobil, počítač, projek</w:t>
            </w:r>
          </w:p>
        </w:tc>
        <w:tc>
          <w:tcPr>
            <w:tcW w:w="1985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4</w:t>
            </w:r>
          </w:p>
        </w:tc>
        <w:tc>
          <w:tcPr>
            <w:tcW w:w="14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lineárna</w:t>
            </w:r>
          </w:p>
        </w:tc>
        <w:tc>
          <w:tcPr>
            <w:tcW w:w="14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Elektromobil</w:t>
            </w:r>
          </w:p>
        </w:tc>
        <w:tc>
          <w:tcPr>
            <w:tcW w:w="1985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</w:t>
            </w:r>
          </w:p>
        </w:tc>
        <w:tc>
          <w:tcPr>
            <w:tcW w:w="14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Lineárna</w:t>
            </w:r>
          </w:p>
        </w:tc>
        <w:tc>
          <w:tcPr>
            <w:tcW w:w="14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50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Rôzna</w:t>
            </w:r>
          </w:p>
        </w:tc>
        <w:tc>
          <w:tcPr>
            <w:tcW w:w="14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jednorazový odpis</w:t>
            </w:r>
          </w:p>
        </w:tc>
        <w:tc>
          <w:tcPr>
            <w:tcW w:w="14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18"/>
          <w:szCs w:val="18"/>
          <w:lang w:val="sk-SK"/>
        </w:rPr>
      </w:pPr>
    </w:p>
    <w:p>
      <w:pPr>
        <w:pStyle w:val="3"/>
        <w:bidi w:val="0"/>
        <w:rPr>
          <w:rFonts w:hint="default"/>
          <w:lang w:val="sk-SK"/>
        </w:rPr>
      </w:pPr>
      <w:r>
        <w:rPr>
          <w:rFonts w:hint="default"/>
          <w:lang w:val="sk-SK"/>
        </w:rPr>
        <w:t>V roku 2022 bolo odpisovanie majetku prerušené. Výška daňových odpisov bola 258 689.27 EUR.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18"/>
          <w:szCs w:val="18"/>
          <w:lang w:val="sk-SK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Dotácie zo štátneho rozpočtu</w:t>
      </w:r>
      <w:bookmarkStart w:id="8" w:name="_GoBack"/>
      <w:bookmarkEnd w:id="8"/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  <w:szCs w:val="18"/>
        </w:rPr>
        <w:br w:type="textWrapping"/>
      </w:r>
      <w:r>
        <w:rPr>
          <w:sz w:val="18"/>
          <w:szCs w:val="18"/>
        </w:rPr>
        <w:t xml:space="preserve">z tohto dlhodobého majetku.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Oprava významných chýb minulých účtovných období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aktív súvahy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bookmarkStart w:id="4" w:name="_2et92p0" w:colFirst="0" w:colLast="0"/>
      <w:bookmarkEnd w:id="4"/>
      <w:r>
        <w:rPr>
          <w:b/>
          <w:color w:val="000000"/>
          <w:sz w:val="18"/>
          <w:szCs w:val="18"/>
        </w:rPr>
        <w:t>Informácia o goodwille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Dôvod vzniku goodvilu: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Spôsob výpočtu: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Odpisovanie:</w:t>
      </w:r>
    </w:p>
    <w:p>
      <w:pPr>
        <w:pStyle w:val="3"/>
        <w:spacing w:after="200" w:line="276" w:lineRule="auto"/>
        <w:rPr>
          <w:b/>
          <w:smallCaps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pasív súvahy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 záväzkoch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Celková suma záväzkov so zostatkovou dobou splatnosti dlhšou ako 5 rokov:  0</w:t>
      </w:r>
    </w:p>
    <w:p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rPr>
                <w:rFonts w:hint="default"/>
                <w:lang w:val="sk-SK"/>
              </w:rPr>
              <w:t>11789,85</w:t>
            </w:r>
          </w:p>
          <w:p>
            <w:pPr>
              <w:pStyle w:val="3"/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</w:p>
    <w:p>
      <w:pPr>
        <w:pStyle w:val="3"/>
      </w:pPr>
    </w:p>
    <w:p>
      <w:pPr>
        <w:pStyle w:val="3"/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18"/>
          <w:szCs w:val="18"/>
        </w:rPr>
      </w:pPr>
    </w:p>
    <w:p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>
      <w:pPr>
        <w:pStyle w:val="3"/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>
            <w:pPr>
              <w:pStyle w:val="3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3"/>
              <w:jc w:val="center"/>
            </w:pPr>
            <w: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>
            <w:pPr>
              <w:pStyle w:val="3"/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NÁKLADOCH A výnosoch</w:t>
      </w: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360"/>
        <w:rPr>
          <w:b/>
          <w:color w:val="000000"/>
          <w:sz w:val="18"/>
          <w:szCs w:val="18"/>
        </w:rPr>
      </w:pPr>
      <w:bookmarkStart w:id="5" w:name="_tyjcwt" w:colFirst="0" w:colLast="0"/>
      <w:bookmarkEnd w:id="5"/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 nákladoch a výnosoch, ktoré majú výnimočný rozsah alebo výskyt: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Nenastali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iných aktívach a iných pasívach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neeviduje iné aktíva a iné pasíva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Významné položky prenajatého majetku</w:t>
      </w:r>
    </w:p>
    <w:p>
      <w:pPr>
        <w:pStyle w:val="3"/>
        <w:rPr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odpísaných pohľadávkach</w:t>
      </w:r>
    </w:p>
    <w:p>
      <w:pPr>
        <w:pStyle w:val="3"/>
        <w:rPr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na podsúvahovej evidencii eviduje odpísané pohľadávky vo hodnote  0,- EUR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poistení majetk</w:t>
      </w:r>
      <w:r>
        <w:rPr>
          <w:color w:val="000000"/>
          <w:sz w:val="18"/>
          <w:szCs w:val="18"/>
        </w:rPr>
        <w:t>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Celý majetok spoločnosti </w:t>
      </w:r>
      <w:r>
        <w:rPr>
          <w:rFonts w:hint="default"/>
          <w:color w:val="000000"/>
          <w:sz w:val="18"/>
          <w:szCs w:val="18"/>
          <w:lang w:val="sk-SK"/>
        </w:rPr>
        <w:t>KOMI GROUP,</w:t>
      </w:r>
      <w:r>
        <w:rPr>
          <w:color w:val="000000"/>
          <w:sz w:val="18"/>
          <w:szCs w:val="18"/>
        </w:rPr>
        <w:t xml:space="preserve"> s.r.o., je poistený v spoločnosti KOOPERATÍVA poisťovňa a.s.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6" w:name="_3dy6vkm" w:colFirst="0" w:colLast="0"/>
      <w:bookmarkEnd w:id="6"/>
      <w:r>
        <w:rPr>
          <w:b/>
          <w:smallCaps/>
          <w:color w:val="000000"/>
          <w:sz w:val="18"/>
          <w:szCs w:val="18"/>
        </w:rPr>
        <w:t>Informácie o skutočnostiach, ktoré nastali po dni, ku ktorému sa zostavuje účtovná závierka, do dňa zostavenia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 31. decembri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 xml:space="preserve"> nenastali žiadne zmeny, ktoré by mali významný vplyv na verné zobrazenie skutočnosti, ktoré sú predmetom účtovníctva.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bookmarkStart w:id="7" w:name="_1t3h5sf" w:colFirst="0" w:colLast="0"/>
      <w:bookmarkEnd w:id="7"/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5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9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8</w:t>
          </w:r>
        </w:p>
      </w:tc>
    </w:tr>
  </w:tbl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</w:tr>
  </w:tbl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27E6C9D"/>
    <w:rsid w:val="2D2506EA"/>
    <w:rsid w:val="34B6466F"/>
    <w:rsid w:val="5E336982"/>
    <w:rsid w:val="64AD6003"/>
    <w:rsid w:val="77F677C3"/>
    <w:rsid w:val="7FC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qFormat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uiPriority w:val="99"/>
  </w:style>
  <w:style w:type="character" w:customStyle="1" w:styleId="23">
    <w:name w:val="Päta Char"/>
    <w:basedOn w:val="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1801</Words>
  <Characters>10272</Characters>
  <Lines>85</Lines>
  <Paragraphs>24</Paragraphs>
  <TotalTime>12</TotalTime>
  <ScaleCrop>false</ScaleCrop>
  <LinksUpToDate>false</LinksUpToDate>
  <CharactersWithSpaces>12049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dcterms:modified xsi:type="dcterms:W3CDTF">2023-03-21T12:04:20Z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16571832BFD548B097B0AE04C53E3D07</vt:lpwstr>
  </property>
</Properties>
</file>