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bookmarkStart w:id="0" w:name="_gjdgxs" w:colFirst="0" w:colLast="0"/>
      <w:bookmarkEnd w:id="0"/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r>
        <w:rPr>
          <w:b/>
          <w:smallCaps/>
          <w:color w:val="000000"/>
          <w:sz w:val="18"/>
          <w:szCs w:val="18"/>
        </w:rPr>
        <w:t>Informácie o účtovnej jednotke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Založenie spoločnosti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Spoločnosť: </w:t>
      </w:r>
      <w:r>
        <w:rPr>
          <w:rFonts w:hint="default"/>
          <w:color w:val="000000"/>
          <w:sz w:val="18"/>
          <w:szCs w:val="18"/>
          <w:lang w:val="sk-SK"/>
        </w:rPr>
        <w:t>KOMI GROUP</w:t>
      </w:r>
      <w:r>
        <w:rPr>
          <w:color w:val="000000"/>
          <w:sz w:val="18"/>
          <w:szCs w:val="18"/>
        </w:rPr>
        <w:t>, s.r.o. (ďalej len Spoločnosť)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Sídlo: Chotčanská 2, 091 01  Stropkov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rFonts w:hint="default"/>
          <w:color w:val="000000"/>
          <w:sz w:val="18"/>
          <w:szCs w:val="18"/>
          <w:lang w:val="sk-SK"/>
        </w:rPr>
      </w:pPr>
      <w:r>
        <w:rPr>
          <w:color w:val="000000"/>
          <w:sz w:val="18"/>
          <w:szCs w:val="18"/>
        </w:rPr>
        <w:t>Založená dňa:  2</w:t>
      </w:r>
      <w:r>
        <w:rPr>
          <w:rFonts w:hint="default"/>
          <w:color w:val="000000"/>
          <w:sz w:val="18"/>
          <w:szCs w:val="18"/>
          <w:lang w:val="sk-SK"/>
        </w:rPr>
        <w:t>2</w:t>
      </w:r>
      <w:r>
        <w:rPr>
          <w:color w:val="000000"/>
          <w:sz w:val="18"/>
          <w:szCs w:val="18"/>
        </w:rPr>
        <w:t>.</w:t>
      </w:r>
      <w:r>
        <w:rPr>
          <w:rFonts w:hint="default"/>
          <w:color w:val="000000"/>
          <w:sz w:val="18"/>
          <w:szCs w:val="18"/>
          <w:lang w:val="sk-SK"/>
        </w:rPr>
        <w:t>10</w:t>
      </w:r>
      <w:r>
        <w:rPr>
          <w:color w:val="000000"/>
          <w:sz w:val="18"/>
          <w:szCs w:val="18"/>
        </w:rPr>
        <w:t>.</w:t>
      </w:r>
      <w:r>
        <w:rPr>
          <w:rFonts w:hint="default"/>
          <w:color w:val="000000"/>
          <w:sz w:val="18"/>
          <w:szCs w:val="18"/>
          <w:lang w:val="sk-SK"/>
        </w:rPr>
        <w:t>2001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Do obchodného registra bola zapísaná dňa: 2</w:t>
      </w:r>
      <w:r>
        <w:rPr>
          <w:rFonts w:hint="default"/>
          <w:color w:val="000000"/>
          <w:sz w:val="18"/>
          <w:szCs w:val="18"/>
          <w:lang w:val="sk-SK"/>
        </w:rPr>
        <w:t>2</w:t>
      </w:r>
      <w:r>
        <w:rPr>
          <w:color w:val="000000"/>
          <w:sz w:val="18"/>
          <w:szCs w:val="18"/>
        </w:rPr>
        <w:t>.</w:t>
      </w:r>
      <w:r>
        <w:rPr>
          <w:rFonts w:hint="default"/>
          <w:color w:val="000000"/>
          <w:sz w:val="18"/>
          <w:szCs w:val="18"/>
          <w:lang w:val="sk-SK"/>
        </w:rPr>
        <w:t>10</w:t>
      </w:r>
      <w:r>
        <w:rPr>
          <w:color w:val="000000"/>
          <w:sz w:val="18"/>
          <w:szCs w:val="18"/>
        </w:rPr>
        <w:t>.</w:t>
      </w:r>
      <w:r>
        <w:rPr>
          <w:rFonts w:hint="default"/>
          <w:color w:val="000000"/>
          <w:sz w:val="18"/>
          <w:szCs w:val="18"/>
          <w:lang w:val="sk-SK"/>
        </w:rPr>
        <w:t>2001</w:t>
      </w:r>
      <w:r>
        <w:rPr>
          <w:color w:val="000000"/>
          <w:sz w:val="18"/>
          <w:szCs w:val="18"/>
        </w:rPr>
        <w:t xml:space="preserve">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(Obchodný register Okresného súdu Prešov, oddiel s.r.o., vložka </w:t>
      </w:r>
      <w:r>
        <w:rPr>
          <w:rFonts w:hint="default"/>
          <w:color w:val="000000"/>
          <w:sz w:val="18"/>
          <w:szCs w:val="18"/>
          <w:lang w:val="sk-SK"/>
        </w:rPr>
        <w:t>1</w:t>
      </w:r>
      <w:r>
        <w:rPr>
          <w:color w:val="000000"/>
          <w:sz w:val="18"/>
          <w:szCs w:val="18"/>
        </w:rPr>
        <w:t>3</w:t>
      </w:r>
      <w:r>
        <w:rPr>
          <w:rFonts w:hint="default"/>
          <w:color w:val="000000"/>
          <w:sz w:val="18"/>
          <w:szCs w:val="18"/>
          <w:lang w:val="sk-SK"/>
        </w:rPr>
        <w:t>1</w:t>
      </w:r>
      <w:r>
        <w:rPr>
          <w:color w:val="000000"/>
          <w:sz w:val="18"/>
          <w:szCs w:val="18"/>
        </w:rPr>
        <w:t xml:space="preserve">14/P). </w:t>
      </w:r>
    </w:p>
    <w:p>
      <w:pPr>
        <w:pStyle w:val="3"/>
        <w:rPr>
          <w:sz w:val="18"/>
          <w:szCs w:val="18"/>
        </w:rPr>
      </w:pPr>
    </w:p>
    <w:p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bookmarkStart w:id="1" w:name="_30j0zll" w:colFirst="0" w:colLast="0"/>
      <w:bookmarkEnd w:id="1"/>
      <w:r>
        <w:rPr>
          <w:b/>
          <w:color w:val="000000"/>
          <w:sz w:val="18"/>
          <w:szCs w:val="18"/>
        </w:rPr>
        <w:t xml:space="preserve">Hlavnými činnosťami Spoločnosti sú: </w:t>
      </w:r>
      <w:r>
        <w:rPr>
          <w:rFonts w:hint="default"/>
          <w:b/>
          <w:color w:val="000000"/>
          <w:sz w:val="18"/>
          <w:szCs w:val="18"/>
          <w:lang w:val="sk-SK"/>
        </w:rPr>
        <w:t xml:space="preserve">Pripravné práce k realizácií stavby, uskutočňovanie stavieb a ich zmien, </w:t>
      </w:r>
    </w:p>
    <w:p>
      <w:pPr>
        <w:pStyle w:val="3"/>
        <w:keepNext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Chars="0"/>
        <w:rPr>
          <w:rFonts w:hint="default"/>
          <w:b/>
          <w:color w:val="000000"/>
          <w:sz w:val="18"/>
          <w:szCs w:val="18"/>
          <w:lang w:val="sk-SK"/>
        </w:rPr>
      </w:pPr>
      <w:r>
        <w:rPr>
          <w:rFonts w:hint="default"/>
          <w:b/>
          <w:color w:val="000000"/>
          <w:sz w:val="18"/>
          <w:szCs w:val="18"/>
          <w:lang w:val="sk-SK"/>
        </w:rPr>
        <w:t xml:space="preserve">        Prenájom hnuteľných vecí a nehnuteľností</w:t>
      </w:r>
      <w:r>
        <w:rPr>
          <w:rFonts w:hint="default"/>
          <w:b/>
          <w:color w:val="000000"/>
          <w:sz w:val="18"/>
          <w:szCs w:val="18"/>
          <w:lang w:val="sk-SK"/>
        </w:rPr>
        <w:tab/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</w:p>
    <w:p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Údaje o neobmedzenom ručení</w:t>
      </w:r>
    </w:p>
    <w:p>
      <w:pPr>
        <w:pStyle w:val="3"/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nie je neobmedzene ručiacim spoločníkom v iných spoločnostiach podľa § 56 ods. 5 Obchodného zákonníka.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Právny dôvod na zostavenie účtovnej závierky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>Účtovná závierka Spoločnosti k 31. decembru 202</w:t>
      </w:r>
      <w:r>
        <w:rPr>
          <w:rFonts w:hint="default"/>
          <w:color w:val="000000"/>
          <w:sz w:val="18"/>
          <w:szCs w:val="18"/>
          <w:lang w:val="sk-SK"/>
        </w:rPr>
        <w:t>2</w:t>
      </w:r>
      <w:r>
        <w:rPr>
          <w:color w:val="000000"/>
          <w:sz w:val="18"/>
          <w:szCs w:val="18"/>
        </w:rPr>
        <w:t xml:space="preserve"> je zostavená ako riadna účtovná závierka podľa § 17 ods. 6 zákona NR SR č. 431/2002 Z. z. o účtovníctve za účtovné obdobie od 1. januára 202</w:t>
      </w:r>
      <w:r>
        <w:rPr>
          <w:rFonts w:hint="default"/>
          <w:color w:val="000000"/>
          <w:sz w:val="18"/>
          <w:szCs w:val="18"/>
          <w:lang w:val="sk-SK"/>
        </w:rPr>
        <w:t>2</w:t>
      </w:r>
      <w:r>
        <w:rPr>
          <w:color w:val="000000"/>
          <w:sz w:val="18"/>
          <w:szCs w:val="18"/>
        </w:rPr>
        <w:t xml:space="preserve"> do 31. decembra 202</w:t>
      </w:r>
      <w:r>
        <w:rPr>
          <w:rFonts w:hint="default"/>
          <w:color w:val="000000"/>
          <w:sz w:val="18"/>
          <w:szCs w:val="18"/>
          <w:lang w:val="sk-SK"/>
        </w:rPr>
        <w:t>2</w:t>
      </w:r>
      <w:r>
        <w:rPr>
          <w:color w:val="000000"/>
          <w:sz w:val="18"/>
          <w:szCs w:val="18"/>
        </w:rPr>
        <w:t>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18"/>
          <w:szCs w:val="18"/>
        </w:rPr>
      </w:pPr>
    </w:p>
    <w:p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Dátum schválenia účtovnej závierky za predchádzajúce účtovné obdobie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ab/>
      </w:r>
    </w:p>
    <w:p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 xml:space="preserve">Počet zamestnancov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Údaje o počte zamestnancov za bežné účtovné obdobie sú uvedené v nasledujúcom prehľade: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 xml:space="preserve"> 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b/>
          <w:color w:val="000000"/>
          <w:sz w:val="18"/>
          <w:szCs w:val="18"/>
        </w:rPr>
      </w:pPr>
    </w:p>
    <w:tbl>
      <w:tblPr>
        <w:tblStyle w:val="16"/>
        <w:tblW w:w="6511" w:type="dxa"/>
        <w:jc w:val="center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793"/>
        <w:gridCol w:w="2718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blHeader/>
          <w:jc w:val="center"/>
        </w:trPr>
        <w:tc>
          <w:tcPr>
            <w:tcW w:w="3793" w:type="dxa"/>
            <w:tcBorders>
              <w:top w:val="single" w:color="000000" w:sz="12" w:space="0"/>
              <w:bottom w:val="nil"/>
              <w:right w:val="single" w:color="000000" w:sz="12" w:space="0"/>
            </w:tcBorders>
            <w:vAlign w:val="center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426"/>
              <w:jc w:val="both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2718" w:type="dxa"/>
            <w:tcBorders>
              <w:top w:val="single" w:color="000000" w:sz="12" w:space="0"/>
              <w:left w:val="single" w:color="000000" w:sz="12" w:space="0"/>
              <w:bottom w:val="nil"/>
              <w:right w:val="single" w:color="000000" w:sz="12" w:space="0"/>
            </w:tcBorders>
            <w:vAlign w:val="center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426"/>
              <w:jc w:val="both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Bežné účtovné obdobie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340" w:hRule="atLeast"/>
          <w:tblHeader/>
          <w:jc w:val="center"/>
        </w:trPr>
        <w:tc>
          <w:tcPr>
            <w:tcW w:w="3793" w:type="dxa"/>
            <w:tcBorders>
              <w:top w:val="single" w:color="000000" w:sz="12" w:space="0"/>
              <w:right w:val="single" w:color="000000" w:sz="12" w:space="0"/>
            </w:tcBorders>
            <w:vAlign w:val="center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426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718" w:type="dxa"/>
            <w:tcBorders>
              <w:top w:val="single" w:color="000000" w:sz="12" w:space="0"/>
              <w:left w:val="single" w:color="000000" w:sz="12" w:space="0"/>
              <w:right w:val="single" w:color="000000" w:sz="12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426"/>
              <w:jc w:val="both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0</w:t>
            </w:r>
          </w:p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both"/>
              <w:rPr>
                <w:color w:val="000000"/>
                <w:sz w:val="18"/>
                <w:szCs w:val="18"/>
              </w:rPr>
            </w:pPr>
          </w:p>
        </w:tc>
      </w:tr>
    </w:tbl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18"/>
          <w:szCs w:val="18"/>
        </w:rPr>
      </w:pPr>
    </w:p>
    <w:p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Informácie o orgánoch účtovnej jednotky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color w:val="000000"/>
          <w:sz w:val="18"/>
          <w:szCs w:val="18"/>
        </w:rPr>
        <w:t>Výška jednotlivých druhov záruk alebo iných zabezpečení poskytnutých pre členov štatutárneho orgánu, dozorného orgánu a iného orgánu ÚJ:</w:t>
      </w:r>
    </w:p>
    <w:p>
      <w:pPr>
        <w:pStyle w:val="3"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color w:val="000000"/>
          <w:sz w:val="18"/>
          <w:szCs w:val="18"/>
        </w:rPr>
        <w:t>Informácia o pôžičkách: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Celková suma poskytnutých pôžičiek k 31.12. bežného obdobia podľa jednotlivých orgánov: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>Konateľ: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>Predseda predstavenstva: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>Člen predstavenstva: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Celková suma splatených pôžičiek za posledné účtovné obdobie: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 w:firstLine="63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Konateľ: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>Predseda predstavenstva: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>Člen predstavenstva: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Celková suma odpustených pôžičiek a odpísaných pôžičiek k 31.12. bežného obdobia: 0,- €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V aktuálnom účtovnom období neboli odpustené ani odpísané žiadne pôžičky.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18"/>
          <w:szCs w:val="18"/>
        </w:rPr>
      </w:pPr>
    </w:p>
    <w:p>
      <w:pPr>
        <w:pStyle w:val="3"/>
      </w:pPr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r>
        <w:rPr>
          <w:b/>
          <w:smallCaps/>
          <w:color w:val="000000"/>
          <w:sz w:val="18"/>
          <w:szCs w:val="18"/>
        </w:rPr>
        <w:t>Informácie o konsolidovanom celku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</w:p>
    <w:p>
      <w:pPr>
        <w:pStyle w:val="3"/>
      </w:pPr>
      <w:bookmarkStart w:id="2" w:name="_1fob9te" w:colFirst="0" w:colLast="0"/>
      <w:bookmarkEnd w:id="2"/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r>
        <w:rPr>
          <w:b/>
          <w:smallCaps/>
          <w:color w:val="000000"/>
          <w:sz w:val="18"/>
          <w:szCs w:val="18"/>
        </w:rPr>
        <w:t xml:space="preserve">Informácie o účtovných zásadách a účtovných metódach 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</w:pPr>
      <w:r>
        <w:rPr>
          <w:b/>
          <w:color w:val="000000"/>
          <w:sz w:val="18"/>
          <w:szCs w:val="18"/>
        </w:rPr>
        <w:t>Východiská pre zostavenie účtovnej závierky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Účtovná závierka bola zostavená za predpokladu, že Spoločnosť bude nepretržite pokračovať vo svojej činnosti (goingconcern).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</w:pPr>
      <w:r>
        <w:rPr>
          <w:b/>
          <w:color w:val="000000"/>
          <w:sz w:val="18"/>
          <w:szCs w:val="18"/>
        </w:rPr>
        <w:t>Počas účtovného obdobia neboli prijaté zmeny účtovných zásad a účtovných metód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</w:pPr>
      <w:r>
        <w:rPr>
          <w:b/>
          <w:color w:val="000000"/>
          <w:sz w:val="18"/>
          <w:szCs w:val="18"/>
        </w:rPr>
        <w:t>Účtovné metódy a všeobecné účtovné zásady pri oceňovaní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Dlhodobý nehmotný majetok a dlhodobý hmotný majetok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Cenné papiere a podiely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Cenné papiere na obchodovanie sa pri ich obstaraní oceňujú reálnou hodnotou.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 xml:space="preserve">Zásoby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Zásoby sa oceňujú obstarávacou cenou.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Spoločnosť účtuje  zásoby spôsobom B.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Peňažné prostriedky a ceniny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Peňažné prostriedky a ceniny sa oceňujú ich menovitou hodnotou. Zníženie ich hodnoty sa vyjadruje opravnou položkou.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Cudzia mena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Na ocenenie prírastku cudzej meny nakúpenej za euro sa použije kurz, za ktorý bola táto cudzia mena nakúpená.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Výnosy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Zákazková výroba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Nemáme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Zákazková výstavba nehnuteľnosti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  <w:highlight w:val="yellow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b/>
          <w:i/>
          <w:color w:val="000000"/>
          <w:sz w:val="18"/>
          <w:szCs w:val="18"/>
        </w:rPr>
      </w:pPr>
      <w:r>
        <w:rPr>
          <w:b/>
          <w:i/>
          <w:color w:val="000000"/>
          <w:sz w:val="18"/>
          <w:szCs w:val="18"/>
        </w:rPr>
        <w:t>Nemáme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Pohľadávky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Náklady budúcich období a príjmy budúcich období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Náklady budúcich období a príjmy budúcich období sa vykazujú vo výške, ktorá je potrebná na dodržanie zásady vecnej a časovej súvislosti s účtovným obdobím.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Rezervy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b/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Záväzky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4"/>
          <w:szCs w:val="24"/>
        </w:rPr>
      </w:pPr>
      <w:r>
        <w:rPr>
          <w:color w:val="000000"/>
          <w:sz w:val="18"/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b/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Výdavky budúcich období a výnosy budúcich období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Výdavky budúcich období a výnosy budúcich období sa vykazujú vo výške, ktorá je potrebná na dodržanie zásady vecnej a časovej súvislosti s účtovným obdobím.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Prenájom (lízing)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Majetok prenajatý na základe operatívneho prenájmu vykazuje ako svoj majetok jeho vlastník, nie nájomca.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Odložené dane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Odložené dane (odložená daňová pohľadávka a odložený daňový záväzok) sa vzťahujú na: </w:t>
      </w:r>
    </w:p>
    <w:p>
      <w:pPr>
        <w:pStyle w:val="3"/>
        <w:numPr>
          <w:ilvl w:val="0"/>
          <w:numId w:val="5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color w:val="000000"/>
          <w:sz w:val="18"/>
          <w:szCs w:val="18"/>
        </w:rPr>
        <w:t>dočasné rozdiely medzi účtovnou hodnotou majetku a účtovnou hodnotou záväzkov vykázanou v súvahe a ich daňovou základňou,</w:t>
      </w:r>
    </w:p>
    <w:p>
      <w:pPr>
        <w:pStyle w:val="3"/>
        <w:numPr>
          <w:ilvl w:val="0"/>
          <w:numId w:val="5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color w:val="000000"/>
          <w:sz w:val="18"/>
          <w:szCs w:val="18"/>
        </w:rPr>
        <w:t>možnosť umorovať daňovú stratu v budúcnosti, ktorou sa rozumie možnosť odpočítať daňovú stratu od základu dane v budúcnosti,</w:t>
      </w:r>
    </w:p>
    <w:p>
      <w:pPr>
        <w:pStyle w:val="3"/>
        <w:numPr>
          <w:ilvl w:val="0"/>
          <w:numId w:val="5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color w:val="000000"/>
          <w:sz w:val="18"/>
          <w:szCs w:val="18"/>
        </w:rPr>
        <w:t>možnosť previesť nevyužité daňové odpočty a iné daňové nároky do budúcich období.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6"/>
          <w:szCs w:val="16"/>
        </w:rPr>
      </w:pPr>
    </w:p>
    <w:p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</w:pPr>
      <w:bookmarkStart w:id="3" w:name="_3znysh7" w:colFirst="0" w:colLast="0"/>
      <w:bookmarkEnd w:id="3"/>
      <w:r>
        <w:rPr>
          <w:b/>
          <w:color w:val="000000"/>
          <w:sz w:val="18"/>
          <w:szCs w:val="18"/>
        </w:rPr>
        <w:t>Tvorba odpisovaného plánu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tbl>
      <w:tblPr>
        <w:tblStyle w:val="17"/>
        <w:tblW w:w="8788" w:type="dxa"/>
        <w:tblInd w:w="456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956"/>
        <w:gridCol w:w="160"/>
        <w:gridCol w:w="1972"/>
        <w:gridCol w:w="160"/>
        <w:gridCol w:w="1690"/>
        <w:gridCol w:w="160"/>
        <w:gridCol w:w="169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8" w:type="dxa"/>
            <w:gridSpan w:val="2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85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Predpokladaná</w:t>
            </w:r>
          </w:p>
        </w:tc>
        <w:tc>
          <w:tcPr>
            <w:tcW w:w="141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Metóda</w:t>
            </w:r>
          </w:p>
        </w:tc>
        <w:tc>
          <w:tcPr>
            <w:tcW w:w="142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Ročná odpisová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2976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42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85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sadzba v %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2976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Budovy pre administratívu, bytové</w:t>
            </w:r>
          </w:p>
        </w:tc>
        <w:tc>
          <w:tcPr>
            <w:tcW w:w="142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85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40</w:t>
            </w:r>
          </w:p>
        </w:tc>
        <w:tc>
          <w:tcPr>
            <w:tcW w:w="141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linárna</w:t>
            </w:r>
          </w:p>
        </w:tc>
        <w:tc>
          <w:tcPr>
            <w:tcW w:w="142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2,5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8" w:type="dxa"/>
            <w:gridSpan w:val="2"/>
            <w:tcBorders>
              <w:top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Budovy pre obchod, priemysel</w:t>
            </w:r>
          </w:p>
        </w:tc>
        <w:tc>
          <w:tcPr>
            <w:tcW w:w="1985" w:type="dxa"/>
            <w:tcBorders>
              <w:top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8" w:type="dxa"/>
            <w:gridSpan w:val="2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Lode, lietadlá, železničné lokomotívy</w:t>
            </w:r>
          </w:p>
        </w:tc>
        <w:tc>
          <w:tcPr>
            <w:tcW w:w="1985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12</w:t>
            </w:r>
          </w:p>
        </w:tc>
        <w:tc>
          <w:tcPr>
            <w:tcW w:w="141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lineárna</w:t>
            </w:r>
          </w:p>
        </w:tc>
        <w:tc>
          <w:tcPr>
            <w:tcW w:w="142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8,3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8" w:type="dxa"/>
            <w:gridSpan w:val="2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Elektrické motory,turbíny, pece,horáky</w:t>
            </w:r>
          </w:p>
        </w:tc>
        <w:tc>
          <w:tcPr>
            <w:tcW w:w="1985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8</w:t>
            </w:r>
          </w:p>
        </w:tc>
        <w:tc>
          <w:tcPr>
            <w:tcW w:w="141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lineárna</w:t>
            </w:r>
          </w:p>
        </w:tc>
        <w:tc>
          <w:tcPr>
            <w:tcW w:w="142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12,5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8" w:type="dxa"/>
            <w:gridSpan w:val="2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Benzinový os. automobil, počítač, projek</w:t>
            </w:r>
          </w:p>
        </w:tc>
        <w:tc>
          <w:tcPr>
            <w:tcW w:w="1985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4</w:t>
            </w:r>
          </w:p>
        </w:tc>
        <w:tc>
          <w:tcPr>
            <w:tcW w:w="141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lineárna</w:t>
            </w:r>
          </w:p>
        </w:tc>
        <w:tc>
          <w:tcPr>
            <w:tcW w:w="142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25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8" w:type="dxa"/>
            <w:gridSpan w:val="2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Elektromobil</w:t>
            </w:r>
          </w:p>
        </w:tc>
        <w:tc>
          <w:tcPr>
            <w:tcW w:w="1985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2</w:t>
            </w:r>
          </w:p>
        </w:tc>
        <w:tc>
          <w:tcPr>
            <w:tcW w:w="141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Lineárna</w:t>
            </w:r>
          </w:p>
        </w:tc>
        <w:tc>
          <w:tcPr>
            <w:tcW w:w="142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50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8" w:type="dxa"/>
            <w:gridSpan w:val="2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Rôzna</w:t>
            </w:r>
          </w:p>
        </w:tc>
        <w:tc>
          <w:tcPr>
            <w:tcW w:w="141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jednorazový odpis</w:t>
            </w:r>
          </w:p>
        </w:tc>
        <w:tc>
          <w:tcPr>
            <w:tcW w:w="142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8" w:type="dxa"/>
            <w:gridSpan w:val="2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85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41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42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</w:tbl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rFonts w:hint="default"/>
          <w:b/>
          <w:color w:val="000000"/>
          <w:sz w:val="18"/>
          <w:szCs w:val="18"/>
          <w:lang w:val="sk-SK"/>
        </w:rPr>
      </w:pPr>
    </w:p>
    <w:p>
      <w:pPr>
        <w:pStyle w:val="3"/>
        <w:bidi w:val="0"/>
        <w:rPr>
          <w:rFonts w:hint="default"/>
          <w:lang w:val="sk-SK"/>
        </w:rPr>
      </w:pPr>
      <w:r>
        <w:rPr>
          <w:rFonts w:hint="default"/>
          <w:lang w:val="sk-SK"/>
        </w:rPr>
        <w:t>V roku 2022 bolo odpisovanie majetku prerušené. Výška daňových odpisov bola 258 689.27 EUR.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rFonts w:hint="default"/>
          <w:b/>
          <w:color w:val="000000"/>
          <w:sz w:val="18"/>
          <w:szCs w:val="18"/>
          <w:lang w:val="sk-SK"/>
        </w:rPr>
      </w:pPr>
    </w:p>
    <w:p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</w:pPr>
      <w:r>
        <w:rPr>
          <w:b/>
          <w:color w:val="000000"/>
          <w:sz w:val="18"/>
          <w:szCs w:val="18"/>
        </w:rPr>
        <w:t>Dotácie zo štátneho rozpočtu</w:t>
      </w:r>
      <w:bookmarkStart w:id="8" w:name="_GoBack"/>
      <w:bookmarkEnd w:id="8"/>
    </w:p>
    <w:p>
      <w:pPr>
        <w:pStyle w:val="3"/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>
      <w:pPr>
        <w:pStyle w:val="3"/>
        <w:ind w:left="450"/>
        <w:jc w:val="both"/>
        <w:rPr>
          <w:sz w:val="18"/>
          <w:szCs w:val="18"/>
        </w:rPr>
      </w:pPr>
    </w:p>
    <w:p>
      <w:pPr>
        <w:pStyle w:val="3"/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>
      <w:pPr>
        <w:pStyle w:val="3"/>
        <w:ind w:left="450"/>
        <w:jc w:val="both"/>
        <w:rPr>
          <w:sz w:val="18"/>
          <w:szCs w:val="18"/>
        </w:rPr>
      </w:pPr>
    </w:p>
    <w:p>
      <w:pPr>
        <w:pStyle w:val="3"/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  <w:szCs w:val="18"/>
        </w:rPr>
        <w:br w:type="textWrapping"/>
      </w:r>
      <w:r>
        <w:rPr>
          <w:sz w:val="18"/>
          <w:szCs w:val="18"/>
        </w:rPr>
        <w:t xml:space="preserve">z tohto dlhodobého majetku. </w:t>
      </w:r>
    </w:p>
    <w:p>
      <w:pPr>
        <w:pStyle w:val="3"/>
        <w:ind w:left="450"/>
        <w:jc w:val="both"/>
        <w:rPr>
          <w:sz w:val="18"/>
          <w:szCs w:val="18"/>
        </w:rPr>
      </w:pPr>
    </w:p>
    <w:p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</w:pPr>
      <w:r>
        <w:rPr>
          <w:b/>
          <w:color w:val="000000"/>
          <w:sz w:val="18"/>
          <w:szCs w:val="18"/>
        </w:rPr>
        <w:t>Oprava významných chýb minulých účtovných období</w:t>
      </w:r>
    </w:p>
    <w:p>
      <w:pPr>
        <w:pStyle w:val="3"/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>
      <w:pPr>
        <w:pStyle w:val="3"/>
        <w:ind w:left="450"/>
        <w:jc w:val="both"/>
        <w:rPr>
          <w:sz w:val="18"/>
          <w:szCs w:val="18"/>
        </w:rPr>
      </w:pPr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r>
        <w:rPr>
          <w:b/>
          <w:smallCaps/>
          <w:color w:val="000000"/>
          <w:sz w:val="18"/>
          <w:szCs w:val="18"/>
        </w:rPr>
        <w:t>informácie o údajoch na strane aktív súvahy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center" w:pos="4536"/>
          <w:tab w:val="right" w:pos="9072"/>
        </w:tabs>
        <w:jc w:val="both"/>
        <w:rPr>
          <w:color w:val="000000"/>
          <w:sz w:val="18"/>
          <w:szCs w:val="18"/>
        </w:rPr>
      </w:pPr>
    </w:p>
    <w:p>
      <w:pPr>
        <w:pStyle w:val="3"/>
        <w:keepNext/>
        <w:numPr>
          <w:ilvl w:val="0"/>
          <w:numId w:val="6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bookmarkStart w:id="4" w:name="_2et92p0" w:colFirst="0" w:colLast="0"/>
      <w:bookmarkEnd w:id="4"/>
      <w:r>
        <w:rPr>
          <w:b/>
          <w:color w:val="000000"/>
          <w:sz w:val="18"/>
          <w:szCs w:val="18"/>
        </w:rPr>
        <w:t>Informácia o goodwille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Dôvod vzniku goodvilu: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Spôsob výpočtu: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Odpisovanie:</w:t>
      </w:r>
    </w:p>
    <w:p>
      <w:pPr>
        <w:pStyle w:val="3"/>
        <w:spacing w:after="200" w:line="276" w:lineRule="auto"/>
        <w:rPr>
          <w:b/>
          <w:smallCaps/>
          <w:sz w:val="18"/>
          <w:szCs w:val="18"/>
        </w:rPr>
      </w:pPr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r>
        <w:rPr>
          <w:b/>
          <w:smallCaps/>
          <w:color w:val="000000"/>
          <w:sz w:val="18"/>
          <w:szCs w:val="18"/>
        </w:rPr>
        <w:t>Informácie o údajoch na strane pasív súvahy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</w:p>
    <w:p>
      <w:pPr>
        <w:pStyle w:val="3"/>
        <w:keepNext/>
        <w:numPr>
          <w:ilvl w:val="0"/>
          <w:numId w:val="7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Informácie o záväzkoch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8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color w:val="000000"/>
          <w:sz w:val="18"/>
          <w:szCs w:val="18"/>
        </w:rPr>
        <w:t>Celková suma záväzkov so zostatkovou dobou splatnosti dlhšou ako 5 rokov:  0</w:t>
      </w:r>
    </w:p>
    <w:p>
      <w:pPr>
        <w:pStyle w:val="3"/>
        <w:numPr>
          <w:ilvl w:val="0"/>
          <w:numId w:val="8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</w:p>
    <w:tbl>
      <w:tblPr>
        <w:tblStyle w:val="18"/>
        <w:tblW w:w="9466" w:type="dxa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828"/>
        <w:gridCol w:w="2978"/>
        <w:gridCol w:w="266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828" w:type="dxa"/>
            <w:tcBorders>
              <w:top w:val="single" w:color="000000" w:sz="8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vAlign w:val="center"/>
          </w:tcPr>
          <w:p>
            <w:pPr>
              <w:pStyle w:val="3"/>
            </w:pPr>
            <w:r>
              <w:t>Záväzky so zostatkovou dobou splatnosti jeden rok až päť rokov</w:t>
            </w:r>
          </w:p>
        </w:tc>
        <w:tc>
          <w:tcPr>
            <w:tcW w:w="2978" w:type="dxa"/>
            <w:tcBorders>
              <w:top w:val="single" w:color="000000" w:sz="8" w:space="0"/>
              <w:left w:val="single" w:color="000000" w:sz="12" w:space="0"/>
              <w:bottom w:val="single" w:color="000000" w:sz="12" w:space="0"/>
              <w:right w:val="single" w:color="000000" w:sz="8" w:space="0"/>
            </w:tcBorders>
            <w:vAlign w:val="center"/>
          </w:tcPr>
          <w:p>
            <w:pPr>
              <w:pStyle w:val="3"/>
            </w:pPr>
          </w:p>
        </w:tc>
        <w:tc>
          <w:tcPr>
            <w:tcW w:w="2660" w:type="dxa"/>
            <w:tcBorders>
              <w:top w:val="single" w:color="000000" w:sz="8" w:space="0"/>
              <w:left w:val="nil"/>
              <w:bottom w:val="single" w:color="000000" w:sz="12" w:space="0"/>
              <w:right w:val="single" w:color="000000" w:sz="12" w:space="0"/>
            </w:tcBorders>
            <w:vAlign w:val="center"/>
          </w:tcPr>
          <w:p>
            <w:pPr>
              <w:pStyle w:val="3"/>
            </w:pPr>
            <w:r>
              <w:rPr>
                <w:rFonts w:hint="default"/>
                <w:lang w:val="sk-SK"/>
              </w:rPr>
              <w:t>11789,85</w:t>
            </w:r>
          </w:p>
          <w:p>
            <w:pPr>
              <w:pStyle w:val="3"/>
            </w:pPr>
          </w:p>
        </w:tc>
      </w:tr>
    </w:tbl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b/>
          <w:color w:val="000000"/>
          <w:sz w:val="18"/>
          <w:szCs w:val="18"/>
        </w:rPr>
      </w:pPr>
    </w:p>
    <w:p>
      <w:pPr>
        <w:pStyle w:val="3"/>
      </w:pPr>
    </w:p>
    <w:p>
      <w:pPr>
        <w:pStyle w:val="3"/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i/>
          <w:color w:val="000000"/>
          <w:sz w:val="18"/>
          <w:szCs w:val="18"/>
        </w:rPr>
      </w:pPr>
    </w:p>
    <w:p>
      <w:pPr>
        <w:pStyle w:val="3"/>
        <w:numPr>
          <w:ilvl w:val="0"/>
          <w:numId w:val="9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rFonts w:ascii="Arial Narrow" w:hAnsi="Arial Narrow" w:eastAsia="Arial Narrow" w:cs="Arial Narrow"/>
          <w:b/>
          <w:color w:val="000000"/>
          <w:sz w:val="22"/>
          <w:szCs w:val="22"/>
        </w:rPr>
      </w:pPr>
      <w:r>
        <w:rPr>
          <w:rFonts w:ascii="Arial Narrow" w:hAnsi="Arial Narrow" w:eastAsia="Arial Narrow" w:cs="Arial Narrow"/>
          <w:b/>
          <w:color w:val="000000"/>
          <w:sz w:val="22"/>
          <w:szCs w:val="22"/>
        </w:rPr>
        <w:t xml:space="preserve">Informácie k prílohe č. 3 časti F. písm. t) a u) o pohľadávkach zabezpečených záložným právom alebo inou formou zabezpečenia  </w:t>
      </w:r>
    </w:p>
    <w:p>
      <w:pPr>
        <w:pStyle w:val="3"/>
      </w:pPr>
    </w:p>
    <w:tbl>
      <w:tblPr>
        <w:tblStyle w:val="19"/>
        <w:tblW w:w="9466" w:type="dxa"/>
        <w:jc w:val="center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878"/>
        <w:gridCol w:w="2331"/>
        <w:gridCol w:w="2257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blHeader/>
          <w:jc w:val="center"/>
        </w:trPr>
        <w:tc>
          <w:tcPr>
            <w:tcW w:w="4878" w:type="dxa"/>
            <w:vMerge w:val="restart"/>
            <w:tcBorders>
              <w:top w:val="single" w:color="000000" w:sz="12" w:space="0"/>
              <w:bottom w:val="nil"/>
              <w:right w:val="single" w:color="000000" w:sz="12" w:space="0"/>
            </w:tcBorders>
            <w:vAlign w:val="center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Opis predmetu záložného práva</w:t>
            </w:r>
          </w:p>
        </w:tc>
        <w:tc>
          <w:tcPr>
            <w:tcW w:w="4588" w:type="dxa"/>
            <w:gridSpan w:val="2"/>
            <w:tcBorders>
              <w:top w:val="single" w:color="000000" w:sz="12" w:space="0"/>
              <w:left w:val="single" w:color="000000" w:sz="12" w:space="0"/>
              <w:bottom w:val="nil"/>
            </w:tcBorders>
            <w:vAlign w:val="center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Bežné účtovné obdobie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blHeader/>
          <w:jc w:val="center"/>
        </w:trPr>
        <w:tc>
          <w:tcPr>
            <w:tcW w:w="4878" w:type="dxa"/>
            <w:vMerge w:val="continue"/>
            <w:tcBorders>
              <w:top w:val="single" w:color="000000" w:sz="12" w:space="0"/>
              <w:bottom w:val="nil"/>
              <w:right w:val="single" w:color="000000" w:sz="12" w:space="0"/>
            </w:tcBorders>
            <w:vAlign w:val="center"/>
          </w:tcPr>
          <w:p>
            <w:pPr>
              <w:pStyle w:val="3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line="276" w:lineRule="auto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2331" w:type="dxa"/>
            <w:tcBorders>
              <w:top w:val="single" w:color="000000" w:sz="12" w:space="0"/>
              <w:left w:val="single" w:color="000000" w:sz="12" w:space="0"/>
              <w:bottom w:val="nil"/>
              <w:right w:val="single" w:color="000000" w:sz="12" w:space="0"/>
            </w:tcBorders>
            <w:vAlign w:val="center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Hodnota predmetu záložného práva</w:t>
            </w:r>
          </w:p>
        </w:tc>
        <w:tc>
          <w:tcPr>
            <w:tcW w:w="2257" w:type="dxa"/>
            <w:tcBorders>
              <w:top w:val="single" w:color="000000" w:sz="12" w:space="0"/>
              <w:left w:val="single" w:color="000000" w:sz="12" w:space="0"/>
              <w:bottom w:val="nil"/>
            </w:tcBorders>
            <w:vAlign w:val="center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Hodnota</w:t>
            </w: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br w:type="textWrapping"/>
            </w: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 pohľadávky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510" w:hRule="atLeast"/>
          <w:tblHeader/>
          <w:jc w:val="center"/>
        </w:trPr>
        <w:tc>
          <w:tcPr>
            <w:tcW w:w="4878" w:type="dxa"/>
            <w:tcBorders>
              <w:top w:val="single" w:color="000000" w:sz="12" w:space="0"/>
              <w:right w:val="single" w:color="000000" w:sz="12" w:space="0"/>
            </w:tcBorders>
            <w:vAlign w:val="center"/>
          </w:tcPr>
          <w:p>
            <w:pPr>
              <w:pStyle w:val="3"/>
            </w:pPr>
            <w:r>
              <w:t>Pohľadávky kryté záložným právom alebo inou formou zabezpečenia</w:t>
            </w:r>
          </w:p>
        </w:tc>
        <w:tc>
          <w:tcPr>
            <w:tcW w:w="2331" w:type="dxa"/>
            <w:tcBorders>
              <w:top w:val="single" w:color="000000" w:sz="12" w:space="0"/>
              <w:left w:val="single" w:color="000000" w:sz="12" w:space="0"/>
            </w:tcBorders>
            <w:vAlign w:val="center"/>
          </w:tcPr>
          <w:p>
            <w:pPr>
              <w:pStyle w:val="3"/>
            </w:pPr>
          </w:p>
        </w:tc>
        <w:tc>
          <w:tcPr>
            <w:tcW w:w="2257" w:type="dxa"/>
            <w:tcBorders>
              <w:top w:val="single" w:color="000000" w:sz="12" w:space="0"/>
            </w:tcBorders>
            <w:vAlign w:val="center"/>
          </w:tcPr>
          <w:p>
            <w:pPr>
              <w:pStyle w:val="3"/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340" w:hRule="atLeast"/>
          <w:tblHeader/>
          <w:jc w:val="center"/>
        </w:trPr>
        <w:tc>
          <w:tcPr>
            <w:tcW w:w="4878" w:type="dxa"/>
            <w:tcBorders>
              <w:bottom w:val="single" w:color="000000" w:sz="12" w:space="0"/>
              <w:right w:val="single" w:color="000000" w:sz="12" w:space="0"/>
            </w:tcBorders>
            <w:vAlign w:val="center"/>
          </w:tcPr>
          <w:p>
            <w:pPr>
              <w:pStyle w:val="3"/>
            </w:pPr>
            <w:r>
              <w:t>Hodnota pohľadávok, na ktoré sa zriadilo záložné právo</w:t>
            </w:r>
          </w:p>
        </w:tc>
        <w:tc>
          <w:tcPr>
            <w:tcW w:w="2331" w:type="dxa"/>
            <w:tcBorders>
              <w:left w:val="single" w:color="000000" w:sz="12" w:space="0"/>
              <w:bottom w:val="single" w:color="000000" w:sz="12" w:space="0"/>
            </w:tcBorders>
            <w:vAlign w:val="center"/>
          </w:tcPr>
          <w:p>
            <w:pPr>
              <w:pStyle w:val="3"/>
              <w:jc w:val="center"/>
            </w:pPr>
            <w:r>
              <w:t>x</w:t>
            </w:r>
          </w:p>
        </w:tc>
        <w:tc>
          <w:tcPr>
            <w:tcW w:w="2257" w:type="dxa"/>
            <w:tcBorders>
              <w:bottom w:val="single" w:color="000000" w:sz="12" w:space="0"/>
            </w:tcBorders>
            <w:vAlign w:val="center"/>
          </w:tcPr>
          <w:p>
            <w:pPr>
              <w:pStyle w:val="3"/>
            </w:pPr>
          </w:p>
        </w:tc>
      </w:tr>
    </w:tbl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r>
        <w:rPr>
          <w:b/>
          <w:smallCaps/>
          <w:color w:val="000000"/>
          <w:sz w:val="18"/>
          <w:szCs w:val="18"/>
        </w:rPr>
        <w:t>informácie o NÁKLADOCH A výnosoch</w:t>
      </w:r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360"/>
        <w:rPr>
          <w:b/>
          <w:color w:val="000000"/>
          <w:sz w:val="18"/>
          <w:szCs w:val="18"/>
        </w:rPr>
      </w:pPr>
      <w:bookmarkStart w:id="5" w:name="_tyjcwt" w:colFirst="0" w:colLast="0"/>
      <w:bookmarkEnd w:id="5"/>
    </w:p>
    <w:p>
      <w:pPr>
        <w:pStyle w:val="3"/>
        <w:keepNext/>
        <w:numPr>
          <w:ilvl w:val="0"/>
          <w:numId w:val="1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Informácia o nákladoch a výnosoch, ktoré majú výnimočný rozsah alebo výskyt: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Nenastali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r>
        <w:rPr>
          <w:b/>
          <w:smallCaps/>
          <w:color w:val="000000"/>
          <w:sz w:val="18"/>
          <w:szCs w:val="18"/>
        </w:rPr>
        <w:t>Informácie o iných aktívach a iných pasívach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Spoločnosť neeviduje iné aktíva a iné pasíva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keepNext/>
        <w:numPr>
          <w:ilvl w:val="0"/>
          <w:numId w:val="1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Významné položky prenajatého majetku</w:t>
      </w:r>
    </w:p>
    <w:p>
      <w:pPr>
        <w:pStyle w:val="3"/>
        <w:rPr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keepNext/>
        <w:numPr>
          <w:ilvl w:val="0"/>
          <w:numId w:val="1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Informácia o odpísaných pohľadávkach</w:t>
      </w:r>
    </w:p>
    <w:p>
      <w:pPr>
        <w:pStyle w:val="3"/>
        <w:rPr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Spoločnosť na podsúvahovej evidencii eviduje odpísané pohľadávky vo hodnote  0,- EUR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  <w:highlight w:val="yellow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  <w:highlight w:val="yellow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Informácia o poistení majetk</w:t>
      </w:r>
      <w:r>
        <w:rPr>
          <w:color w:val="000000"/>
          <w:sz w:val="18"/>
          <w:szCs w:val="18"/>
        </w:rPr>
        <w:t>u: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Celý majetok spoločnosti </w:t>
      </w:r>
      <w:r>
        <w:rPr>
          <w:rFonts w:hint="default"/>
          <w:color w:val="000000"/>
          <w:sz w:val="18"/>
          <w:szCs w:val="18"/>
          <w:lang w:val="sk-SK"/>
        </w:rPr>
        <w:t>KOMI GROUP,</w:t>
      </w:r>
      <w:r>
        <w:rPr>
          <w:color w:val="000000"/>
          <w:sz w:val="18"/>
          <w:szCs w:val="18"/>
        </w:rPr>
        <w:t xml:space="preserve"> s.r.o., je poistený v spoločnosti KOOPERATÍVA poisťovňa a.s.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bookmarkStart w:id="6" w:name="_3dy6vkm" w:colFirst="0" w:colLast="0"/>
      <w:bookmarkEnd w:id="6"/>
      <w:r>
        <w:rPr>
          <w:b/>
          <w:smallCaps/>
          <w:color w:val="000000"/>
          <w:sz w:val="18"/>
          <w:szCs w:val="18"/>
        </w:rPr>
        <w:t>Informácie o skutočnostiach, ktoré nastali po dni, ku ktorému sa zostavuje účtovná závierka, do dňa zostavenia účtovnej závierky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Po 31. decembri 202</w:t>
      </w:r>
      <w:r>
        <w:rPr>
          <w:rFonts w:hint="default"/>
          <w:color w:val="000000"/>
          <w:sz w:val="18"/>
          <w:szCs w:val="18"/>
          <w:lang w:val="sk-SK"/>
        </w:rPr>
        <w:t>2</w:t>
      </w:r>
      <w:r>
        <w:rPr>
          <w:color w:val="000000"/>
          <w:sz w:val="18"/>
          <w:szCs w:val="18"/>
        </w:rPr>
        <w:t xml:space="preserve"> nenastali žiadne zmeny, ktoré by mali významný vplyv na verné zobrazenie skutočnosti, ktoré sú predmetom účtovníctva.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bookmarkStart w:id="7" w:name="_1t3h5sf" w:colFirst="0" w:colLast="0"/>
      <w:bookmarkEnd w:id="7"/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1111" w:right="992" w:bottom="284" w:left="1418" w:header="425" w:footer="408" w:gutter="0"/>
      <w:pgNumType w:start="1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right" w:pos="9072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 xml:space="preserve">PAGE</w:instrText>
    </w:r>
    <w:r>
      <w:rPr>
        <w:color w:val="000000"/>
      </w:rPr>
      <w:fldChar w:fldCharType="separate"/>
    </w:r>
    <w:r>
      <w:rPr>
        <w:color w:val="000000"/>
      </w:rPr>
      <w:t>5</w:t>
    </w:r>
    <w:r>
      <w:rPr>
        <w:color w:val="000000"/>
      </w:rPr>
      <w:fldChar w:fldCharType="end"/>
    </w:r>
  </w:p>
  <w:p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right" w:pos="9072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right" w:pos="9072"/>
        <w:tab w:val="right" w:pos="9214"/>
      </w:tabs>
      <w:rPr>
        <w:color w:val="000000"/>
        <w:sz w:val="16"/>
        <w:szCs w:val="16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widowControl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line="276" w:lineRule="auto"/>
      <w:rPr>
        <w:color w:val="000000"/>
        <w:sz w:val="18"/>
        <w:szCs w:val="18"/>
      </w:rPr>
    </w:pPr>
  </w:p>
  <w:tbl>
    <w:tblPr>
      <w:tblStyle w:val="21"/>
      <w:tblW w:w="9637" w:type="dxa"/>
      <w:jc w:val="center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82"/>
      <w:gridCol w:w="431"/>
      <w:gridCol w:w="485"/>
      <w:gridCol w:w="276"/>
      <w:gridCol w:w="276"/>
      <w:gridCol w:w="276"/>
      <w:gridCol w:w="277"/>
      <w:gridCol w:w="277"/>
      <w:gridCol w:w="277"/>
      <w:gridCol w:w="277"/>
      <w:gridCol w:w="277"/>
      <w:gridCol w:w="431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90"/>
    </w:tblGrid>
    <w:tr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cantSplit/>
        <w:trHeight w:val="330" w:hRule="atLeast"/>
        <w:tblHeader/>
        <w:jc w:val="center"/>
      </w:trPr>
      <w:tc>
        <w:tcPr>
          <w:tcW w:w="2782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bottom"/>
        </w:tcPr>
        <w:p>
          <w:pPr>
            <w:pStyle w:val="3"/>
            <w:rPr>
              <w:color w:val="000000"/>
            </w:rPr>
          </w:pPr>
          <w:r>
            <w:rPr>
              <w:color w:val="000000"/>
            </w:rPr>
            <w:t>Poznámky Úč POD 3 - 01</w:t>
          </w:r>
        </w:p>
      </w:tc>
      <w:tc>
        <w:tcPr>
          <w:tcW w:w="431" w:type="dxa"/>
          <w:tcBorders>
            <w:top w:val="nil"/>
            <w:left w:val="nil"/>
            <w:bottom w:val="nil"/>
            <w:right w:val="nil"/>
          </w:tcBorders>
        </w:tcPr>
        <w:p>
          <w:pPr>
            <w:pStyle w:val="3"/>
            <w:jc w:val="center"/>
            <w:rPr>
              <w:color w:val="000000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color="000000" w:sz="4" w:space="0"/>
          </w:tcBorders>
          <w:vAlign w:val="center"/>
        </w:tcPr>
        <w:p>
          <w:pPr>
            <w:pStyle w:val="3"/>
            <w:jc w:val="center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76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  <w:rPr>
              <w:rFonts w:hint="default"/>
              <w:color w:val="000000"/>
              <w:lang w:val="sk-SK"/>
            </w:rPr>
          </w:pPr>
          <w:r>
            <w:rPr>
              <w:rFonts w:hint="default"/>
              <w:color w:val="000000"/>
              <w:lang w:val="sk-SK"/>
            </w:rPr>
            <w:t>3</w:t>
          </w:r>
        </w:p>
      </w:tc>
      <w:tc>
        <w:tcPr>
          <w:tcW w:w="276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  <w:rPr>
              <w:rFonts w:hint="default"/>
              <w:color w:val="000000"/>
              <w:lang w:val="sk-SK"/>
            </w:rPr>
          </w:pPr>
          <w:r>
            <w:rPr>
              <w:rFonts w:hint="default"/>
              <w:color w:val="000000"/>
              <w:lang w:val="sk-SK"/>
            </w:rPr>
            <w:t>6</w:t>
          </w:r>
        </w:p>
      </w:tc>
      <w:tc>
        <w:tcPr>
          <w:tcW w:w="276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rPr>
              <w:rFonts w:hint="default"/>
              <w:color w:val="000000"/>
              <w:lang w:val="sk-SK"/>
            </w:rPr>
          </w:pPr>
          <w:r>
            <w:rPr>
              <w:rFonts w:hint="default"/>
              <w:color w:val="000000"/>
              <w:lang w:val="sk-SK"/>
            </w:rPr>
            <w:t>4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rPr>
              <w:rFonts w:hint="default"/>
              <w:color w:val="000000"/>
              <w:lang w:val="sk-SK"/>
            </w:rPr>
          </w:pPr>
          <w:r>
            <w:rPr>
              <w:rFonts w:hint="default"/>
              <w:color w:val="000000"/>
              <w:lang w:val="sk-SK"/>
            </w:rPr>
            <w:t>7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rPr>
              <w:rFonts w:hint="default"/>
              <w:color w:val="000000"/>
              <w:lang w:val="sk-SK"/>
            </w:rPr>
          </w:pPr>
          <w:r>
            <w:rPr>
              <w:rFonts w:hint="default"/>
              <w:color w:val="000000"/>
              <w:lang w:val="sk-SK"/>
            </w:rPr>
            <w:t>5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rPr>
              <w:rFonts w:hint="default"/>
              <w:color w:val="000000"/>
              <w:lang w:val="sk-SK"/>
            </w:rPr>
          </w:pPr>
          <w:r>
            <w:rPr>
              <w:rFonts w:hint="default"/>
              <w:color w:val="000000"/>
              <w:lang w:val="sk-SK"/>
            </w:rPr>
            <w:t>9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rPr>
              <w:rFonts w:hint="default"/>
              <w:color w:val="000000"/>
              <w:lang w:val="sk-SK"/>
            </w:rPr>
          </w:pPr>
          <w:r>
            <w:rPr>
              <w:rFonts w:hint="default"/>
              <w:color w:val="000000"/>
              <w:lang w:val="sk-SK"/>
            </w:rPr>
            <w:t>6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rPr>
              <w:rFonts w:hint="default"/>
              <w:color w:val="000000"/>
              <w:lang w:val="sk-SK"/>
            </w:rPr>
          </w:pPr>
          <w:r>
            <w:rPr>
              <w:rFonts w:hint="default"/>
              <w:color w:val="000000"/>
              <w:lang w:val="sk-SK"/>
            </w:rPr>
            <w:t>3</w:t>
          </w:r>
        </w:p>
      </w:tc>
      <w:tc>
        <w:tcPr>
          <w:tcW w:w="431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  <w:vAlign w:val="center"/>
        </w:tcPr>
        <w:p>
          <w:pPr>
            <w:pStyle w:val="3"/>
            <w:rPr>
              <w:color w:val="000000"/>
            </w:rPr>
          </w:pPr>
        </w:p>
      </w:tc>
      <w:tc>
        <w:tcPr>
          <w:tcW w:w="485" w:type="dxa"/>
          <w:tcBorders>
            <w:top w:val="nil"/>
            <w:left w:val="single" w:color="000000" w:sz="4" w:space="0"/>
            <w:bottom w:val="nil"/>
            <w:right w:val="nil"/>
          </w:tcBorders>
          <w:vAlign w:val="center"/>
        </w:tcPr>
        <w:p>
          <w:pPr>
            <w:pStyle w:val="3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8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2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</w:pPr>
          <w:r>
            <w:t>0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2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1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6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0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0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2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1</w:t>
          </w:r>
        </w:p>
      </w:tc>
      <w:tc>
        <w:tcPr>
          <w:tcW w:w="29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8</w:t>
          </w:r>
        </w:p>
      </w:tc>
    </w:tr>
  </w:tbl>
  <w:p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right" w:pos="9072"/>
      </w:tabs>
      <w:rPr>
        <w:color w:val="000000"/>
      </w:rPr>
    </w:pPr>
  </w:p>
  <w:p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center" w:pos="4820"/>
        <w:tab w:val="right" w:pos="9072"/>
        <w:tab w:val="right" w:pos="9214"/>
      </w:tabs>
      <w:jc w:val="right"/>
      <w:rPr>
        <w:color w:val="000000"/>
        <w:sz w:val="18"/>
        <w:szCs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widowControl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line="276" w:lineRule="auto"/>
      <w:rPr>
        <w:color w:val="000000"/>
        <w:sz w:val="18"/>
        <w:szCs w:val="18"/>
      </w:rPr>
    </w:pPr>
  </w:p>
  <w:tbl>
    <w:tblPr>
      <w:tblStyle w:val="20"/>
      <w:tblW w:w="8325" w:type="dxa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cantSplit/>
        <w:trHeight w:val="330" w:hRule="atLeast"/>
        <w:tblHeader/>
      </w:trPr>
      <w:tc>
        <w:tcPr>
          <w:tcW w:w="278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bottom"/>
        </w:tcPr>
        <w:p>
          <w:pPr>
            <w:pStyle w:val="3"/>
            <w:rPr>
              <w:color w:val="000000"/>
            </w:rPr>
          </w:pPr>
          <w:r>
            <w:rPr>
              <w:color w:val="000000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vAlign w:val="bottom"/>
        </w:tcPr>
        <w:p>
          <w:pPr>
            <w:pStyle w:val="3"/>
            <w:jc w:val="center"/>
            <w:rPr>
              <w:color w:val="000000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vAlign w:val="bottom"/>
        </w:tcPr>
        <w:p>
          <w:pPr>
            <w:pStyle w:val="3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8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 </w:t>
          </w:r>
        </w:p>
      </w:tc>
    </w:tr>
  </w:tbl>
  <w:p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center" w:pos="4820"/>
        <w:tab w:val="right" w:pos="9072"/>
        <w:tab w:val="right" w:pos="9214"/>
      </w:tabs>
      <w:jc w:val="right"/>
      <w:rPr>
        <w:color w:val="00000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6A3DBC"/>
    <w:multiLevelType w:val="multilevel"/>
    <w:tmpl w:val="026A3DBC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1">
    <w:nsid w:val="045843A5"/>
    <w:multiLevelType w:val="multilevel"/>
    <w:tmpl w:val="045843A5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2">
    <w:nsid w:val="27CF6FBC"/>
    <w:multiLevelType w:val="multilevel"/>
    <w:tmpl w:val="27CF6FBC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3">
    <w:nsid w:val="29AD16FD"/>
    <w:multiLevelType w:val="multilevel"/>
    <w:tmpl w:val="29AD16FD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C86998"/>
    <w:multiLevelType w:val="multilevel"/>
    <w:tmpl w:val="2AC86998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5">
    <w:nsid w:val="2DCF1E74"/>
    <w:multiLevelType w:val="multilevel"/>
    <w:tmpl w:val="2DCF1E74"/>
    <w:lvl w:ilvl="0" w:tentative="0">
      <w:start w:val="1"/>
      <w:numFmt w:val="lowerLetter"/>
      <w:lvlText w:val="%1)"/>
      <w:lvlJc w:val="left"/>
      <w:pPr>
        <w:ind w:left="786" w:hanging="360"/>
      </w:pPr>
    </w:lvl>
    <w:lvl w:ilvl="1" w:tentative="0">
      <w:start w:val="1"/>
      <w:numFmt w:val="lowerLetter"/>
      <w:lvlText w:val="%2."/>
      <w:lvlJc w:val="left"/>
      <w:pPr>
        <w:ind w:left="1506" w:hanging="360"/>
      </w:pPr>
    </w:lvl>
    <w:lvl w:ilvl="2" w:tentative="0">
      <w:start w:val="1"/>
      <w:numFmt w:val="lowerRoman"/>
      <w:lvlText w:val="%3."/>
      <w:lvlJc w:val="right"/>
      <w:pPr>
        <w:ind w:left="2226" w:hanging="180"/>
      </w:pPr>
    </w:lvl>
    <w:lvl w:ilvl="3" w:tentative="0">
      <w:start w:val="1"/>
      <w:numFmt w:val="decimal"/>
      <w:lvlText w:val="%4."/>
      <w:lvlJc w:val="left"/>
      <w:pPr>
        <w:ind w:left="2946" w:hanging="360"/>
      </w:pPr>
    </w:lvl>
    <w:lvl w:ilvl="4" w:tentative="0">
      <w:start w:val="1"/>
      <w:numFmt w:val="lowerLetter"/>
      <w:lvlText w:val="%5."/>
      <w:lvlJc w:val="left"/>
      <w:pPr>
        <w:ind w:left="3666" w:hanging="360"/>
      </w:pPr>
    </w:lvl>
    <w:lvl w:ilvl="5" w:tentative="0">
      <w:start w:val="1"/>
      <w:numFmt w:val="lowerRoman"/>
      <w:lvlText w:val="%6."/>
      <w:lvlJc w:val="right"/>
      <w:pPr>
        <w:ind w:left="4386" w:hanging="180"/>
      </w:pPr>
    </w:lvl>
    <w:lvl w:ilvl="6" w:tentative="0">
      <w:start w:val="1"/>
      <w:numFmt w:val="decimal"/>
      <w:lvlText w:val="%7."/>
      <w:lvlJc w:val="left"/>
      <w:pPr>
        <w:ind w:left="5106" w:hanging="360"/>
      </w:pPr>
    </w:lvl>
    <w:lvl w:ilvl="7" w:tentative="0">
      <w:start w:val="1"/>
      <w:numFmt w:val="lowerLetter"/>
      <w:lvlText w:val="%8."/>
      <w:lvlJc w:val="left"/>
      <w:pPr>
        <w:ind w:left="5826" w:hanging="360"/>
      </w:pPr>
    </w:lvl>
    <w:lvl w:ilvl="8" w:tentative="0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4BF10FF9"/>
    <w:multiLevelType w:val="multilevel"/>
    <w:tmpl w:val="4BF10FF9"/>
    <w:lvl w:ilvl="0" w:tentative="0">
      <w:start w:val="1"/>
      <w:numFmt w:val="lowerLetter"/>
      <w:lvlText w:val="(%1)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7">
    <w:nsid w:val="57A81F07"/>
    <w:multiLevelType w:val="multilevel"/>
    <w:tmpl w:val="57A81F07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89F0E58"/>
    <w:multiLevelType w:val="multilevel"/>
    <w:tmpl w:val="589F0E58"/>
    <w:lvl w:ilvl="0" w:tentative="0">
      <w:start w:val="0"/>
      <w:numFmt w:val="bullet"/>
      <w:lvlText w:val="-"/>
      <w:lvlJc w:val="left"/>
      <w:pPr>
        <w:ind w:left="720" w:hanging="360"/>
      </w:pPr>
      <w:rPr>
        <w:rFonts w:ascii="Times New Roman" w:hAnsi="Times New Roman" w:eastAsia="Times New Roman" w:cs="Times New Roman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E166347"/>
    <w:multiLevelType w:val="multilevel"/>
    <w:tmpl w:val="7E166347"/>
    <w:lvl w:ilvl="0" w:tentative="0">
      <w:start w:val="1"/>
      <w:numFmt w:val="lowerLetter"/>
      <w:lvlText w:val="%1)"/>
      <w:lvlJc w:val="left"/>
      <w:pPr>
        <w:ind w:left="786" w:hanging="360"/>
      </w:pPr>
    </w:lvl>
    <w:lvl w:ilvl="1" w:tentative="0">
      <w:start w:val="1"/>
      <w:numFmt w:val="lowerLetter"/>
      <w:lvlText w:val="%2."/>
      <w:lvlJc w:val="left"/>
      <w:pPr>
        <w:ind w:left="1506" w:hanging="360"/>
      </w:pPr>
    </w:lvl>
    <w:lvl w:ilvl="2" w:tentative="0">
      <w:start w:val="1"/>
      <w:numFmt w:val="lowerRoman"/>
      <w:lvlText w:val="%3."/>
      <w:lvlJc w:val="right"/>
      <w:pPr>
        <w:ind w:left="2226" w:hanging="180"/>
      </w:pPr>
    </w:lvl>
    <w:lvl w:ilvl="3" w:tentative="0">
      <w:start w:val="1"/>
      <w:numFmt w:val="decimal"/>
      <w:lvlText w:val="%4."/>
      <w:lvlJc w:val="left"/>
      <w:pPr>
        <w:ind w:left="2946" w:hanging="360"/>
      </w:pPr>
    </w:lvl>
    <w:lvl w:ilvl="4" w:tentative="0">
      <w:start w:val="1"/>
      <w:numFmt w:val="lowerLetter"/>
      <w:lvlText w:val="%5."/>
      <w:lvlJc w:val="left"/>
      <w:pPr>
        <w:ind w:left="3666" w:hanging="360"/>
      </w:pPr>
    </w:lvl>
    <w:lvl w:ilvl="5" w:tentative="0">
      <w:start w:val="1"/>
      <w:numFmt w:val="lowerRoman"/>
      <w:lvlText w:val="%6."/>
      <w:lvlJc w:val="right"/>
      <w:pPr>
        <w:ind w:left="4386" w:hanging="180"/>
      </w:pPr>
    </w:lvl>
    <w:lvl w:ilvl="6" w:tentative="0">
      <w:start w:val="1"/>
      <w:numFmt w:val="decimal"/>
      <w:lvlText w:val="%7."/>
      <w:lvlJc w:val="left"/>
      <w:pPr>
        <w:ind w:left="5106" w:hanging="360"/>
      </w:pPr>
    </w:lvl>
    <w:lvl w:ilvl="7" w:tentative="0">
      <w:start w:val="1"/>
      <w:numFmt w:val="lowerLetter"/>
      <w:lvlText w:val="%8."/>
      <w:lvlJc w:val="left"/>
      <w:pPr>
        <w:ind w:left="5826" w:hanging="360"/>
      </w:pPr>
    </w:lvl>
    <w:lvl w:ilvl="8" w:tentative="0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4"/>
  </w:num>
  <w:num w:numId="2">
    <w:abstractNumId w:val="9"/>
  </w:num>
  <w:num w:numId="3">
    <w:abstractNumId w:val="6"/>
  </w:num>
  <w:num w:numId="4">
    <w:abstractNumId w:val="3"/>
  </w:num>
  <w:num w:numId="5">
    <w:abstractNumId w:val="8"/>
  </w:num>
  <w:num w:numId="6">
    <w:abstractNumId w:val="2"/>
  </w:num>
  <w:num w:numId="7">
    <w:abstractNumId w:val="0"/>
  </w:num>
  <w:num w:numId="8">
    <w:abstractNumId w:val="5"/>
  </w:num>
  <w:num w:numId="9">
    <w:abstractNumId w:val="7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674CFE"/>
    <w:rsid w:val="003275FE"/>
    <w:rsid w:val="00344DBA"/>
    <w:rsid w:val="003D3483"/>
    <w:rsid w:val="004D775C"/>
    <w:rsid w:val="0064194B"/>
    <w:rsid w:val="00674CFE"/>
    <w:rsid w:val="007D2615"/>
    <w:rsid w:val="008810A2"/>
    <w:rsid w:val="00A53DA6"/>
    <w:rsid w:val="00AA0C7F"/>
    <w:rsid w:val="00C37BBF"/>
    <w:rsid w:val="00F17219"/>
    <w:rsid w:val="027E6C9D"/>
    <w:rsid w:val="2D2506EA"/>
    <w:rsid w:val="34B6466F"/>
    <w:rsid w:val="5E336982"/>
    <w:rsid w:val="64AD6003"/>
    <w:rsid w:val="77F677C3"/>
    <w:rsid w:val="7FCC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qFormat="1"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lang w:val="sk-SK" w:eastAsia="sk-SK" w:bidi="ar-SA"/>
    </w:rPr>
  </w:style>
  <w:style w:type="paragraph" w:styleId="2">
    <w:name w:val="heading 1"/>
    <w:basedOn w:val="3"/>
    <w:next w:val="3"/>
    <w:uiPriority w:val="0"/>
    <w:pPr>
      <w:keepNext/>
      <w:ind w:left="786" w:hanging="360"/>
      <w:outlineLvl w:val="0"/>
    </w:pPr>
    <w:rPr>
      <w:b/>
      <w:smallCaps/>
      <w:sz w:val="18"/>
      <w:szCs w:val="18"/>
    </w:rPr>
  </w:style>
  <w:style w:type="paragraph" w:styleId="4">
    <w:name w:val="heading 2"/>
    <w:basedOn w:val="3"/>
    <w:next w:val="3"/>
    <w:uiPriority w:val="0"/>
    <w:pPr>
      <w:keepNext/>
      <w:ind w:left="360" w:hanging="360"/>
      <w:outlineLvl w:val="1"/>
    </w:pPr>
    <w:rPr>
      <w:b/>
      <w:sz w:val="18"/>
      <w:szCs w:val="18"/>
    </w:rPr>
  </w:style>
  <w:style w:type="paragraph" w:styleId="5">
    <w:name w:val="heading 3"/>
    <w:basedOn w:val="3"/>
    <w:next w:val="3"/>
    <w:uiPriority w:val="0"/>
    <w:pPr>
      <w:keepNext/>
      <w:spacing w:before="240" w:after="60"/>
      <w:outlineLvl w:val="2"/>
    </w:pPr>
    <w:rPr>
      <w:rFonts w:ascii="Cambria" w:hAnsi="Cambria" w:eastAsia="Cambria" w:cs="Cambria"/>
      <w:b/>
      <w:sz w:val="26"/>
      <w:szCs w:val="26"/>
    </w:rPr>
  </w:style>
  <w:style w:type="paragraph" w:styleId="6">
    <w:name w:val="heading 4"/>
    <w:basedOn w:val="3"/>
    <w:next w:val="3"/>
    <w:uiPriority w:val="0"/>
    <w:pPr>
      <w:keepNext/>
      <w:spacing w:before="240" w:after="60"/>
      <w:outlineLvl w:val="3"/>
    </w:pPr>
    <w:rPr>
      <w:rFonts w:ascii="Arial Narrow" w:hAnsi="Arial Narrow" w:eastAsia="Arial Narrow" w:cs="Arial Narrow"/>
      <w:b/>
      <w:sz w:val="28"/>
      <w:szCs w:val="28"/>
    </w:rPr>
  </w:style>
  <w:style w:type="paragraph" w:styleId="7">
    <w:name w:val="heading 5"/>
    <w:basedOn w:val="3"/>
    <w:next w:val="3"/>
    <w:uiPriority w:val="0"/>
    <w:pPr>
      <w:spacing w:before="240" w:after="60"/>
      <w:outlineLvl w:val="4"/>
    </w:pPr>
    <w:rPr>
      <w:rFonts w:ascii="Arial Narrow" w:hAnsi="Arial Narrow" w:eastAsia="Arial Narrow" w:cs="Arial Narrow"/>
      <w:b/>
      <w:i/>
      <w:sz w:val="26"/>
      <w:szCs w:val="26"/>
    </w:rPr>
  </w:style>
  <w:style w:type="paragraph" w:styleId="8">
    <w:name w:val="heading 6"/>
    <w:basedOn w:val="3"/>
    <w:next w:val="3"/>
    <w:qFormat/>
    <w:uiPriority w:val="0"/>
    <w:pPr>
      <w:keepNext/>
      <w:outlineLvl w:val="5"/>
    </w:pPr>
    <w:rPr>
      <w:b/>
      <w:smallCaps/>
      <w:sz w:val="32"/>
      <w:szCs w:val="32"/>
    </w:rPr>
  </w:style>
  <w:style w:type="character" w:default="1" w:styleId="9">
    <w:name w:val="Default Paragraph Font"/>
    <w:semiHidden/>
    <w:unhideWhenUsed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">
    <w:name w:val="normal"/>
    <w:qFormat/>
    <w:uiPriority w:val="0"/>
    <w:rPr>
      <w:rFonts w:ascii="Times New Roman" w:hAnsi="Times New Roman" w:eastAsia="Times New Roman" w:cs="Times New Roman"/>
      <w:lang w:val="sk-SK" w:eastAsia="sk-SK" w:bidi="ar-SA"/>
    </w:rPr>
  </w:style>
  <w:style w:type="paragraph" w:styleId="11">
    <w:name w:val="footer"/>
    <w:basedOn w:val="1"/>
    <w:link w:val="23"/>
    <w:semiHidden/>
    <w:unhideWhenUsed/>
    <w:qFormat/>
    <w:uiPriority w:val="99"/>
    <w:pPr>
      <w:tabs>
        <w:tab w:val="center" w:pos="4536"/>
        <w:tab w:val="right" w:pos="9072"/>
      </w:tabs>
    </w:pPr>
  </w:style>
  <w:style w:type="paragraph" w:styleId="12">
    <w:name w:val="header"/>
    <w:basedOn w:val="1"/>
    <w:link w:val="22"/>
    <w:semiHidden/>
    <w:unhideWhenUsed/>
    <w:uiPriority w:val="99"/>
    <w:pPr>
      <w:tabs>
        <w:tab w:val="center" w:pos="4536"/>
        <w:tab w:val="right" w:pos="9072"/>
      </w:tabs>
    </w:pPr>
  </w:style>
  <w:style w:type="paragraph" w:styleId="13">
    <w:name w:val="Subtitle"/>
    <w:basedOn w:val="3"/>
    <w:next w:val="3"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after="60"/>
      <w:jc w:val="center"/>
    </w:pPr>
    <w:rPr>
      <w:rFonts w:ascii="Cambria" w:hAnsi="Cambria" w:eastAsia="Cambria" w:cs="Cambria"/>
      <w:color w:val="000000"/>
      <w:sz w:val="22"/>
      <w:szCs w:val="22"/>
    </w:rPr>
  </w:style>
  <w:style w:type="paragraph" w:styleId="14">
    <w:name w:val="Title"/>
    <w:basedOn w:val="3"/>
    <w:next w:val="3"/>
    <w:uiPriority w:val="0"/>
    <w:pPr>
      <w:keepNext/>
      <w:spacing w:after="220"/>
      <w:jc w:val="center"/>
    </w:pPr>
    <w:rPr>
      <w:rFonts w:ascii="Arial Narrow" w:hAnsi="Arial Narrow" w:eastAsia="Arial Narrow" w:cs="Arial Narrow"/>
      <w:b/>
      <w:sz w:val="22"/>
      <w:szCs w:val="22"/>
    </w:rPr>
  </w:style>
  <w:style w:type="table" w:customStyle="1" w:styleId="15">
    <w:name w:val="Table Normal1"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16">
    <w:name w:val="_Style 13"/>
    <w:basedOn w:val="15"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17">
    <w:name w:val="_Style 14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18">
    <w:name w:val="_Style 15"/>
    <w:basedOn w:val="15"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19">
    <w:name w:val="_Style 16"/>
    <w:basedOn w:val="15"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20">
    <w:name w:val="_Style 17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21">
    <w:name w:val="_Style 18"/>
    <w:basedOn w:val="15"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character" w:customStyle="1" w:styleId="22">
    <w:name w:val="Hlavička Char"/>
    <w:basedOn w:val="9"/>
    <w:link w:val="12"/>
    <w:semiHidden/>
    <w:uiPriority w:val="99"/>
  </w:style>
  <w:style w:type="character" w:customStyle="1" w:styleId="23">
    <w:name w:val="Päta Char"/>
    <w:basedOn w:val="9"/>
    <w:link w:val="11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1801</Words>
  <Characters>10272</Characters>
  <Lines>85</Lines>
  <Paragraphs>24</Paragraphs>
  <TotalTime>12</TotalTime>
  <ScaleCrop>false</ScaleCrop>
  <LinksUpToDate>false</LinksUpToDate>
  <CharactersWithSpaces>12049</CharactersWithSpaces>
  <Application>WPS Office_11.2.0.11486_F1E327BC-269C-435d-A152-05C5408002CA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2022-06-24T06:00:00Z</dcterms:created>
  <dc:creator>PC</dc:creator>
  <cp:lastModifiedBy>Renáta Surmánková</cp:lastModifiedBy>
  <dcterms:modified xsi:type="dcterms:W3CDTF">2023-03-21T12:04:20Z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16571832BFD548B097B0AE04C53E3D07</vt:lpwstr>
  </property>
</Properties>
</file>