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Správa</w:t>
      </w:r>
    </w:p>
    <w:p>
      <w:pPr>
        <w:pStyle w:val="Normal"/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o revízii Carmel centrum, n.o.,</w:t>
      </w:r>
    </w:p>
    <w:p>
      <w:pPr>
        <w:pStyle w:val="Normal"/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Námestie Cyrila a Metoda 51, Sečovce</w:t>
      </w:r>
    </w:p>
    <w:p>
      <w:pPr>
        <w:pStyle w:val="Normal"/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spacing w:lineRule="auto" w:line="312"/>
        <w:ind w:left="0" w:right="0" w:firstLine="850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>Revízorka Carmel centrum, n.o. vykonala kontrolu hospodárenia neziskovej organizácie vo februári 2023.</w:t>
      </w:r>
    </w:p>
    <w:p>
      <w:pPr>
        <w:pStyle w:val="Normal"/>
        <w:spacing w:lineRule="auto" w:line="312"/>
        <w:ind w:left="0" w:right="0" w:firstLine="850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>Revidované bolo obdobie od 1. januára do 31. decembra 2022.</w:t>
      </w:r>
    </w:p>
    <w:p>
      <w:pPr>
        <w:pStyle w:val="Normal"/>
        <w:spacing w:lineRule="auto" w:line="312"/>
        <w:ind w:left="0" w:right="0" w:firstLine="850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>Evidenciu o výnosoch a nákladoch, majetku a záväzkoch vo forme podvojného účtovníctva viedla pracovníčka n.o. a mzdovú agendu externá účtovníčka dodávateľským spôsobom. Na vykonanie kontroly boli predložené interné účtovné doklady, bankové výpisy, pokladničné doklady, faktúry a mzdové listy.</w:t>
      </w:r>
    </w:p>
    <w:p>
      <w:pPr>
        <w:pStyle w:val="Normal"/>
        <w:spacing w:lineRule="auto" w:line="312"/>
        <w:ind w:left="0" w:right="0" w:firstLine="850"/>
        <w:jc w:val="both"/>
        <w:rPr/>
      </w:pPr>
      <w:r>
        <w:rPr>
          <w:rFonts w:ascii="Times New Roman" w:hAnsi="Times New Roman"/>
          <w:b w:val="false"/>
          <w:bCs w:val="false"/>
        </w:rPr>
        <w:t>Predmetom kontroly boli všetky účtovné doklady za revidované obdobie vo väzbe na zápisy v účtovnom denníku, a to pokladničné výdavkové doklady č.</w:t>
      </w:r>
      <w:r>
        <w:rPr>
          <w:rFonts w:ascii="Times New Roman" w:hAnsi="Times New Roman"/>
          <w:b w:val="false"/>
          <w:bCs w:val="false"/>
          <w:color w:val="000000"/>
        </w:rPr>
        <w:t xml:space="preserve"> </w:t>
      </w:r>
      <w:r>
        <w:rPr>
          <w:rFonts w:ascii="Times New Roman" w:hAnsi="Times New Roman"/>
          <w:b w:val="false"/>
          <w:bCs w:val="false"/>
          <w:color w:val="000000"/>
        </w:rPr>
        <w:t>1-</w:t>
      </w:r>
      <w:r>
        <w:rPr>
          <w:rFonts w:ascii="Times New Roman" w:hAnsi="Times New Roman"/>
          <w:b w:val="false"/>
          <w:bCs w:val="false"/>
          <w:color w:val="000000"/>
        </w:rPr>
        <w:t>340</w:t>
      </w:r>
      <w:r>
        <w:rPr>
          <w:rFonts w:ascii="Times New Roman" w:hAnsi="Times New Roman"/>
          <w:b w:val="false"/>
          <w:bCs w:val="false"/>
          <w:color w:val="000000"/>
        </w:rPr>
        <w:t>,</w:t>
      </w:r>
      <w:r>
        <w:rPr>
          <w:rFonts w:ascii="Times New Roman" w:hAnsi="Times New Roman"/>
          <w:b w:val="false"/>
          <w:bCs w:val="false"/>
        </w:rPr>
        <w:t xml:space="preserve"> pokladničné príjmové doklady</w:t>
      </w:r>
      <w:r>
        <w:rPr>
          <w:rFonts w:ascii="Times New Roman" w:hAnsi="Times New Roman"/>
          <w:b w:val="false"/>
          <w:bCs w:val="false"/>
          <w:color w:val="000000"/>
        </w:rPr>
        <w:t xml:space="preserve"> </w:t>
      </w:r>
      <w:r>
        <w:rPr>
          <w:rFonts w:ascii="Times New Roman" w:hAnsi="Times New Roman"/>
          <w:b w:val="false"/>
          <w:bCs w:val="false"/>
          <w:color w:val="000000"/>
        </w:rPr>
        <w:t>1-</w:t>
      </w:r>
      <w:r>
        <w:rPr>
          <w:rFonts w:ascii="Times New Roman" w:hAnsi="Times New Roman"/>
          <w:b w:val="false"/>
          <w:bCs w:val="false"/>
          <w:color w:val="000000"/>
        </w:rPr>
        <w:t>42</w:t>
      </w:r>
      <w:r>
        <w:rPr>
          <w:rFonts w:ascii="Times New Roman" w:hAnsi="Times New Roman"/>
          <w:b w:val="false"/>
          <w:bCs w:val="false"/>
          <w:color w:val="000000"/>
        </w:rPr>
        <w:t xml:space="preserve">, </w:t>
      </w:r>
      <w:r>
        <w:rPr>
          <w:rFonts w:ascii="Times New Roman" w:hAnsi="Times New Roman"/>
          <w:b w:val="false"/>
          <w:bCs w:val="false"/>
        </w:rPr>
        <w:t xml:space="preserve">bankové výpisy bežného účtu </w:t>
      </w:r>
      <w:r>
        <w:rPr>
          <w:rFonts w:ascii="Times New Roman" w:hAnsi="Times New Roman"/>
          <w:b w:val="false"/>
          <w:bCs w:val="false"/>
          <w:color w:val="000000"/>
        </w:rPr>
        <w:t xml:space="preserve">B </w:t>
      </w:r>
      <w:r>
        <w:rPr>
          <w:rFonts w:ascii="Times New Roman" w:hAnsi="Times New Roman"/>
          <w:b w:val="false"/>
          <w:bCs w:val="false"/>
          <w:color w:val="000000"/>
        </w:rPr>
        <w:t>1-12</w:t>
      </w:r>
      <w:r>
        <w:rPr>
          <w:rFonts w:ascii="Times New Roman" w:hAnsi="Times New Roman"/>
          <w:b w:val="false"/>
          <w:bCs w:val="false"/>
          <w:color w:val="000000"/>
        </w:rPr>
        <w:t>,</w:t>
      </w:r>
      <w:r>
        <w:rPr>
          <w:rFonts w:ascii="Times New Roman" w:hAnsi="Times New Roman"/>
          <w:b w:val="false"/>
          <w:bCs w:val="false"/>
        </w:rPr>
        <w:t xml:space="preserve"> bankové výpisy benefi</w:t>
      </w:r>
      <w:r>
        <w:rPr>
          <w:rFonts w:ascii="Times New Roman" w:hAnsi="Times New Roman"/>
          <w:b w:val="false"/>
          <w:bCs w:val="false"/>
        </w:rPr>
        <w:t>t</w:t>
      </w:r>
      <w:r>
        <w:rPr>
          <w:rFonts w:ascii="Times New Roman" w:hAnsi="Times New Roman"/>
          <w:b w:val="false"/>
          <w:bCs w:val="false"/>
        </w:rPr>
        <w:t xml:space="preserve"> </w:t>
      </w:r>
      <w:r>
        <w:rPr>
          <w:rFonts w:ascii="Times New Roman" w:hAnsi="Times New Roman"/>
          <w:b w:val="false"/>
          <w:bCs w:val="false"/>
          <w:color w:val="000000"/>
        </w:rPr>
        <w:t>1-12</w:t>
      </w:r>
      <w:r>
        <w:rPr>
          <w:rFonts w:ascii="Times New Roman" w:hAnsi="Times New Roman"/>
          <w:b w:val="false"/>
          <w:bCs w:val="false"/>
        </w:rPr>
        <w:t xml:space="preserve">, </w:t>
      </w:r>
      <w:r>
        <w:rPr>
          <w:rFonts w:ascii="Times New Roman" w:hAnsi="Times New Roman"/>
          <w:b w:val="false"/>
          <w:bCs w:val="false"/>
        </w:rPr>
        <w:t>došl</w:t>
      </w:r>
      <w:r>
        <w:rPr>
          <w:rFonts w:ascii="Times New Roman" w:hAnsi="Times New Roman"/>
          <w:b w:val="false"/>
          <w:bCs w:val="false"/>
        </w:rPr>
        <w:t>é faktúry FD</w:t>
      </w:r>
      <w:r>
        <w:rPr>
          <w:rFonts w:ascii="Times New Roman" w:hAnsi="Times New Roman"/>
          <w:b w:val="false"/>
          <w:bCs w:val="false"/>
          <w:color w:val="000000"/>
        </w:rPr>
        <w:t xml:space="preserve"> </w:t>
      </w:r>
      <w:r>
        <w:rPr>
          <w:rFonts w:ascii="Times New Roman" w:hAnsi="Times New Roman"/>
          <w:b w:val="false"/>
          <w:bCs w:val="false"/>
          <w:color w:val="000000"/>
        </w:rPr>
        <w:t>1-</w:t>
      </w:r>
      <w:r>
        <w:rPr>
          <w:rFonts w:ascii="Times New Roman" w:hAnsi="Times New Roman"/>
          <w:b w:val="false"/>
          <w:bCs w:val="false"/>
          <w:color w:val="000000"/>
        </w:rPr>
        <w:t>95, vydané faktúry FV 1-2</w:t>
      </w:r>
      <w:r>
        <w:rPr>
          <w:rFonts w:ascii="Times New Roman" w:hAnsi="Times New Roman"/>
          <w:b w:val="false"/>
          <w:bCs w:val="false"/>
          <w:color w:val="000000"/>
        </w:rPr>
        <w:t xml:space="preserve"> </w:t>
      </w:r>
      <w:r>
        <w:rPr>
          <w:rFonts w:ascii="Times New Roman" w:hAnsi="Times New Roman"/>
          <w:b w:val="false"/>
          <w:bCs w:val="false"/>
          <w:color w:val="000000"/>
        </w:rPr>
        <w:t>a</w:t>
      </w:r>
      <w:r>
        <w:rPr>
          <w:rFonts w:ascii="Times New Roman" w:hAnsi="Times New Roman"/>
          <w:b w:val="false"/>
          <w:bCs w:val="false"/>
        </w:rPr>
        <w:t xml:space="preserve"> mzdové doklady 1/2022 – 12/2022.</w:t>
      </w:r>
    </w:p>
    <w:p>
      <w:pPr>
        <w:pStyle w:val="Normal"/>
        <w:spacing w:lineRule="auto" w:line="312"/>
        <w:ind w:left="0" w:right="0" w:firstLine="850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>Revízorka konštatuje, že účtovná evidencia n.o. je vedená v súlade so zákonom o účtovníctve a vykonávacími predpismi MF SR pre neziskové organizácie. V zmysle týchto predpisov bola vykonaná inventarizácia majetku a záväzkov.</w:t>
      </w:r>
    </w:p>
    <w:p>
      <w:pPr>
        <w:pStyle w:val="Normal"/>
        <w:spacing w:lineRule="auto" w:line="312"/>
        <w:ind w:left="0" w:right="0" w:firstLine="850"/>
        <w:jc w:val="both"/>
        <w:rPr/>
      </w:pPr>
      <w:r>
        <w:rPr>
          <w:rFonts w:ascii="Times New Roman" w:hAnsi="Times New Roman"/>
          <w:b w:val="false"/>
          <w:bCs w:val="false"/>
        </w:rPr>
        <w:t>Všetky zápisy v účtovnom denníku podvojného účtovníctva sú doložené dokladmi. Výnosy a náklady boli vynaložené v súlade s účelom pôsobenia neziskovej organizácie. Sú rozdelené na výnosy a náklady ovplyvňujúce základ dane (kaviareň) a výnosy a náklady neovplyvňujúce základ dane z príjmov právnickej osoby (centrum a tábory). Hospodárenie neziskovej organizácie skončilo hospodárskym výsledko</w:t>
      </w:r>
      <w:r>
        <w:rPr>
          <w:rFonts w:ascii="Times New Roman" w:hAnsi="Times New Roman"/>
          <w:b w:val="false"/>
          <w:bCs w:val="false"/>
          <w:color w:val="000000"/>
        </w:rPr>
        <w:t xml:space="preserve">m </w:t>
      </w:r>
      <w:r>
        <w:rPr>
          <w:rFonts w:ascii="Times New Roman" w:hAnsi="Times New Roman"/>
          <w:b w:val="false"/>
          <w:bCs w:val="false"/>
          <w:color w:val="000000"/>
        </w:rPr>
        <w:t xml:space="preserve">strata </w:t>
      </w:r>
      <w:r>
        <w:rPr>
          <w:rFonts w:ascii="Times New Roman" w:hAnsi="Times New Roman"/>
          <w:b w:val="false"/>
          <w:bCs w:val="false"/>
          <w:color w:val="000000"/>
        </w:rPr>
        <w:t xml:space="preserve">v sume </w:t>
      </w:r>
      <w:r>
        <w:rPr>
          <w:rFonts w:ascii="Times New Roman" w:hAnsi="Times New Roman"/>
          <w:b w:val="false"/>
          <w:bCs w:val="false"/>
          <w:color w:val="000000"/>
        </w:rPr>
        <w:t>2 522,21</w:t>
      </w:r>
      <w:r>
        <w:rPr>
          <w:rFonts w:ascii="Times New Roman" w:hAnsi="Times New Roman"/>
          <w:b w:val="false"/>
          <w:bCs w:val="false"/>
          <w:color w:val="000000"/>
        </w:rPr>
        <w:t xml:space="preserve"> €. Celková suma výnosov je </w:t>
      </w:r>
      <w:r>
        <w:rPr>
          <w:rFonts w:ascii="Times New Roman" w:hAnsi="Times New Roman"/>
          <w:b w:val="false"/>
          <w:bCs w:val="false"/>
          <w:color w:val="000000"/>
        </w:rPr>
        <w:t>88 090,60</w:t>
      </w:r>
      <w:r>
        <w:rPr>
          <w:rFonts w:ascii="Times New Roman" w:hAnsi="Times New Roman"/>
          <w:b w:val="false"/>
          <w:bCs w:val="false"/>
          <w:color w:val="000000"/>
        </w:rPr>
        <w:t xml:space="preserve"> € a nákladov </w:t>
      </w:r>
      <w:r>
        <w:rPr>
          <w:rFonts w:ascii="Times New Roman" w:hAnsi="Times New Roman"/>
          <w:b w:val="false"/>
          <w:bCs w:val="false"/>
          <w:color w:val="000000"/>
        </w:rPr>
        <w:t>90 612,81</w:t>
      </w:r>
      <w:r>
        <w:rPr>
          <w:rFonts w:ascii="Times New Roman" w:hAnsi="Times New Roman"/>
          <w:b w:val="false"/>
          <w:bCs w:val="false"/>
          <w:color w:val="000000"/>
        </w:rPr>
        <w:t xml:space="preserve"> €.</w:t>
      </w:r>
    </w:p>
    <w:p>
      <w:pPr>
        <w:pStyle w:val="Normal"/>
        <w:spacing w:lineRule="auto" w:line="312"/>
        <w:ind w:left="0" w:right="0" w:firstLine="850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spacing w:lineRule="auto" w:line="312"/>
        <w:ind w:left="0" w:right="0" w:firstLine="850"/>
        <w:jc w:val="left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  <w:color w:val="000000"/>
        </w:rPr>
        <w:t>Finančná bilancia v €:</w:t>
      </w:r>
    </w:p>
    <w:p>
      <w:pPr>
        <w:pStyle w:val="Normal"/>
        <w:spacing w:lineRule="auto" w:line="312"/>
        <w:ind w:left="0" w:right="0" w:firstLine="850"/>
        <w:jc w:val="left"/>
        <w:rPr>
          <w:color w:val="000000"/>
        </w:rPr>
      </w:pPr>
      <w:r>
        <w:rPr>
          <w:color w:val="000000"/>
        </w:rPr>
      </w:r>
    </w:p>
    <w:p>
      <w:pPr>
        <w:pStyle w:val="Normal"/>
        <w:spacing w:lineRule="auto" w:line="312"/>
        <w:ind w:left="0" w:right="0" w:firstLine="850"/>
        <w:jc w:val="left"/>
        <w:rPr/>
      </w:pPr>
      <w:r>
        <w:rPr>
          <w:rFonts w:ascii="Times New Roman" w:hAnsi="Times New Roman"/>
          <w:b w:val="false"/>
          <w:bCs w:val="false"/>
          <w:color w:val="000000"/>
        </w:rPr>
        <w:t>Počiatočný zostatok k 1.1.2022</w:t>
        <w:tab/>
        <w:tab/>
      </w:r>
      <w:r>
        <w:rPr>
          <w:rFonts w:ascii="Times New Roman" w:hAnsi="Times New Roman"/>
          <w:b w:val="false"/>
          <w:bCs w:val="false"/>
          <w:color w:val="000000"/>
        </w:rPr>
        <w:t>6 018,89 €</w:t>
      </w:r>
    </w:p>
    <w:p>
      <w:pPr>
        <w:pStyle w:val="Normal"/>
        <w:spacing w:lineRule="auto" w:line="312"/>
        <w:ind w:left="0" w:right="0" w:firstLine="850"/>
        <w:jc w:val="left"/>
        <w:rPr/>
      </w:pPr>
      <w:r>
        <w:rPr>
          <w:rFonts w:ascii="Times New Roman" w:hAnsi="Times New Roman"/>
          <w:b w:val="false"/>
          <w:bCs w:val="false"/>
          <w:color w:val="000000"/>
        </w:rPr>
        <w:t>Konečný zostatok k 31.12.2022</w:t>
        <w:tab/>
        <w:tab/>
      </w:r>
      <w:r>
        <w:rPr>
          <w:rFonts w:ascii="Times New Roman" w:hAnsi="Times New Roman"/>
          <w:b w:val="false"/>
          <w:bCs w:val="false"/>
          <w:color w:val="000000"/>
        </w:rPr>
        <w:t>4 276,28 €</w:t>
      </w:r>
    </w:p>
    <w:p>
      <w:pPr>
        <w:pStyle w:val="Normal"/>
        <w:spacing w:lineRule="auto" w:line="312"/>
        <w:ind w:left="0" w:right="0" w:firstLine="850"/>
        <w:jc w:val="left"/>
        <w:rPr/>
      </w:pPr>
      <w:r>
        <w:rPr>
          <w:rFonts w:ascii="Times New Roman" w:hAnsi="Times New Roman"/>
          <w:b w:val="false"/>
          <w:bCs w:val="false"/>
          <w:color w:val="000000"/>
        </w:rPr>
        <w:t xml:space="preserve">- z toho: </w:t>
        <w:tab/>
        <w:t>pokladňa</w:t>
        <w:tab/>
        <w:tab/>
        <w:tab/>
      </w:r>
      <w:r>
        <w:rPr>
          <w:rFonts w:ascii="Times New Roman" w:hAnsi="Times New Roman"/>
          <w:b w:val="false"/>
          <w:bCs w:val="false"/>
          <w:color w:val="000000"/>
        </w:rPr>
        <w:t>1 472,28 €</w:t>
      </w:r>
    </w:p>
    <w:p>
      <w:pPr>
        <w:pStyle w:val="Normal"/>
        <w:spacing w:lineRule="auto" w:line="312"/>
        <w:ind w:left="0" w:right="0" w:firstLine="850"/>
        <w:jc w:val="left"/>
        <w:rPr/>
      </w:pPr>
      <w:r>
        <w:rPr>
          <w:rFonts w:ascii="Times New Roman" w:hAnsi="Times New Roman"/>
          <w:b w:val="false"/>
          <w:bCs w:val="false"/>
          <w:color w:val="000000"/>
        </w:rPr>
        <w:tab/>
        <w:tab/>
        <w:t>účty v banke</w:t>
        <w:tab/>
        <w:tab/>
        <w:tab/>
      </w:r>
      <w:r>
        <w:rPr>
          <w:rFonts w:ascii="Times New Roman" w:hAnsi="Times New Roman"/>
          <w:b w:val="false"/>
          <w:bCs w:val="false"/>
          <w:color w:val="000000"/>
        </w:rPr>
        <w:t>2 804,00 €</w:t>
      </w:r>
    </w:p>
    <w:p>
      <w:pPr>
        <w:pStyle w:val="Normal"/>
        <w:spacing w:lineRule="auto" w:line="312"/>
        <w:ind w:left="0" w:right="0" w:firstLine="850"/>
        <w:jc w:val="left"/>
        <w:rPr>
          <w:color w:val="000000"/>
        </w:rPr>
      </w:pPr>
      <w:r>
        <w:rPr>
          <w:color w:val="000000"/>
        </w:rPr>
      </w:r>
    </w:p>
    <w:p>
      <w:pPr>
        <w:pStyle w:val="Normal"/>
        <w:spacing w:lineRule="auto" w:line="312"/>
        <w:ind w:left="0" w:right="0" w:firstLine="850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  <w:color w:val="000000"/>
        </w:rPr>
        <w:t>Záver revízie:</w:t>
      </w:r>
    </w:p>
    <w:p>
      <w:pPr>
        <w:pStyle w:val="Normal"/>
        <w:spacing w:lineRule="auto" w:line="312"/>
        <w:ind w:left="0" w:right="0" w:firstLine="850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  <w:color w:val="000000"/>
        </w:rPr>
        <w:t>Revízorka nemá žiadne pripomienky k spôsobu vedenia účtovnej evidencie, nebolo zistené žiadne pochybenie a navrhuje účtovnú závierku schváliť.</w:t>
      </w:r>
    </w:p>
    <w:p>
      <w:pPr>
        <w:pStyle w:val="Normal"/>
        <w:spacing w:lineRule="auto" w:line="312"/>
        <w:ind w:left="0" w:right="0" w:firstLine="850"/>
        <w:jc w:val="left"/>
        <w:rPr>
          <w:color w:val="000000"/>
        </w:rPr>
      </w:pPr>
      <w:r>
        <w:rPr>
          <w:color w:val="000000"/>
        </w:rPr>
      </w:r>
    </w:p>
    <w:p>
      <w:pPr>
        <w:pStyle w:val="Normal"/>
        <w:spacing w:lineRule="auto" w:line="312"/>
        <w:ind w:left="0" w:right="0" w:firstLine="850"/>
        <w:jc w:val="left"/>
        <w:rPr>
          <w:color w:val="000000"/>
        </w:rPr>
      </w:pPr>
      <w:r>
        <w:rPr>
          <w:color w:val="000000"/>
        </w:rPr>
      </w:r>
    </w:p>
    <w:p>
      <w:pPr>
        <w:pStyle w:val="Normal"/>
        <w:spacing w:lineRule="auto" w:line="312"/>
        <w:ind w:left="0" w:right="0" w:firstLine="850"/>
        <w:jc w:val="left"/>
        <w:rPr>
          <w:color w:val="000000"/>
        </w:rPr>
      </w:pPr>
      <w:r>
        <w:rPr>
          <w:color w:val="000000"/>
        </w:rPr>
      </w:r>
    </w:p>
    <w:p>
      <w:pPr>
        <w:pStyle w:val="Normal"/>
        <w:spacing w:lineRule="auto" w:line="312"/>
        <w:ind w:left="0" w:right="0" w:firstLine="850"/>
        <w:jc w:val="left"/>
        <w:rPr/>
      </w:pPr>
      <w:r>
        <w:rPr>
          <w:rFonts w:ascii="Times New Roman" w:hAnsi="Times New Roman"/>
          <w:b w:val="false"/>
          <w:bCs w:val="false"/>
          <w:color w:val="000000"/>
        </w:rPr>
        <w:t xml:space="preserve">V Tušickej Novej Vsi, </w:t>
      </w:r>
      <w:r>
        <w:rPr>
          <w:rFonts w:ascii="Times New Roman" w:hAnsi="Times New Roman"/>
          <w:b w:val="false"/>
          <w:bCs w:val="false"/>
          <w:color w:val="000000"/>
        </w:rPr>
        <w:t>14.3</w:t>
      </w:r>
      <w:r>
        <w:rPr>
          <w:rFonts w:ascii="Times New Roman" w:hAnsi="Times New Roman"/>
          <w:b w:val="false"/>
          <w:bCs w:val="false"/>
          <w:color w:val="000000"/>
        </w:rPr>
        <w:t>.2023</w:t>
        <w:tab/>
        <w:tab/>
        <w:tab/>
        <w:tab/>
        <w:tab/>
        <w:t>Ing. Jana Čačková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SimSun" w:cs="Lucida Sans"/>
      <w:color w:val="00000A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Lucida Sans"/>
    </w:rPr>
  </w:style>
  <w:style w:type="paragraph" w:styleId="Popis">
    <w:name w:val="Popis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887</TotalTime>
  <Application>LibreOffice/4.4.2.2$Windows_x86 LibreOffice_project/c4c7d32d0d49397cad38d62472b0bc8acff48dd6</Application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2023-02-28T12:04:37Z</dcterms:created>
  <dc:language>sk-SK</dc:language>
  <dcterms:modified xsi:type="dcterms:W3CDTF">2023-03-16T15:28:30Z</dcterms:modified>
  <cp:revision>3</cp:revision>
</cp:coreProperties>
</file>