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0300" w:type="dxa"/>
        <w:jc w:val="left"/>
        <w:tblInd w:w="-13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val="00a0"/>
      </w:tblPr>
      <w:tblGrid>
        <w:gridCol w:w="3033"/>
        <w:gridCol w:w="2635"/>
        <w:gridCol w:w="333"/>
        <w:gridCol w:w="339"/>
        <w:gridCol w:w="339"/>
        <w:gridCol w:w="339"/>
        <w:gridCol w:w="339"/>
        <w:gridCol w:w="339"/>
        <w:gridCol w:w="339"/>
        <w:gridCol w:w="335"/>
        <w:gridCol w:w="566"/>
        <w:gridCol w:w="338"/>
        <w:gridCol w:w="337"/>
        <w:gridCol w:w="335"/>
        <w:gridCol w:w="354"/>
      </w:tblGrid>
      <w:tr>
        <w:trPr/>
        <w:tc>
          <w:tcPr>
            <w:tcW w:w="30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left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  <w:lang w:eastAsia="sk-SK"/>
              </w:rPr>
              <w:t>Poznámky (Úč  NUJ 3 – 01)</w:t>
            </w:r>
          </w:p>
        </w:tc>
        <w:tc>
          <w:tcPr>
            <w:tcW w:w="26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left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3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3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3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3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</w:tr>
    </w:tbl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2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2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2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Čl. I.</w:t>
      </w:r>
    </w:p>
    <w:p>
      <w:pPr>
        <w:pStyle w:val="Normal"/>
        <w:keepNext/>
        <w:numPr>
          <w:ilvl w:val="0"/>
          <w:numId w:val="0"/>
        </w:numPr>
        <w:spacing w:lineRule="auto" w:line="240" w:before="0" w:after="200"/>
        <w:jc w:val="center"/>
        <w:outlineLvl w:val="1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Všeobecné údaje</w:t>
      </w:r>
    </w:p>
    <w:p>
      <w:pPr>
        <w:pStyle w:val="Normal"/>
        <w:numPr>
          <w:ilvl w:val="0"/>
          <w:numId w:val="2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Údaje o zakladateľovi alebo zriaďovateľovi účtovnej jednotky:</w:t>
      </w:r>
    </w:p>
    <w:tbl>
      <w:tblPr>
        <w:tblW w:w="9834" w:type="dxa"/>
        <w:jc w:val="left"/>
        <w:tblInd w:w="-13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val="00a0"/>
      </w:tblPr>
      <w:tblGrid>
        <w:gridCol w:w="2865"/>
        <w:gridCol w:w="6968"/>
      </w:tblGrid>
      <w:tr>
        <w:trPr>
          <w:trHeight w:val="284" w:hRule="atLeast"/>
        </w:trPr>
        <w:tc>
          <w:tcPr>
            <w:tcW w:w="286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6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</w:tr>
      <w:tr>
        <w:trPr>
          <w:trHeight w:val="284" w:hRule="atLeast"/>
        </w:trPr>
        <w:tc>
          <w:tcPr>
            <w:tcW w:w="2865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6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Impulz, Združenie na pomoc ľuďom s mentálnym postihnutím v Petržalke</w:t>
            </w:r>
          </w:p>
        </w:tc>
      </w:tr>
      <w:tr>
        <w:trPr>
          <w:trHeight w:val="284" w:hRule="atLeast"/>
        </w:trPr>
        <w:tc>
          <w:tcPr>
            <w:tcW w:w="2865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6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b/>
                <w:bCs/>
                <w:sz w:val="16"/>
                <w:szCs w:val="16"/>
              </w:rPr>
              <w:t>Turnianska 10, 851 07 Bratislava</w:t>
            </w:r>
          </w:p>
        </w:tc>
      </w:tr>
      <w:tr>
        <w:trPr>
          <w:trHeight w:val="284" w:hRule="atLeast"/>
        </w:trPr>
        <w:tc>
          <w:tcPr>
            <w:tcW w:w="2865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6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</w:tr>
      <w:tr>
        <w:trPr>
          <w:trHeight w:val="178" w:hRule="atLeast"/>
        </w:trPr>
        <w:tc>
          <w:tcPr>
            <w:tcW w:w="28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Dátum</w:t>
            </w:r>
            <w:r>
              <w:rPr>
                <w:sz w:val="16"/>
                <w:szCs w:val="16"/>
              </w:rPr>
              <w:t xml:space="preserve"> založenia alebo zriadenia účtovnej jednotky</w:t>
            </w:r>
          </w:p>
        </w:tc>
        <w:tc>
          <w:tcPr>
            <w:tcW w:w="6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21. 10. 2001</w:t>
            </w:r>
          </w:p>
        </w:tc>
      </w:tr>
    </w:tbl>
    <w:p>
      <w:pPr>
        <w:pStyle w:val="Normal"/>
        <w:spacing w:lineRule="auto" w:line="240" w:before="0" w:after="0"/>
        <w:ind w:left="360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2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Informácie o členoch štatutárnych orgánov, dozorných orgánov  a iných orgánov účtovnej jednotky; uvádzajú sa mená a priezviská členov štatutárnych orgánov, dozorných orgánov a iných orgánov účtovnej jednotky.</w:t>
      </w:r>
    </w:p>
    <w:tbl>
      <w:tblPr>
        <w:tblW w:w="9802" w:type="dxa"/>
        <w:jc w:val="right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val="01e0"/>
      </w:tblPr>
      <w:tblGrid>
        <w:gridCol w:w="2833"/>
        <w:gridCol w:w="6968"/>
      </w:tblGrid>
      <w:tr>
        <w:trPr>
          <w:trHeight w:val="284" w:hRule="atLeast"/>
        </w:trPr>
        <w:tc>
          <w:tcPr>
            <w:tcW w:w="283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Štatutárne orgány:</w:t>
            </w:r>
          </w:p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(Štatutár, správna rada, predsedníctvo)</w:t>
            </w:r>
          </w:p>
        </w:tc>
        <w:tc>
          <w:tcPr>
            <w:tcW w:w="6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</w:rPr>
            </w:pPr>
            <w:r>
              <w:rPr>
                <w:color w:val="00000A"/>
                <w:sz w:val="16"/>
                <w:szCs w:val="16"/>
              </w:rPr>
              <w:t>Mgr. Jana Mareková - predseda výboru</w:t>
            </w:r>
          </w:p>
        </w:tc>
      </w:tr>
      <w:tr>
        <w:trPr>
          <w:trHeight w:val="284" w:hRule="atLeast"/>
        </w:trPr>
        <w:tc>
          <w:tcPr>
            <w:tcW w:w="283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</w:rPr>
            </w:pPr>
            <w:r>
              <w:rPr>
                <w:color w:val="00000A"/>
                <w:sz w:val="16"/>
                <w:szCs w:val="16"/>
              </w:rPr>
              <w:t>Mgr. Adriena Pekárová - podpredseda výboru</w:t>
            </w:r>
          </w:p>
        </w:tc>
      </w:tr>
      <w:tr>
        <w:trPr>
          <w:trHeight w:val="284" w:hRule="atLeast"/>
        </w:trPr>
        <w:tc>
          <w:tcPr>
            <w:tcW w:w="283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</w:rPr>
            </w:pPr>
            <w:r>
              <w:rPr>
                <w:color w:val="00000A"/>
                <w:sz w:val="16"/>
                <w:szCs w:val="16"/>
              </w:rPr>
              <w:t xml:space="preserve">Mária Pozorová - člen výboru </w:t>
            </w:r>
          </w:p>
        </w:tc>
      </w:tr>
      <w:tr>
        <w:trPr>
          <w:trHeight w:val="284" w:hRule="atLeast"/>
        </w:trPr>
        <w:tc>
          <w:tcPr>
            <w:tcW w:w="283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</w:rPr>
            </w:pPr>
            <w:r>
              <w:rPr>
                <w:color w:val="00000A"/>
                <w:sz w:val="16"/>
                <w:szCs w:val="16"/>
              </w:rPr>
              <w:t>Šarlota Štrompachová - člen výboru</w:t>
            </w:r>
          </w:p>
        </w:tc>
      </w:tr>
      <w:tr>
        <w:trPr>
          <w:trHeight w:val="284" w:hRule="atLeast"/>
        </w:trPr>
        <w:tc>
          <w:tcPr>
            <w:tcW w:w="283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1C1C1C"/>
                <w:sz w:val="16"/>
                <w:szCs w:val="16"/>
              </w:rPr>
            </w:pPr>
            <w:r>
              <w:rPr>
                <w:color w:val="1C1C1C"/>
                <w:sz w:val="16"/>
                <w:szCs w:val="16"/>
              </w:rPr>
              <w:t>Alena Novotná-člen výboru</w:t>
            </w:r>
          </w:p>
        </w:tc>
      </w:tr>
      <w:tr>
        <w:trPr>
          <w:trHeight w:val="284" w:hRule="atLeast"/>
        </w:trPr>
        <w:tc>
          <w:tcPr>
            <w:tcW w:w="283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1C1C1C"/>
                <w:sz w:val="16"/>
                <w:szCs w:val="16"/>
              </w:rPr>
            </w:pPr>
            <w:r>
              <w:rPr>
                <w:color w:val="1C1C1C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83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1C1C1C"/>
              </w:rPr>
            </w:pPr>
            <w:r>
              <w:rPr>
                <w:color w:val="1C1C1C"/>
              </w:rPr>
            </w:r>
          </w:p>
        </w:tc>
      </w:tr>
      <w:tr>
        <w:trPr>
          <w:trHeight w:val="284" w:hRule="atLeast"/>
        </w:trPr>
        <w:tc>
          <w:tcPr>
            <w:tcW w:w="283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1C1C1C"/>
              </w:rPr>
            </w:pPr>
            <w:r>
              <w:rPr>
                <w:color w:val="1C1C1C"/>
              </w:rPr>
            </w:r>
          </w:p>
        </w:tc>
      </w:tr>
      <w:tr>
        <w:trPr>
          <w:trHeight w:val="284" w:hRule="atLeast"/>
        </w:trPr>
        <w:tc>
          <w:tcPr>
            <w:tcW w:w="283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Dozorný orgán:</w:t>
            </w:r>
          </w:p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(Dozorná rada, revízor)</w:t>
            </w:r>
          </w:p>
        </w:tc>
        <w:tc>
          <w:tcPr>
            <w:tcW w:w="6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C00000"/>
                <w:sz w:val="16"/>
                <w:szCs w:val="16"/>
              </w:rPr>
            </w:pPr>
            <w:r>
              <w:rPr>
                <w:color w:val="1C1C1C"/>
                <w:sz w:val="16"/>
                <w:szCs w:val="16"/>
              </w:rPr>
              <w:t>Ing. Mária Hutirová - člen revíznej komisie</w:t>
            </w:r>
          </w:p>
        </w:tc>
      </w:tr>
      <w:tr>
        <w:trPr>
          <w:trHeight w:val="284" w:hRule="atLeast"/>
        </w:trPr>
        <w:tc>
          <w:tcPr>
            <w:tcW w:w="283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color w:val="1C1C1C"/>
              </w:rPr>
            </w:r>
          </w:p>
        </w:tc>
      </w:tr>
      <w:tr>
        <w:trPr>
          <w:trHeight w:val="284" w:hRule="atLeast"/>
        </w:trPr>
        <w:tc>
          <w:tcPr>
            <w:tcW w:w="283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2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Opis činnosti, na účel ktorej bola účtovná jednotka zriadená a opis druhu podnikateľskej činnosti, ak ju účtovná jednotka vykonáva.</w:t>
      </w:r>
    </w:p>
    <w:tbl>
      <w:tblPr>
        <w:tblW w:w="9802" w:type="dxa"/>
        <w:jc w:val="right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val="01e0"/>
      </w:tblPr>
      <w:tblGrid>
        <w:gridCol w:w="2833"/>
        <w:gridCol w:w="6968"/>
      </w:tblGrid>
      <w:tr>
        <w:trPr>
          <w:trHeight w:val="284" w:hRule="atLeast"/>
        </w:trPr>
        <w:tc>
          <w:tcPr>
            <w:tcW w:w="283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Hlavná činnosť:</w:t>
            </w:r>
          </w:p>
        </w:tc>
        <w:tc>
          <w:tcPr>
            <w:tcW w:w="6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Poskytovanie sociálnych služieb v rehabilitačnom stredisku v zmysle zákona 448/2008 Z.z. §37  </w:t>
            </w:r>
          </w:p>
        </w:tc>
      </w:tr>
      <w:tr>
        <w:trPr>
          <w:trHeight w:val="284" w:hRule="atLeast"/>
        </w:trPr>
        <w:tc>
          <w:tcPr>
            <w:tcW w:w="283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83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83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83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83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83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83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Podnikateľská činnosť:</w:t>
            </w:r>
          </w:p>
        </w:tc>
        <w:tc>
          <w:tcPr>
            <w:tcW w:w="6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Prevádzka chránenej dielne na výrobu darčekových predmetov v zmysle zákona 5/2004 Z.z. §§59 a 60</w:t>
            </w:r>
          </w:p>
        </w:tc>
      </w:tr>
      <w:tr>
        <w:trPr>
          <w:trHeight w:val="284" w:hRule="atLeast"/>
        </w:trPr>
        <w:tc>
          <w:tcPr>
            <w:tcW w:w="283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83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2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Priemerný prepočítaný počet zamestnancov, a z toho počet vedúcich zamestnancov účtovnej jednotky za účtovné obdobie, za ktoré sa zostavuje účtovná závierka (ďalej len „bežné účtovné obdobie“) a za bezprostredne predchádzajúce účtovné obdobie. Počet dobrovoľníkov vyslaných účtovnou jednotkou a počet dobrovoľníkov, ktorí vykonávali dobrovoľnícku činnosť pre účtovnú jednotku počas účtovného obdobia. </w:t>
      </w:r>
    </w:p>
    <w:tbl>
      <w:tblPr>
        <w:tblW w:w="4700" w:type="pct"/>
        <w:jc w:val="left"/>
        <w:tblInd w:w="36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val="00a0"/>
      </w:tblPr>
      <w:tblGrid>
        <w:gridCol w:w="4689"/>
        <w:gridCol w:w="2208"/>
        <w:gridCol w:w="2482"/>
      </w:tblGrid>
      <w:tr>
        <w:trPr>
          <w:trHeight w:val="284" w:hRule="atLeast"/>
        </w:trPr>
        <w:tc>
          <w:tcPr>
            <w:tcW w:w="46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</w:tcPr>
          <w:p>
            <w:pPr>
              <w:pStyle w:val="Textopatrenia"/>
              <w:spacing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2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4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>
        <w:trPr>
          <w:trHeight w:val="284" w:hRule="atLeast"/>
        </w:trPr>
        <w:tc>
          <w:tcPr>
            <w:tcW w:w="46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Textopatrenia"/>
              <w:spacing w:before="0" w:after="0"/>
              <w:jc w:val="left"/>
              <w:rPr/>
            </w:pPr>
            <w:r>
              <w:rPr>
                <w:sz w:val="16"/>
                <w:szCs w:val="16"/>
              </w:rPr>
              <w:t>Stav pracovníkov k 31.12.2022</w:t>
            </w:r>
          </w:p>
        </w:tc>
        <w:tc>
          <w:tcPr>
            <w:tcW w:w="22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Textopatrenia"/>
              <w:spacing w:before="0" w:after="0"/>
              <w:jc w:val="center"/>
              <w:rPr>
                <w:color w:val="1C1C1C"/>
              </w:rPr>
            </w:pPr>
            <w:r>
              <w:rPr>
                <w:color w:val="1C1C1C"/>
                <w:sz w:val="16"/>
                <w:szCs w:val="16"/>
              </w:rPr>
              <w:t>10</w:t>
            </w:r>
          </w:p>
        </w:tc>
        <w:tc>
          <w:tcPr>
            <w:tcW w:w="24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Textopatrenia"/>
              <w:spacing w:before="0" w:after="0"/>
              <w:jc w:val="cent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14</w:t>
            </w:r>
          </w:p>
        </w:tc>
      </w:tr>
      <w:tr>
        <w:trPr>
          <w:trHeight w:val="284" w:hRule="atLeast"/>
        </w:trPr>
        <w:tc>
          <w:tcPr>
            <w:tcW w:w="46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Textopatrenia"/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22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Textopatrenia"/>
              <w:spacing w:before="0" w:after="0"/>
              <w:jc w:val="center"/>
              <w:rPr>
                <w:color w:val="1C1C1C"/>
              </w:rPr>
            </w:pPr>
            <w:r>
              <w:rPr>
                <w:color w:val="1C1C1C"/>
                <w:sz w:val="16"/>
                <w:szCs w:val="16"/>
              </w:rPr>
              <w:t>10</w:t>
            </w:r>
          </w:p>
        </w:tc>
        <w:tc>
          <w:tcPr>
            <w:tcW w:w="24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Textopatrenia"/>
              <w:spacing w:before="0" w:after="0"/>
              <w:jc w:val="cent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14</w:t>
            </w:r>
          </w:p>
        </w:tc>
      </w:tr>
      <w:tr>
        <w:trPr>
          <w:trHeight w:val="284" w:hRule="atLeast"/>
        </w:trPr>
        <w:tc>
          <w:tcPr>
            <w:tcW w:w="46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Textopatrenia"/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22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Textopatrenia"/>
              <w:spacing w:before="0" w:after="0"/>
              <w:jc w:val="cent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1</w:t>
            </w:r>
          </w:p>
        </w:tc>
        <w:tc>
          <w:tcPr>
            <w:tcW w:w="24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Textopatrenia"/>
              <w:spacing w:before="0" w:after="0"/>
              <w:jc w:val="cent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1</w:t>
            </w:r>
          </w:p>
        </w:tc>
      </w:tr>
      <w:tr>
        <w:trPr>
          <w:trHeight w:val="284" w:hRule="atLeast"/>
        </w:trPr>
        <w:tc>
          <w:tcPr>
            <w:tcW w:w="46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Textopatrenia"/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22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Textopatrenia"/>
              <w:spacing w:before="0" w:after="0"/>
              <w:jc w:val="cent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  <w:tc>
          <w:tcPr>
            <w:tcW w:w="24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Textopatrenia"/>
              <w:spacing w:before="0" w:after="0"/>
              <w:jc w:val="cent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46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Textopatrenia"/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2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Textopatrenia"/>
              <w:spacing w:before="0" w:after="0"/>
              <w:jc w:val="cent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  <w:tc>
          <w:tcPr>
            <w:tcW w:w="24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Textopatrenia"/>
              <w:spacing w:before="0" w:after="0"/>
              <w:jc w:val="cent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</w:tr>
    </w:tbl>
    <w:p>
      <w:pPr>
        <w:pStyle w:val="Normal"/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2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Informácia o organizáciách v zriaďovateľskej pôsobnosti účtovnej jednotky.</w:t>
      </w:r>
    </w:p>
    <w:p>
      <w:pPr>
        <w:pStyle w:val="Normal"/>
        <w:spacing w:lineRule="auto" w:line="240" w:before="0" w:after="120"/>
        <w:ind w:left="360" w:hanging="0"/>
        <w:rPr>
          <w:sz w:val="18"/>
          <w:szCs w:val="18"/>
        </w:rPr>
      </w:pPr>
      <w:r>
        <w:rPr>
          <w:sz w:val="18"/>
          <w:szCs w:val="18"/>
        </w:rPr>
        <w:t>Nezisková organizácia nemá vo svojej zriaďovateľskej pôsobnosti žiadne organizácie.</w:t>
      </w:r>
    </w:p>
    <w:p>
      <w:pPr>
        <w:pStyle w:val="Normal"/>
        <w:spacing w:lineRule="auto" w:line="240" w:before="0" w:after="120"/>
        <w:ind w:left="360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2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Údaje podľa čl. I, III a IV  sa uvádzajú v textovej podobe a tabuľkovej podobe. </w:t>
      </w:r>
    </w:p>
    <w:p>
      <w:pPr>
        <w:pStyle w:val="Normal"/>
        <w:spacing w:lineRule="auto" w:line="240" w:before="0" w:after="120"/>
        <w:ind w:left="360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0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Čl. II</w:t>
      </w:r>
    </w:p>
    <w:p>
      <w:pPr>
        <w:pStyle w:val="Normal"/>
        <w:keepNext/>
        <w:numPr>
          <w:ilvl w:val="0"/>
          <w:numId w:val="0"/>
        </w:numPr>
        <w:spacing w:lineRule="auto" w:line="240" w:before="0" w:after="200"/>
        <w:jc w:val="center"/>
        <w:outlineLvl w:val="1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 o účtovných zásadách a účtovných metódach</w:t>
      </w:r>
    </w:p>
    <w:p>
      <w:pPr>
        <w:pStyle w:val="Normal"/>
        <w:numPr>
          <w:ilvl w:val="0"/>
          <w:numId w:val="3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Informácia, či je účtovná závierka zostavená za splnenia predpokladu, že účtovná jednotka bude nepretržite pokračovať vo svojej činnosti.</w:t>
      </w:r>
    </w:p>
    <w:p>
      <w:pPr>
        <w:pStyle w:val="Normal"/>
        <w:spacing w:lineRule="auto" w:line="240" w:before="0" w:after="120"/>
        <w:ind w:left="360" w:hanging="0"/>
        <w:rPr>
          <w:sz w:val="18"/>
          <w:szCs w:val="18"/>
        </w:rPr>
      </w:pPr>
      <w:r>
        <w:rPr>
          <w:sz w:val="18"/>
          <w:szCs w:val="18"/>
          <w:bdr w:val="single" w:sz="4" w:space="0" w:color="00000A"/>
        </w:rPr>
        <w:t>ÁNO</w:t>
        <w:tab/>
      </w:r>
      <w:r>
        <w:rPr>
          <w:sz w:val="18"/>
          <w:szCs w:val="18"/>
        </w:rPr>
        <w:tab/>
        <w:t xml:space="preserve"> </w:t>
      </w:r>
    </w:p>
    <w:p>
      <w:pPr>
        <w:pStyle w:val="Normal"/>
        <w:numPr>
          <w:ilvl w:val="0"/>
          <w:numId w:val="3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Zmeny účtovných zásad a zmeny účtovných metód s uvedením dôvodu týchto zmien a vyčíslením ich vplyvu na finančnú hodnotu majetku, záväzkov, základného imania a výsledku hospodárenia účtovnej jednotky.</w:t>
      </w:r>
    </w:p>
    <w:tbl>
      <w:tblPr>
        <w:tblW w:w="4750" w:type="pct"/>
        <w:jc w:val="left"/>
        <w:tblInd w:w="32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40" w:type="dxa"/>
          <w:bottom w:w="0" w:type="dxa"/>
          <w:right w:w="70" w:type="dxa"/>
        </w:tblCellMar>
        <w:tblLook w:val="0000"/>
      </w:tblPr>
      <w:tblGrid>
        <w:gridCol w:w="2791"/>
        <w:gridCol w:w="3343"/>
        <w:gridCol w:w="3345"/>
      </w:tblGrid>
      <w:tr>
        <w:trPr>
          <w:trHeight w:val="284" w:hRule="atLeast"/>
        </w:trPr>
        <w:tc>
          <w:tcPr>
            <w:tcW w:w="27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b/>
                <w:b/>
                <w:bCs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bCs/>
                <w:sz w:val="16"/>
                <w:szCs w:val="16"/>
                <w:lang w:val="sk-SK"/>
              </w:rPr>
              <w:t>Druh zmeny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b/>
                <w:b/>
                <w:bCs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bCs/>
                <w:sz w:val="16"/>
                <w:szCs w:val="16"/>
                <w:lang w:val="sk-SK"/>
              </w:rPr>
              <w:t>Dôvod</w:t>
            </w:r>
          </w:p>
        </w:tc>
        <w:tc>
          <w:tcPr>
            <w:tcW w:w="3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b/>
                <w:b/>
                <w:bCs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bCs/>
                <w:sz w:val="16"/>
                <w:szCs w:val="16"/>
                <w:lang w:val="sk-SK"/>
              </w:rPr>
              <w:t>Vplyv na hodnotu majetku, záväzkov, základného imania a výsledku hospodárenia</w:t>
            </w:r>
          </w:p>
        </w:tc>
      </w:tr>
      <w:tr>
        <w:trPr>
          <w:trHeight w:val="284" w:hRule="atLeast"/>
        </w:trPr>
        <w:tc>
          <w:tcPr>
            <w:tcW w:w="27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Nenastali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</w:r>
          </w:p>
        </w:tc>
        <w:tc>
          <w:tcPr>
            <w:tcW w:w="3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3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Spôsob oceňovania jednotlivých položiek majetku a záväzkov v členení na</w:t>
      </w:r>
    </w:p>
    <w:tbl>
      <w:tblPr>
        <w:tblW w:w="9802" w:type="dxa"/>
        <w:jc w:val="right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val="01e0"/>
      </w:tblPr>
      <w:tblGrid>
        <w:gridCol w:w="6294"/>
        <w:gridCol w:w="3507"/>
      </w:tblGrid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Majetok a záväzky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Spôsob oceňovania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 obstaraný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nehmotný majetok obstaraný vlastnou činnosťou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 obstaraný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nehmotný majetok obstaraný iným spôsobom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 obstaraný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Obstarávacia cena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hmotný majetok obstaraný vlastnou činnosťou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 obstaraný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hmotný majetok obstaraný iným spôsobom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 obstaraný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finančný majetok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 obstaraný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Obstarávacia cena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Neboli vytvorené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zásoby obstarané iným spôsobom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Neboli obstarané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deriváty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Netýka sa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Netýka sa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Netýka sa</w:t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3"/>
        </w:numPr>
        <w:spacing w:lineRule="auto" w:line="240" w:before="0" w:after="120"/>
        <w:rPr>
          <w:color w:val="FF0000"/>
          <w:sz w:val="18"/>
          <w:szCs w:val="18"/>
        </w:rPr>
      </w:pPr>
      <w:r>
        <w:rPr>
          <w:color w:val="1C1C1C"/>
          <w:sz w:val="18"/>
          <w:szCs w:val="18"/>
        </w:rPr>
        <w:t xml:space="preserve">Spôsob zostavenia odpisového plánu pre jednotlivé druhy dlhodobého hmotného majetku  a dlhodobého nehmotného majetku, pričom sa uvádza doba odpisovania, použité sadzby odpisov a odpisové metódy pri určení účtovných odpisov. </w:t>
      </w:r>
    </w:p>
    <w:tbl>
      <w:tblPr>
        <w:tblW w:w="4800" w:type="pct"/>
        <w:jc w:val="left"/>
        <w:tblInd w:w="32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40" w:type="dxa"/>
          <w:bottom w:w="0" w:type="dxa"/>
          <w:right w:w="70" w:type="dxa"/>
        </w:tblCellMar>
        <w:tblLook w:val="0000"/>
      </w:tblPr>
      <w:tblGrid>
        <w:gridCol w:w="2359"/>
        <w:gridCol w:w="1973"/>
        <w:gridCol w:w="2372"/>
        <w:gridCol w:w="2873"/>
      </w:tblGrid>
      <w:tr>
        <w:trPr>
          <w:trHeight w:val="284" w:hRule="atLeast"/>
        </w:trPr>
        <w:tc>
          <w:tcPr>
            <w:tcW w:w="23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Telotextu"/>
              <w:jc w:val="left"/>
              <w:rPr>
                <w:rFonts w:ascii="Arial Narrow" w:hAnsi="Arial Narrow" w:cs="Arial Narrow"/>
                <w:b/>
                <w:b/>
                <w:bCs/>
                <w:color w:val="FF0000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bCs/>
                <w:color w:val="1C1C1C"/>
                <w:sz w:val="16"/>
                <w:szCs w:val="16"/>
                <w:lang w:val="sk-SK"/>
              </w:rPr>
              <w:t>Druh dlhodobého majetku</w:t>
            </w:r>
          </w:p>
        </w:tc>
        <w:tc>
          <w:tcPr>
            <w:tcW w:w="1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b/>
                <w:b/>
                <w:bCs/>
                <w:color w:val="FF0000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bCs/>
                <w:color w:val="1C1C1C"/>
                <w:sz w:val="16"/>
                <w:szCs w:val="16"/>
                <w:lang w:val="sk-SK"/>
              </w:rPr>
              <w:t>Doba odpisovania</w:t>
            </w:r>
          </w:p>
        </w:tc>
        <w:tc>
          <w:tcPr>
            <w:tcW w:w="23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b/>
                <w:b/>
                <w:bCs/>
                <w:color w:val="FF0000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bCs/>
                <w:color w:val="1C1C1C"/>
                <w:sz w:val="16"/>
                <w:szCs w:val="16"/>
                <w:lang w:val="sk-SK"/>
              </w:rPr>
              <w:t>Sadzby odpisov</w:t>
            </w:r>
          </w:p>
        </w:tc>
        <w:tc>
          <w:tcPr>
            <w:tcW w:w="28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b/>
                <w:b/>
                <w:bCs/>
                <w:color w:val="FF0000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bCs/>
                <w:color w:val="1C1C1C"/>
                <w:sz w:val="16"/>
                <w:szCs w:val="16"/>
                <w:lang w:val="sk-SK"/>
              </w:rPr>
              <w:t>Odpisová metóda</w:t>
            </w:r>
          </w:p>
        </w:tc>
      </w:tr>
      <w:tr>
        <w:trPr>
          <w:trHeight w:val="284" w:hRule="atLeast"/>
        </w:trPr>
        <w:tc>
          <w:tcPr>
            <w:tcW w:w="23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Telotextu"/>
              <w:jc w:val="left"/>
              <w:rPr>
                <w:rFonts w:ascii="Arial Narrow" w:hAnsi="Arial Narrow" w:cs="Arial Narrow"/>
                <w:color w:val="FF0000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color w:val="1C1C1C"/>
                <w:sz w:val="16"/>
                <w:szCs w:val="16"/>
                <w:lang w:val="sk-SK"/>
              </w:rPr>
              <w:t>Samostatné hnuteľné veci</w:t>
            </w:r>
          </w:p>
        </w:tc>
        <w:tc>
          <w:tcPr>
            <w:tcW w:w="1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color w:val="1C1C1C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color w:val="1C1C1C"/>
                <w:sz w:val="16"/>
                <w:szCs w:val="16"/>
                <w:lang w:val="sk-SK"/>
              </w:rPr>
              <w:t>48 mesiacov</w:t>
            </w:r>
          </w:p>
        </w:tc>
        <w:tc>
          <w:tcPr>
            <w:tcW w:w="23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color w:val="1C1C1C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color w:val="1C1C1C"/>
                <w:sz w:val="16"/>
                <w:szCs w:val="16"/>
                <w:lang w:val="sk-SK"/>
              </w:rPr>
            </w:r>
          </w:p>
        </w:tc>
        <w:tc>
          <w:tcPr>
            <w:tcW w:w="28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color w:val="1C1C1C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color w:val="1C1C1C"/>
                <w:sz w:val="16"/>
                <w:szCs w:val="16"/>
                <w:lang w:val="sk-SK"/>
              </w:rPr>
            </w:r>
          </w:p>
        </w:tc>
      </w:tr>
      <w:tr>
        <w:trPr>
          <w:trHeight w:val="284" w:hRule="atLeast"/>
        </w:trPr>
        <w:tc>
          <w:tcPr>
            <w:tcW w:w="23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Telotextu"/>
              <w:jc w:val="left"/>
              <w:rPr>
                <w:rFonts w:ascii="Arial Narrow" w:hAnsi="Arial Narrow" w:cs="Arial Narrow"/>
                <w:color w:val="FF0000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color w:val="1C1C1C"/>
                <w:sz w:val="16"/>
                <w:szCs w:val="16"/>
                <w:lang w:val="sk-SK"/>
              </w:rPr>
              <w:t>Drobný dlhodobý hmotný majetok</w:t>
            </w:r>
          </w:p>
        </w:tc>
        <w:tc>
          <w:tcPr>
            <w:tcW w:w="1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color w:val="1C1C1C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color w:val="1C1C1C"/>
                <w:sz w:val="16"/>
                <w:szCs w:val="16"/>
                <w:lang w:val="sk-SK"/>
              </w:rPr>
              <w:t>24 mesiacov</w:t>
            </w:r>
          </w:p>
        </w:tc>
        <w:tc>
          <w:tcPr>
            <w:tcW w:w="23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color w:val="1C1C1C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color w:val="1C1C1C"/>
                <w:sz w:val="16"/>
                <w:szCs w:val="16"/>
                <w:lang w:val="sk-SK"/>
              </w:rPr>
            </w:r>
          </w:p>
        </w:tc>
        <w:tc>
          <w:tcPr>
            <w:tcW w:w="28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color w:val="1C1C1C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color w:val="1C1C1C"/>
                <w:sz w:val="16"/>
                <w:szCs w:val="16"/>
                <w:lang w:val="sk-SK"/>
              </w:rPr>
            </w:r>
          </w:p>
        </w:tc>
      </w:tr>
    </w:tbl>
    <w:p>
      <w:pPr>
        <w:pStyle w:val="Normal"/>
        <w:spacing w:lineRule="auto" w:line="240" w:before="0" w:after="0"/>
        <w:rPr>
          <w:color w:val="1C1C1C"/>
          <w:sz w:val="18"/>
          <w:szCs w:val="18"/>
        </w:rPr>
      </w:pPr>
      <w:r>
        <w:rPr>
          <w:color w:val="1C1C1C"/>
          <w:sz w:val="18"/>
          <w:szCs w:val="18"/>
        </w:rPr>
      </w:r>
    </w:p>
    <w:p>
      <w:pPr>
        <w:pStyle w:val="Normal"/>
        <w:numPr>
          <w:ilvl w:val="0"/>
          <w:numId w:val="3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Zásady pre zohľadnenie zníženia hodnoty majetku – účtovná jednotka uplatňuje: </w:t>
      </w:r>
    </w:p>
    <w:tbl>
      <w:tblPr>
        <w:tblW w:w="9781" w:type="dxa"/>
        <w:jc w:val="left"/>
        <w:tblInd w:w="36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val="00a0"/>
      </w:tblPr>
      <w:tblGrid>
        <w:gridCol w:w="4365"/>
        <w:gridCol w:w="5415"/>
      </w:tblGrid>
      <w:tr>
        <w:trPr>
          <w:trHeight w:val="284" w:hRule="atLeast"/>
        </w:trPr>
        <w:tc>
          <w:tcPr>
            <w:tcW w:w="43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b/>
                <w:b/>
                <w:bCs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bCs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5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b/>
                <w:b/>
                <w:bCs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bCs/>
                <w:sz w:val="16"/>
                <w:szCs w:val="16"/>
                <w:lang w:val="sk-SK"/>
              </w:rPr>
              <w:t>Rezervy</w:t>
            </w:r>
          </w:p>
        </w:tc>
      </w:tr>
      <w:tr>
        <w:trPr>
          <w:trHeight w:val="284" w:hRule="atLeast"/>
        </w:trPr>
        <w:tc>
          <w:tcPr>
            <w:tcW w:w="43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Nie</w:t>
            </w:r>
          </w:p>
        </w:tc>
        <w:tc>
          <w:tcPr>
            <w:tcW w:w="5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nie </w:t>
            </w:r>
          </w:p>
        </w:tc>
      </w:tr>
    </w:tbl>
    <w:p>
      <w:pPr>
        <w:pStyle w:val="Normal"/>
        <w:spacing w:lineRule="auto" w:line="240" w:before="0" w:after="120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spacing w:lineRule="auto" w:line="240" w:before="0" w:after="120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0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Čl. III</w:t>
      </w:r>
    </w:p>
    <w:p>
      <w:pPr>
        <w:pStyle w:val="Normal"/>
        <w:keepNext/>
        <w:numPr>
          <w:ilvl w:val="0"/>
          <w:numId w:val="0"/>
        </w:numPr>
        <w:spacing w:lineRule="auto" w:line="240" w:before="0" w:after="120"/>
        <w:jc w:val="center"/>
        <w:outlineLvl w:val="1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Informácie, ktoré dopĺňajú a vysvetľujú údaje v súvahe</w:t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Údaje o dlhodobom nehmotnom majetku a dlhodobom hmotnom majetku za bežné účtovné obdobie:</w:t>
      </w:r>
    </w:p>
    <w:p>
      <w:pPr>
        <w:pStyle w:val="Normal"/>
        <w:numPr>
          <w:ilvl w:val="0"/>
          <w:numId w:val="6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>
      <w:pPr>
        <w:pStyle w:val="Normal"/>
        <w:numPr>
          <w:ilvl w:val="0"/>
          <w:numId w:val="6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>
      <w:pPr>
        <w:pStyle w:val="Normal"/>
        <w:numPr>
          <w:ilvl w:val="0"/>
          <w:numId w:val="6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o zostatkových cenách dlhodobého majetku na začiatku bežného účtovného obdobia a na konci bežného účtovného obdobia.</w:t>
      </w:r>
    </w:p>
    <w:p>
      <w:pPr>
        <w:pStyle w:val="Normal"/>
        <w:spacing w:lineRule="auto" w:line="240" w:before="0" w:after="12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č. 1</w:t>
      </w:r>
    </w:p>
    <w:tbl>
      <w:tblPr>
        <w:tblW w:w="5000" w:type="pct"/>
        <w:jc w:val="left"/>
        <w:tblInd w:w="-9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35" w:type="dxa"/>
          <w:bottom w:w="0" w:type="dxa"/>
          <w:right w:w="70" w:type="dxa"/>
        </w:tblCellMar>
        <w:tblLook w:val="00a0"/>
      </w:tblPr>
      <w:tblGrid>
        <w:gridCol w:w="2288"/>
        <w:gridCol w:w="1118"/>
        <w:gridCol w:w="1041"/>
        <w:gridCol w:w="1089"/>
        <w:gridCol w:w="1071"/>
        <w:gridCol w:w="1231"/>
        <w:gridCol w:w="1127"/>
        <w:gridCol w:w="1011"/>
      </w:tblGrid>
      <w:tr>
        <w:trPr>
          <w:trHeight w:val="1224" w:hRule="atLeast"/>
        </w:trPr>
        <w:tc>
          <w:tcPr>
            <w:tcW w:w="22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Nehmotné výsledky z vývojovej a obdobnej činnosti</w:t>
            </w:r>
          </w:p>
        </w:tc>
        <w:tc>
          <w:tcPr>
            <w:tcW w:w="1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Softvér</w:t>
            </w:r>
          </w:p>
        </w:tc>
        <w:tc>
          <w:tcPr>
            <w:tcW w:w="10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Oceniteľné práva</w:t>
            </w:r>
          </w:p>
        </w:tc>
        <w:tc>
          <w:tcPr>
            <w:tcW w:w="1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Ostatný dlhodobý nehmotný majetok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Obstaranie dlhodobého nehmotného majetku</w:t>
            </w:r>
          </w:p>
        </w:tc>
        <w:tc>
          <w:tcPr>
            <w:tcW w:w="1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Poskytnuté preddavky na dlhodobý nehmotný majetok</w:t>
            </w:r>
          </w:p>
        </w:tc>
        <w:tc>
          <w:tcPr>
            <w:tcW w:w="10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Spolu</w:t>
            </w:r>
          </w:p>
        </w:tc>
      </w:tr>
      <w:tr>
        <w:trPr>
          <w:trHeight w:val="612" w:hRule="atLeast"/>
        </w:trPr>
        <w:tc>
          <w:tcPr>
            <w:tcW w:w="22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Prvotné ocenenie</w:t>
            </w:r>
            <w:r>
              <w:rPr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0</w:t>
            </w:r>
          </w:p>
        </w:tc>
      </w:tr>
      <w:tr>
        <w:trPr>
          <w:trHeight w:val="288" w:hRule="atLeast"/>
        </w:trPr>
        <w:tc>
          <w:tcPr>
            <w:tcW w:w="22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</w:tr>
      <w:tr>
        <w:trPr>
          <w:trHeight w:val="288" w:hRule="atLeast"/>
        </w:trPr>
        <w:tc>
          <w:tcPr>
            <w:tcW w:w="22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</w:tr>
      <w:tr>
        <w:trPr>
          <w:trHeight w:val="288" w:hRule="atLeast"/>
        </w:trPr>
        <w:tc>
          <w:tcPr>
            <w:tcW w:w="22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</w:tr>
      <w:tr>
        <w:trPr>
          <w:trHeight w:val="408" w:hRule="atLeast"/>
        </w:trPr>
        <w:tc>
          <w:tcPr>
            <w:tcW w:w="22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</w:tr>
      <w:tr>
        <w:trPr>
          <w:trHeight w:val="408" w:hRule="atLeast"/>
        </w:trPr>
        <w:tc>
          <w:tcPr>
            <w:tcW w:w="22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 xml:space="preserve">Oprávky – </w:t>
            </w:r>
            <w:r>
              <w:rPr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</w:tr>
      <w:tr>
        <w:trPr>
          <w:trHeight w:val="288" w:hRule="atLeast"/>
        </w:trPr>
        <w:tc>
          <w:tcPr>
            <w:tcW w:w="22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</w:tr>
      <w:tr>
        <w:trPr>
          <w:trHeight w:val="288" w:hRule="atLeast"/>
        </w:trPr>
        <w:tc>
          <w:tcPr>
            <w:tcW w:w="22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</w:tr>
      <w:tr>
        <w:trPr>
          <w:trHeight w:val="408" w:hRule="atLeast"/>
        </w:trPr>
        <w:tc>
          <w:tcPr>
            <w:tcW w:w="22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</w:tr>
      <w:tr>
        <w:trPr>
          <w:trHeight w:val="612" w:hRule="atLeast"/>
        </w:trPr>
        <w:tc>
          <w:tcPr>
            <w:tcW w:w="22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Opravné položky</w:t>
            </w:r>
            <w:r>
              <w:rPr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</w:tr>
      <w:tr>
        <w:trPr>
          <w:trHeight w:val="288" w:hRule="atLeast"/>
        </w:trPr>
        <w:tc>
          <w:tcPr>
            <w:tcW w:w="22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</w:tr>
      <w:tr>
        <w:trPr>
          <w:trHeight w:val="288" w:hRule="atLeast"/>
        </w:trPr>
        <w:tc>
          <w:tcPr>
            <w:tcW w:w="22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</w:tr>
      <w:tr>
        <w:trPr>
          <w:trHeight w:val="408" w:hRule="atLeast"/>
        </w:trPr>
        <w:tc>
          <w:tcPr>
            <w:tcW w:w="22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</w:tr>
      <w:tr>
        <w:trPr>
          <w:trHeight w:val="288" w:hRule="atLeast"/>
        </w:trPr>
        <w:tc>
          <w:tcPr>
            <w:tcW w:w="9976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Zostatková hodnota</w:t>
            </w:r>
          </w:p>
        </w:tc>
      </w:tr>
      <w:tr>
        <w:trPr>
          <w:trHeight w:val="408" w:hRule="atLeast"/>
        </w:trPr>
        <w:tc>
          <w:tcPr>
            <w:tcW w:w="22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408" w:hRule="atLeast"/>
        </w:trPr>
        <w:tc>
          <w:tcPr>
            <w:tcW w:w="22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  <w:tc>
          <w:tcPr>
            <w:tcW w:w="1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  <w:tc>
          <w:tcPr>
            <w:tcW w:w="10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  <w:tc>
          <w:tcPr>
            <w:tcW w:w="1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  <w:tc>
          <w:tcPr>
            <w:tcW w:w="1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  <w:tc>
          <w:tcPr>
            <w:tcW w:w="10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</w:tr>
    </w:tbl>
    <w:p>
      <w:pPr>
        <w:pStyle w:val="Normal"/>
        <w:spacing w:lineRule="auto" w:line="240"/>
        <w:rPr>
          <w:b/>
          <w:b/>
          <w:bCs/>
          <w:i/>
          <w:i/>
          <w:iCs/>
          <w:color w:val="00000A"/>
          <w:sz w:val="18"/>
          <w:szCs w:val="18"/>
        </w:rPr>
      </w:pPr>
      <w:r>
        <w:rPr>
          <w:b/>
          <w:bCs/>
          <w:i/>
          <w:iCs/>
          <w:color w:val="00000A"/>
          <w:sz w:val="18"/>
          <w:szCs w:val="18"/>
        </w:rPr>
      </w:r>
    </w:p>
    <w:p>
      <w:pPr>
        <w:pStyle w:val="Normal"/>
        <w:spacing w:lineRule="auto" w:line="240"/>
        <w:rPr>
          <w:b/>
          <w:b/>
          <w:bCs/>
          <w:i/>
          <w:i/>
          <w:iCs/>
          <w:color w:val="00000A"/>
          <w:sz w:val="18"/>
          <w:szCs w:val="18"/>
        </w:rPr>
      </w:pPr>
      <w:r>
        <w:rPr>
          <w:b/>
          <w:bCs/>
          <w:i/>
          <w:iCs/>
          <w:color w:val="00000A"/>
          <w:sz w:val="18"/>
          <w:szCs w:val="18"/>
        </w:rPr>
        <w:t>Tabuľka č. 2</w:t>
      </w:r>
    </w:p>
    <w:tbl>
      <w:tblPr>
        <w:tblW w:w="10475" w:type="dxa"/>
        <w:jc w:val="left"/>
        <w:tblInd w:w="-9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35" w:type="dxa"/>
          <w:bottom w:w="0" w:type="dxa"/>
          <w:right w:w="70" w:type="dxa"/>
        </w:tblCellMar>
        <w:tblLook w:val="00a0"/>
      </w:tblPr>
      <w:tblGrid>
        <w:gridCol w:w="1487"/>
        <w:gridCol w:w="709"/>
        <w:gridCol w:w="850"/>
        <w:gridCol w:w="852"/>
        <w:gridCol w:w="850"/>
        <w:gridCol w:w="992"/>
        <w:gridCol w:w="709"/>
        <w:gridCol w:w="854"/>
        <w:gridCol w:w="849"/>
        <w:gridCol w:w="709"/>
        <w:gridCol w:w="142"/>
        <w:gridCol w:w="568"/>
        <w:gridCol w:w="1"/>
        <w:gridCol w:w="902"/>
      </w:tblGrid>
      <w:tr>
        <w:trPr>
          <w:trHeight w:val="1020" w:hRule="atLeast"/>
        </w:trPr>
        <w:tc>
          <w:tcPr>
            <w:tcW w:w="1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Umelecké diela a zbierky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Samost. hnuteľné veci a súbory hnut. vecí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Dopravné prostriedky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Pestova-teľské celky trvalých porastov</w:t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Drobný a ostatný dlhodobý hmotný majetok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Obst.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dlhodob. hmot. majetku</w:t>
            </w:r>
          </w:p>
        </w:tc>
        <w:tc>
          <w:tcPr>
            <w:tcW w:w="71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Poskyt predd. na dlho-dobý hmotný majetok</w:t>
            </w:r>
          </w:p>
        </w:tc>
        <w:tc>
          <w:tcPr>
            <w:tcW w:w="9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Spolu</w:t>
            </w:r>
          </w:p>
        </w:tc>
      </w:tr>
      <w:tr>
        <w:trPr>
          <w:trHeight w:val="408" w:hRule="atLeast"/>
        </w:trPr>
        <w:tc>
          <w:tcPr>
            <w:tcW w:w="1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Prvotné ocenenie</w:t>
            </w:r>
            <w:r>
              <w:rPr>
                <w:color w:val="00000A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7 893</w:t>
            </w:r>
          </w:p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3 965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71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9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11 858</w:t>
            </w:r>
          </w:p>
        </w:tc>
      </w:tr>
      <w:tr>
        <w:trPr>
          <w:trHeight w:val="288" w:hRule="atLeast"/>
        </w:trPr>
        <w:tc>
          <w:tcPr>
            <w:tcW w:w="1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71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9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8" w:hRule="atLeast"/>
        </w:trPr>
        <w:tc>
          <w:tcPr>
            <w:tcW w:w="1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 xml:space="preserve">      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71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9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</w:tr>
      <w:tr>
        <w:trPr>
          <w:trHeight w:val="288" w:hRule="atLeast"/>
        </w:trPr>
        <w:tc>
          <w:tcPr>
            <w:tcW w:w="1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71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9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</w:tr>
      <w:tr>
        <w:trPr>
          <w:trHeight w:val="408" w:hRule="atLeast"/>
        </w:trPr>
        <w:tc>
          <w:tcPr>
            <w:tcW w:w="1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7 893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3 965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71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9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11 858</w:t>
            </w:r>
          </w:p>
        </w:tc>
      </w:tr>
      <w:tr>
        <w:trPr>
          <w:trHeight w:val="408" w:hRule="atLeast"/>
        </w:trPr>
        <w:tc>
          <w:tcPr>
            <w:tcW w:w="1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 xml:space="preserve">Oprávky – </w:t>
            </w:r>
            <w:r>
              <w:rPr>
                <w:color w:val="00000A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7 893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3 965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71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9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11 858</w:t>
            </w:r>
          </w:p>
        </w:tc>
      </w:tr>
      <w:tr>
        <w:trPr>
          <w:trHeight w:val="288" w:hRule="atLeast"/>
        </w:trPr>
        <w:tc>
          <w:tcPr>
            <w:tcW w:w="1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71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9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8" w:hRule="atLeast"/>
        </w:trPr>
        <w:tc>
          <w:tcPr>
            <w:tcW w:w="1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 xml:space="preserve">           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71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9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</w:tr>
      <w:tr>
        <w:trPr>
          <w:trHeight w:val="408" w:hRule="atLeast"/>
        </w:trPr>
        <w:tc>
          <w:tcPr>
            <w:tcW w:w="1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7 893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3 965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71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9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11 858</w:t>
            </w:r>
          </w:p>
        </w:tc>
      </w:tr>
      <w:tr>
        <w:trPr>
          <w:trHeight w:val="408" w:hRule="atLeast"/>
        </w:trPr>
        <w:tc>
          <w:tcPr>
            <w:tcW w:w="1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Opravné položky</w:t>
            </w:r>
            <w:r>
              <w:rPr>
                <w:color w:val="00000A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1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1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1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1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1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408" w:hRule="atLeast"/>
        </w:trPr>
        <w:tc>
          <w:tcPr>
            <w:tcW w:w="1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1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10474" w:type="dxa"/>
            <w:gridSpan w:val="1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Zostatková hodnota</w:t>
            </w:r>
          </w:p>
        </w:tc>
      </w:tr>
      <w:tr>
        <w:trPr>
          <w:trHeight w:val="408" w:hRule="atLeast"/>
        </w:trPr>
        <w:tc>
          <w:tcPr>
            <w:tcW w:w="1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90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0</w:t>
            </w:r>
          </w:p>
        </w:tc>
      </w:tr>
      <w:tr>
        <w:trPr>
          <w:trHeight w:val="408" w:hRule="atLeast"/>
        </w:trPr>
        <w:tc>
          <w:tcPr>
            <w:tcW w:w="1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90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</w:tr>
    </w:tbl>
    <w:p>
      <w:pPr>
        <w:pStyle w:val="Normal"/>
        <w:spacing w:lineRule="auto" w:line="240" w:before="0" w:after="120"/>
        <w:ind w:left="360" w:hanging="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Prehľad dlhodobého majetku, na ktorý je zriadené záložné právo a dlhodobého majetku, pri ktorom má účtovná jednotka obmedzené právo s ním nakladať:</w:t>
      </w:r>
    </w:p>
    <w:tbl>
      <w:tblPr>
        <w:tblW w:w="10300" w:type="dxa"/>
        <w:jc w:val="left"/>
        <w:tblInd w:w="-13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val="00a0"/>
      </w:tblPr>
      <w:tblGrid>
        <w:gridCol w:w="6035"/>
        <w:gridCol w:w="4264"/>
      </w:tblGrid>
      <w:tr>
        <w:trPr>
          <w:trHeight w:val="284" w:hRule="atLeast"/>
        </w:trPr>
        <w:tc>
          <w:tcPr>
            <w:tcW w:w="60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Prehľad dlhodobého majetku</w:t>
            </w:r>
          </w:p>
        </w:tc>
        <w:tc>
          <w:tcPr>
            <w:tcW w:w="42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Výška majetku</w:t>
            </w:r>
          </w:p>
        </w:tc>
      </w:tr>
      <w:tr>
        <w:trPr>
          <w:trHeight w:val="284" w:hRule="atLeast"/>
        </w:trPr>
        <w:tc>
          <w:tcPr>
            <w:tcW w:w="60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42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jc w:val="center"/>
        <w:rPr/>
      </w:pPr>
      <w:r>
        <w:rPr>
          <w:color w:val="00000A"/>
          <w:sz w:val="18"/>
          <w:szCs w:val="18"/>
        </w:rPr>
        <w:t>Netýka sa.</w:t>
      </w:r>
    </w:p>
    <w:p>
      <w:pPr>
        <w:pStyle w:val="Normal"/>
        <w:spacing w:lineRule="auto" w:line="240" w:before="0" w:after="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spacing w:lineRule="auto" w:line="240" w:before="0" w:after="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Údaje o spôsobe a výške poistenia dlhodobého nehmotného majetku a dlhodobého hmotného majetku.</w:t>
      </w:r>
    </w:p>
    <w:tbl>
      <w:tblPr>
        <w:tblW w:w="10300" w:type="dxa"/>
        <w:jc w:val="left"/>
        <w:tblInd w:w="-13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val="00a0"/>
      </w:tblPr>
      <w:tblGrid>
        <w:gridCol w:w="4342"/>
        <w:gridCol w:w="2978"/>
        <w:gridCol w:w="2980"/>
      </w:tblGrid>
      <w:tr>
        <w:trPr>
          <w:trHeight w:val="284" w:hRule="atLeast"/>
        </w:trPr>
        <w:tc>
          <w:tcPr>
            <w:tcW w:w="43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Poistná spoločnosť</w:t>
            </w:r>
          </w:p>
        </w:tc>
        <w:tc>
          <w:tcPr>
            <w:tcW w:w="2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Druh poistenia</w:t>
            </w:r>
          </w:p>
        </w:tc>
        <w:tc>
          <w:tcPr>
            <w:tcW w:w="2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Výška poistenia</w:t>
            </w:r>
          </w:p>
        </w:tc>
      </w:tr>
      <w:tr>
        <w:trPr>
          <w:trHeight w:val="284" w:hRule="atLeast"/>
        </w:trPr>
        <w:tc>
          <w:tcPr>
            <w:tcW w:w="43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2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2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3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2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2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spacing w:lineRule="auto" w:line="240" w:before="0" w:after="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spacing w:lineRule="auto" w:line="240" w:before="0" w:after="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Údaje o štruktúre dlhodobého finančného majetku za bežné účtovné obdobie a jeho umiestnenie v členení podľa položiek súvahy a o zmenách, ktoré sa uskutočnili v priebehu bežného účtovného obdobia v jednotlivých položkách dlhodobého  finančného  majetku.</w:t>
      </w:r>
    </w:p>
    <w:tbl>
      <w:tblPr>
        <w:tblW w:w="5000" w:type="pct"/>
        <w:jc w:val="left"/>
        <w:tblInd w:w="-9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35" w:type="dxa"/>
          <w:bottom w:w="0" w:type="dxa"/>
          <w:right w:w="70" w:type="dxa"/>
        </w:tblCellMar>
        <w:tblLook w:val="00a0"/>
      </w:tblPr>
      <w:tblGrid>
        <w:gridCol w:w="2207"/>
        <w:gridCol w:w="964"/>
        <w:gridCol w:w="1004"/>
        <w:gridCol w:w="966"/>
        <w:gridCol w:w="966"/>
        <w:gridCol w:w="966"/>
        <w:gridCol w:w="968"/>
        <w:gridCol w:w="966"/>
        <w:gridCol w:w="970"/>
      </w:tblGrid>
      <w:tr>
        <w:trPr>
          <w:trHeight w:val="1632" w:hRule="atLeast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Podielové cenné papiere a podiely v obchodnej spoločnosti v ovládanej osobe</w:t>
            </w:r>
          </w:p>
        </w:tc>
        <w:tc>
          <w:tcPr>
            <w:tcW w:w="1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Podielové cenné papiere a podiely v obchodnej spoločnosti s podstatným vplyvom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Dlhové cenné papiere držané do splatnosti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Pôžičky podnikom v skupine a ostatné pôžičky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Ostatný dlhodobý finančný majetok</w:t>
            </w:r>
          </w:p>
        </w:tc>
        <w:tc>
          <w:tcPr>
            <w:tcW w:w="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Obstaranie dlhodobého finančného majetku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Poskytnuté preddavky na dlhodobý finančný  majetok</w:t>
            </w:r>
          </w:p>
        </w:tc>
        <w:tc>
          <w:tcPr>
            <w:tcW w:w="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Spolu</w:t>
            </w:r>
          </w:p>
        </w:tc>
      </w:tr>
      <w:tr>
        <w:trPr>
          <w:trHeight w:val="288" w:hRule="atLeast"/>
        </w:trPr>
        <w:tc>
          <w:tcPr>
            <w:tcW w:w="9977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Prvotné ocenenie</w:t>
            </w:r>
          </w:p>
        </w:tc>
      </w:tr>
      <w:tr>
        <w:trPr>
          <w:trHeight w:val="408" w:hRule="atLeast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Stav  na začiatku bežného účtovného obdobia</w:t>
            </w:r>
          </w:p>
        </w:tc>
        <w:tc>
          <w:tcPr>
            <w:tcW w:w="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408" w:hRule="atLeast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9977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Opravné položky</w:t>
            </w:r>
          </w:p>
        </w:tc>
      </w:tr>
      <w:tr>
        <w:trPr>
          <w:trHeight w:val="408" w:hRule="atLeast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408" w:hRule="atLeast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9977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Zostatková hodnota </w:t>
            </w:r>
          </w:p>
        </w:tc>
      </w:tr>
      <w:tr>
        <w:trPr>
          <w:trHeight w:val="408" w:hRule="atLeast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408" w:hRule="atLeast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1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</w:tr>
    </w:tbl>
    <w:p>
      <w:pPr>
        <w:pStyle w:val="Normal"/>
        <w:spacing w:lineRule="auto" w:line="240" w:before="0" w:after="12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spacing w:lineRule="auto" w:line="240" w:before="0" w:after="120"/>
        <w:jc w:val="center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Netýka sa.</w:t>
      </w:r>
    </w:p>
    <w:p>
      <w:pPr>
        <w:pStyle w:val="Normal"/>
        <w:spacing w:lineRule="auto" w:line="240" w:before="0" w:after="120"/>
        <w:jc w:val="center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tbl>
      <w:tblPr>
        <w:tblW w:w="5000" w:type="pct"/>
        <w:jc w:val="left"/>
        <w:tblInd w:w="-9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35" w:type="dxa"/>
          <w:bottom w:w="0" w:type="dxa"/>
          <w:right w:w="70" w:type="dxa"/>
        </w:tblCellMar>
        <w:tblLook w:val="00a0"/>
      </w:tblPr>
      <w:tblGrid>
        <w:gridCol w:w="1838"/>
        <w:gridCol w:w="957"/>
        <w:gridCol w:w="1095"/>
        <w:gridCol w:w="1506"/>
        <w:gridCol w:w="1488"/>
        <w:gridCol w:w="1524"/>
        <w:gridCol w:w="1569"/>
      </w:tblGrid>
      <w:tr>
        <w:trPr>
          <w:trHeight w:val="922" w:hRule="atLeast"/>
        </w:trPr>
        <w:tc>
          <w:tcPr>
            <w:tcW w:w="183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Názov spoločnosti</w:t>
            </w:r>
          </w:p>
        </w:tc>
        <w:tc>
          <w:tcPr>
            <w:tcW w:w="95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Podiel na základnom imaní (v %)</w:t>
            </w:r>
          </w:p>
        </w:tc>
        <w:tc>
          <w:tcPr>
            <w:tcW w:w="1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Podiel účtovnej jednotky na hlasovacích právach</w:t>
            </w:r>
          </w:p>
        </w:tc>
        <w:tc>
          <w:tcPr>
            <w:tcW w:w="299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Hodnota vlastného imania ku koncu</w:t>
            </w:r>
          </w:p>
        </w:tc>
        <w:tc>
          <w:tcPr>
            <w:tcW w:w="309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Účtovná hodnota ku koncu</w:t>
            </w:r>
          </w:p>
        </w:tc>
      </w:tr>
      <w:tr>
        <w:trPr>
          <w:trHeight w:val="694" w:hRule="atLeast"/>
        </w:trPr>
        <w:tc>
          <w:tcPr>
            <w:tcW w:w="1838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957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1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(v %)</w:t>
            </w:r>
          </w:p>
        </w:tc>
        <w:tc>
          <w:tcPr>
            <w:tcW w:w="1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  <w:tc>
          <w:tcPr>
            <w:tcW w:w="1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>
        <w:trPr>
          <w:trHeight w:val="288" w:hRule="atLeast"/>
        </w:trPr>
        <w:tc>
          <w:tcPr>
            <w:tcW w:w="18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</w:tr>
    </w:tbl>
    <w:p>
      <w:pPr>
        <w:pStyle w:val="Normal"/>
        <w:spacing w:lineRule="auto" w:line="240" w:before="0" w:after="12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spacing w:lineRule="auto" w:line="240" w:before="0" w:after="120"/>
        <w:jc w:val="center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Netýka sa.</w:t>
      </w:r>
    </w:p>
    <w:p>
      <w:pPr>
        <w:pStyle w:val="Normal"/>
        <w:spacing w:lineRule="auto" w:line="240" w:before="0" w:after="120"/>
        <w:jc w:val="center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Informácia o výške tvorby, zníženia a zúčtovania opravných položiek k dlhodobému finančnému majetku a opis dôvodu ich tvorby, zníženia a zúčtovania.</w:t>
      </w:r>
    </w:p>
    <w:tbl>
      <w:tblPr>
        <w:tblW w:w="10299" w:type="dxa"/>
        <w:jc w:val="left"/>
        <w:tblInd w:w="-13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val="00a0"/>
      </w:tblPr>
      <w:tblGrid>
        <w:gridCol w:w="1600"/>
        <w:gridCol w:w="1361"/>
        <w:gridCol w:w="1362"/>
        <w:gridCol w:w="1357"/>
        <w:gridCol w:w="1366"/>
        <w:gridCol w:w="1366"/>
        <w:gridCol w:w="1886"/>
      </w:tblGrid>
      <w:tr>
        <w:trPr>
          <w:trHeight w:val="284" w:hRule="atLeast"/>
        </w:trPr>
        <w:tc>
          <w:tcPr>
            <w:tcW w:w="1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Dlhodobý finančný majetok</w:t>
            </w:r>
          </w:p>
        </w:tc>
        <w:tc>
          <w:tcPr>
            <w:tcW w:w="13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3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Zníženie opravnej položky</w:t>
            </w:r>
          </w:p>
        </w:tc>
        <w:tc>
          <w:tcPr>
            <w:tcW w:w="13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Zúčtovanie  opravnej položky</w:t>
            </w:r>
          </w:p>
        </w:tc>
        <w:tc>
          <w:tcPr>
            <w:tcW w:w="13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8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Opis dôvodu ich tvorby, zníženia a zúčtovania</w:t>
            </w:r>
          </w:p>
        </w:tc>
      </w:tr>
      <w:tr>
        <w:trPr>
          <w:trHeight w:val="284" w:hRule="atLeast"/>
        </w:trPr>
        <w:tc>
          <w:tcPr>
            <w:tcW w:w="1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3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3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3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3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8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spacing w:lineRule="auto" w:line="240" w:before="0" w:after="0"/>
        <w:jc w:val="center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Netýka sa.</w:t>
      </w:r>
    </w:p>
    <w:p>
      <w:pPr>
        <w:pStyle w:val="Normal"/>
        <w:spacing w:lineRule="auto" w:line="240" w:before="0" w:after="0"/>
        <w:jc w:val="center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spacing w:lineRule="auto" w:line="240" w:before="0" w:after="0"/>
        <w:jc w:val="center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spacing w:lineRule="auto" w:line="240" w:before="0" w:after="0"/>
        <w:jc w:val="center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Prehľad o významných položkách krátkodobého finančného majetku a  o ocenení krátkodobého finančného majetku  reálnou hodnotou ku dňu, ku ktorému sa zostavuje účtovná závierka, pričom sa uvádza vplyv takéhoto ocenenia na výsledok hospodárenia účtovnej jednotky.</w:t>
      </w:r>
    </w:p>
    <w:p>
      <w:pPr>
        <w:pStyle w:val="Normal"/>
        <w:spacing w:lineRule="auto" w:line="240" w:before="0" w:after="120"/>
        <w:rPr>
          <w:b/>
          <w:b/>
          <w:bCs/>
          <w:i/>
          <w:i/>
          <w:iCs/>
          <w:color w:val="00000A"/>
          <w:sz w:val="18"/>
          <w:szCs w:val="18"/>
        </w:rPr>
      </w:pPr>
      <w:r>
        <w:rPr>
          <w:b/>
          <w:bCs/>
          <w:i/>
          <w:iCs/>
          <w:color w:val="00000A"/>
          <w:sz w:val="18"/>
          <w:szCs w:val="18"/>
        </w:rPr>
      </w:r>
    </w:p>
    <w:p>
      <w:pPr>
        <w:pStyle w:val="Normal"/>
        <w:spacing w:lineRule="auto" w:line="240" w:before="0" w:after="120"/>
        <w:rPr>
          <w:i/>
          <w:i/>
          <w:iCs/>
          <w:color w:val="00000A"/>
          <w:sz w:val="18"/>
          <w:szCs w:val="18"/>
        </w:rPr>
      </w:pPr>
      <w:r>
        <w:rPr>
          <w:b/>
          <w:bCs/>
          <w:i/>
          <w:iCs/>
          <w:color w:val="00000A"/>
          <w:sz w:val="18"/>
          <w:szCs w:val="18"/>
        </w:rPr>
        <w:t>Tabuľka č. 1</w:t>
      </w:r>
    </w:p>
    <w:tbl>
      <w:tblPr>
        <w:tblW w:w="10300" w:type="dxa"/>
        <w:jc w:val="left"/>
        <w:tblInd w:w="-13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val="00a0"/>
      </w:tblPr>
      <w:tblGrid>
        <w:gridCol w:w="3299"/>
        <w:gridCol w:w="3492"/>
        <w:gridCol w:w="3509"/>
      </w:tblGrid>
      <w:tr>
        <w:trPr>
          <w:trHeight w:val="284" w:hRule="atLeast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Krátkodobý finančný majetok</w:t>
            </w:r>
          </w:p>
        </w:tc>
        <w:tc>
          <w:tcPr>
            <w:tcW w:w="3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Stav na konci bežného účtovného obdobia</w:t>
            </w:r>
          </w:p>
        </w:tc>
        <w:tc>
          <w:tcPr>
            <w:tcW w:w="3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Stav na konci bezprostredne predchádzajúceho účtovného obdobia</w:t>
            </w:r>
          </w:p>
        </w:tc>
      </w:tr>
      <w:tr>
        <w:trPr>
          <w:trHeight w:val="284" w:hRule="atLeast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Pokladnica</w:t>
            </w:r>
          </w:p>
        </w:tc>
        <w:tc>
          <w:tcPr>
            <w:tcW w:w="3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 xml:space="preserve">                                                                                 </w:t>
            </w:r>
            <w:r>
              <w:rPr>
                <w:color w:val="00000A"/>
                <w:sz w:val="16"/>
                <w:szCs w:val="16"/>
              </w:rPr>
              <w:t>1 435</w:t>
            </w:r>
          </w:p>
        </w:tc>
        <w:tc>
          <w:tcPr>
            <w:tcW w:w="3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 xml:space="preserve">                                                                                </w:t>
            </w:r>
            <w:r>
              <w:rPr>
                <w:color w:val="00000A"/>
                <w:sz w:val="16"/>
                <w:szCs w:val="16"/>
              </w:rPr>
              <w:t>372</w:t>
            </w:r>
          </w:p>
        </w:tc>
      </w:tr>
      <w:tr>
        <w:trPr>
          <w:trHeight w:val="284" w:hRule="atLeast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Ceniny</w:t>
            </w:r>
          </w:p>
        </w:tc>
        <w:tc>
          <w:tcPr>
            <w:tcW w:w="3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</w:rPr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  <w:tc>
          <w:tcPr>
            <w:tcW w:w="3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Bežné bankové účty</w:t>
            </w:r>
          </w:p>
        </w:tc>
        <w:tc>
          <w:tcPr>
            <w:tcW w:w="3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</w:rPr>
            </w:pPr>
            <w:r>
              <w:rPr>
                <w:color w:val="00000A"/>
                <w:sz w:val="16"/>
                <w:szCs w:val="16"/>
              </w:rPr>
              <w:t>49 497</w:t>
            </w:r>
          </w:p>
        </w:tc>
        <w:tc>
          <w:tcPr>
            <w:tcW w:w="3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36 856</w:t>
            </w:r>
          </w:p>
        </w:tc>
      </w:tr>
      <w:tr>
        <w:trPr>
          <w:trHeight w:val="284" w:hRule="atLeast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  <w:tc>
          <w:tcPr>
            <w:tcW w:w="3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Peniaze na ceste</w:t>
            </w:r>
          </w:p>
        </w:tc>
        <w:tc>
          <w:tcPr>
            <w:tcW w:w="3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  <w:tc>
          <w:tcPr>
            <w:tcW w:w="3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Spolu</w:t>
            </w:r>
          </w:p>
        </w:tc>
        <w:tc>
          <w:tcPr>
            <w:tcW w:w="3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50 932</w:t>
            </w:r>
          </w:p>
        </w:tc>
        <w:tc>
          <w:tcPr>
            <w:tcW w:w="3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color w:val="00000A"/>
                <w:sz w:val="16"/>
                <w:szCs w:val="16"/>
              </w:rPr>
            </w:pPr>
            <w:r>
              <w:rPr>
                <w:b/>
                <w:color w:val="00000A"/>
                <w:sz w:val="16"/>
                <w:szCs w:val="16"/>
              </w:rPr>
              <w:t>37 228</w:t>
            </w:r>
          </w:p>
        </w:tc>
      </w:tr>
    </w:tbl>
    <w:p>
      <w:pPr>
        <w:pStyle w:val="Normal"/>
        <w:spacing w:lineRule="auto" w:line="240" w:before="0" w:after="0"/>
        <w:rPr>
          <w:i/>
          <w:i/>
          <w:iCs/>
          <w:color w:val="00000A"/>
          <w:sz w:val="18"/>
          <w:szCs w:val="18"/>
        </w:rPr>
      </w:pPr>
      <w:r>
        <w:rPr>
          <w:i/>
          <w:iCs/>
          <w:color w:val="00000A"/>
          <w:sz w:val="18"/>
          <w:szCs w:val="18"/>
        </w:rPr>
      </w:r>
    </w:p>
    <w:p>
      <w:pPr>
        <w:pStyle w:val="Normal"/>
        <w:spacing w:lineRule="auto" w:line="240" w:before="0" w:after="120"/>
        <w:rPr>
          <w:i/>
          <w:i/>
          <w:iCs/>
          <w:color w:val="00000A"/>
          <w:sz w:val="18"/>
          <w:szCs w:val="18"/>
        </w:rPr>
      </w:pPr>
      <w:r>
        <w:rPr>
          <w:b/>
          <w:bCs/>
          <w:i/>
          <w:iCs/>
          <w:color w:val="00000A"/>
          <w:sz w:val="18"/>
          <w:szCs w:val="18"/>
        </w:rPr>
        <w:t>Tabuľka č. 2</w:t>
      </w:r>
    </w:p>
    <w:tbl>
      <w:tblPr>
        <w:tblW w:w="10156" w:type="dxa"/>
        <w:jc w:val="left"/>
        <w:tblInd w:w="-13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val="00a0"/>
      </w:tblPr>
      <w:tblGrid>
        <w:gridCol w:w="3239"/>
        <w:gridCol w:w="1731"/>
        <w:gridCol w:w="1725"/>
        <w:gridCol w:w="1722"/>
        <w:gridCol w:w="1739"/>
      </w:tblGrid>
      <w:tr>
        <w:trPr>
          <w:trHeight w:val="284" w:hRule="atLeast"/>
        </w:trPr>
        <w:tc>
          <w:tcPr>
            <w:tcW w:w="3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Krátkodobý finančný majetok</w:t>
            </w:r>
          </w:p>
        </w:tc>
        <w:tc>
          <w:tcPr>
            <w:tcW w:w="1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Prírastky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Úbytky</w:t>
            </w:r>
          </w:p>
        </w:tc>
        <w:tc>
          <w:tcPr>
            <w:tcW w:w="17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Stav na konci bežného účtovného obdobia</w:t>
            </w:r>
          </w:p>
        </w:tc>
      </w:tr>
      <w:tr>
        <w:trPr>
          <w:trHeight w:val="284" w:hRule="atLeast"/>
        </w:trPr>
        <w:tc>
          <w:tcPr>
            <w:tcW w:w="3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Majetkové cenné papiere na obchodovanie</w:t>
            </w:r>
          </w:p>
        </w:tc>
        <w:tc>
          <w:tcPr>
            <w:tcW w:w="1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7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7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7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Ostatné realizovateľné cenné papiere</w:t>
            </w:r>
          </w:p>
        </w:tc>
        <w:tc>
          <w:tcPr>
            <w:tcW w:w="1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7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7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Krátkodobý finančný majetok spolu</w:t>
            </w:r>
          </w:p>
        </w:tc>
        <w:tc>
          <w:tcPr>
            <w:tcW w:w="1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</w:r>
          </w:p>
        </w:tc>
        <w:tc>
          <w:tcPr>
            <w:tcW w:w="17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jc w:val="center"/>
        <w:rPr>
          <w:iCs/>
          <w:color w:val="00000A"/>
          <w:sz w:val="18"/>
          <w:szCs w:val="18"/>
        </w:rPr>
      </w:pPr>
      <w:r>
        <w:rPr>
          <w:iCs/>
          <w:color w:val="00000A"/>
          <w:sz w:val="18"/>
          <w:szCs w:val="18"/>
        </w:rPr>
      </w:r>
    </w:p>
    <w:p>
      <w:pPr>
        <w:pStyle w:val="Normal"/>
        <w:spacing w:lineRule="auto" w:line="240" w:before="0" w:after="0"/>
        <w:jc w:val="center"/>
        <w:rPr>
          <w:i/>
          <w:i/>
          <w:iCs/>
          <w:color w:val="00000A"/>
          <w:sz w:val="18"/>
          <w:szCs w:val="18"/>
        </w:rPr>
      </w:pPr>
      <w:r>
        <w:rPr>
          <w:iCs/>
          <w:color w:val="00000A"/>
          <w:sz w:val="18"/>
          <w:szCs w:val="18"/>
        </w:rPr>
        <w:t>Netýka sa</w:t>
      </w:r>
      <w:r>
        <w:rPr>
          <w:i/>
          <w:iCs/>
          <w:color w:val="00000A"/>
          <w:sz w:val="18"/>
          <w:szCs w:val="18"/>
        </w:rPr>
        <w:t>.</w:t>
      </w:r>
    </w:p>
    <w:p>
      <w:pPr>
        <w:pStyle w:val="Normal"/>
        <w:spacing w:lineRule="auto" w:line="240" w:before="0" w:after="0"/>
        <w:rPr>
          <w:i/>
          <w:i/>
          <w:iCs/>
          <w:color w:val="00000A"/>
          <w:sz w:val="18"/>
          <w:szCs w:val="18"/>
        </w:rPr>
      </w:pPr>
      <w:r>
        <w:rPr>
          <w:i/>
          <w:iCs/>
          <w:color w:val="00000A"/>
          <w:sz w:val="18"/>
          <w:szCs w:val="18"/>
        </w:rPr>
      </w:r>
    </w:p>
    <w:p>
      <w:pPr>
        <w:pStyle w:val="Normal"/>
        <w:spacing w:lineRule="auto" w:line="240" w:before="0" w:after="120"/>
        <w:rPr>
          <w:i/>
          <w:i/>
          <w:iCs/>
          <w:color w:val="00000A"/>
          <w:sz w:val="18"/>
          <w:szCs w:val="18"/>
        </w:rPr>
      </w:pPr>
      <w:r>
        <w:rPr>
          <w:b/>
          <w:bCs/>
          <w:i/>
          <w:iCs/>
          <w:color w:val="00000A"/>
          <w:sz w:val="18"/>
          <w:szCs w:val="18"/>
        </w:rPr>
        <w:t>Tabuľka č. 3</w:t>
      </w:r>
    </w:p>
    <w:tbl>
      <w:tblPr>
        <w:tblW w:w="10301" w:type="dxa"/>
        <w:jc w:val="left"/>
        <w:tblInd w:w="-13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val="00a0"/>
      </w:tblPr>
      <w:tblGrid>
        <w:gridCol w:w="3299"/>
        <w:gridCol w:w="2327"/>
        <w:gridCol w:w="2340"/>
        <w:gridCol w:w="2334"/>
      </w:tblGrid>
      <w:tr>
        <w:trPr>
          <w:trHeight w:val="284" w:hRule="atLeast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Krátkodobý finančný  majetok</w:t>
            </w:r>
          </w:p>
        </w:tc>
        <w:tc>
          <w:tcPr>
            <w:tcW w:w="23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Zvýšenie/ zníženie hodnoty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(+/-)</w:t>
            </w: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2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Vplyv ocenenia na vlastné imanie</w:t>
            </w:r>
          </w:p>
        </w:tc>
      </w:tr>
      <w:tr>
        <w:trPr>
          <w:trHeight w:val="284" w:hRule="atLeast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Majetkové cenné papiere na obchodovanie</w:t>
            </w:r>
          </w:p>
        </w:tc>
        <w:tc>
          <w:tcPr>
            <w:tcW w:w="23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2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Dlhové cenné papiere na obchodovanie</w:t>
            </w:r>
          </w:p>
        </w:tc>
        <w:tc>
          <w:tcPr>
            <w:tcW w:w="23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2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Ostatné realizovateľné cenné papiere</w:t>
            </w:r>
          </w:p>
        </w:tc>
        <w:tc>
          <w:tcPr>
            <w:tcW w:w="23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2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Krátkodobý finančný  majetok spolu</w:t>
            </w:r>
          </w:p>
        </w:tc>
        <w:tc>
          <w:tcPr>
            <w:tcW w:w="23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2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rPr>
          <w:i/>
          <w:i/>
          <w:iCs/>
          <w:color w:val="00000A"/>
          <w:sz w:val="18"/>
          <w:szCs w:val="18"/>
        </w:rPr>
      </w:pPr>
      <w:r>
        <w:rPr>
          <w:i/>
          <w:iCs/>
          <w:color w:val="00000A"/>
          <w:sz w:val="18"/>
          <w:szCs w:val="18"/>
        </w:rPr>
      </w:r>
    </w:p>
    <w:p>
      <w:pPr>
        <w:pStyle w:val="Normal"/>
        <w:spacing w:lineRule="auto" w:line="240" w:before="0" w:after="0"/>
        <w:jc w:val="center"/>
        <w:rPr>
          <w:iCs/>
          <w:color w:val="00000A"/>
          <w:sz w:val="18"/>
          <w:szCs w:val="18"/>
        </w:rPr>
      </w:pPr>
      <w:r>
        <w:rPr>
          <w:iCs/>
          <w:color w:val="00000A"/>
          <w:sz w:val="18"/>
          <w:szCs w:val="18"/>
        </w:rPr>
        <w:t>Netýka sa.</w:t>
      </w:r>
    </w:p>
    <w:p>
      <w:pPr>
        <w:pStyle w:val="Normal"/>
        <w:spacing w:lineRule="auto" w:line="240" w:before="0" w:after="0"/>
        <w:jc w:val="center"/>
        <w:rPr>
          <w:iCs/>
          <w:color w:val="00000A"/>
          <w:sz w:val="18"/>
          <w:szCs w:val="18"/>
        </w:rPr>
      </w:pPr>
      <w:r>
        <w:rPr>
          <w:iCs/>
          <w:color w:val="00000A"/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Prehľad  opravných položiek k zásobám,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zásobám.</w:t>
      </w:r>
    </w:p>
    <w:tbl>
      <w:tblPr>
        <w:tblW w:w="5000" w:type="pct"/>
        <w:jc w:val="left"/>
        <w:tblInd w:w="-13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val="00a0"/>
      </w:tblPr>
      <w:tblGrid>
        <w:gridCol w:w="2234"/>
        <w:gridCol w:w="1548"/>
        <w:gridCol w:w="1551"/>
        <w:gridCol w:w="1548"/>
        <w:gridCol w:w="1550"/>
        <w:gridCol w:w="1546"/>
      </w:tblGrid>
      <w:tr>
        <w:trPr>
          <w:trHeight w:val="284" w:hRule="atLeast"/>
        </w:trPr>
        <w:tc>
          <w:tcPr>
            <w:tcW w:w="22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Druh zásob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Zníženie opravnej položky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Zúčtovanie  opravnej položky</w:t>
            </w:r>
          </w:p>
        </w:tc>
        <w:tc>
          <w:tcPr>
            <w:tcW w:w="15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>
        <w:trPr>
          <w:trHeight w:val="284" w:hRule="atLeast"/>
        </w:trPr>
        <w:tc>
          <w:tcPr>
            <w:tcW w:w="22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2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 xml:space="preserve">Výrobky 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2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Zvieratá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2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Tovar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2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Poskytnutý preddavok na zásoby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</w:r>
          </w:p>
        </w:tc>
        <w:tc>
          <w:tcPr>
            <w:tcW w:w="1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</w:r>
          </w:p>
        </w:tc>
        <w:tc>
          <w:tcPr>
            <w:tcW w:w="15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2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Zásoby spolu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</w:r>
          </w:p>
        </w:tc>
        <w:tc>
          <w:tcPr>
            <w:tcW w:w="1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</w:r>
          </w:p>
        </w:tc>
        <w:tc>
          <w:tcPr>
            <w:tcW w:w="15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120"/>
        <w:rPr>
          <w:b/>
          <w:b/>
          <w:bCs/>
          <w:i/>
          <w:i/>
          <w:iCs/>
          <w:color w:val="00000A"/>
          <w:sz w:val="18"/>
          <w:szCs w:val="18"/>
        </w:rPr>
      </w:pPr>
      <w:r>
        <w:rPr>
          <w:b/>
          <w:bCs/>
          <w:i/>
          <w:iCs/>
          <w:color w:val="00000A"/>
          <w:sz w:val="18"/>
          <w:szCs w:val="18"/>
        </w:rPr>
      </w:r>
    </w:p>
    <w:p>
      <w:pPr>
        <w:pStyle w:val="Normal"/>
        <w:spacing w:lineRule="auto" w:line="240" w:before="0" w:after="120"/>
        <w:jc w:val="center"/>
        <w:rPr>
          <w:bCs/>
          <w:iCs/>
          <w:color w:val="00000A"/>
          <w:sz w:val="18"/>
          <w:szCs w:val="18"/>
        </w:rPr>
      </w:pPr>
      <w:r>
        <w:rPr>
          <w:bCs/>
          <w:iCs/>
          <w:color w:val="00000A"/>
          <w:sz w:val="18"/>
          <w:szCs w:val="18"/>
        </w:rPr>
        <w:t>Netýka sa.</w:t>
      </w:r>
    </w:p>
    <w:p>
      <w:pPr>
        <w:pStyle w:val="Normal"/>
        <w:spacing w:lineRule="auto" w:line="240" w:before="0" w:after="120"/>
        <w:jc w:val="center"/>
        <w:rPr>
          <w:bCs/>
          <w:iCs/>
          <w:color w:val="00000A"/>
          <w:sz w:val="18"/>
          <w:szCs w:val="18"/>
        </w:rPr>
      </w:pPr>
      <w:r>
        <w:rPr>
          <w:bCs/>
          <w:iCs/>
          <w:color w:val="00000A"/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color w:val="FF0000"/>
          <w:sz w:val="18"/>
          <w:szCs w:val="18"/>
        </w:rPr>
      </w:pPr>
      <w:r>
        <w:rPr>
          <w:color w:val="1C1C1C"/>
          <w:sz w:val="18"/>
          <w:szCs w:val="18"/>
        </w:rPr>
        <w:t xml:space="preserve">Opis </w:t>
      </w:r>
      <w:r>
        <w:rPr>
          <w:color w:val="1C1C1C"/>
          <w:sz w:val="18"/>
          <w:szCs w:val="18"/>
        </w:rPr>
        <w:t>významných pohľadávok v nadväznosti na položky súvahy a v členení na pohľadávky za hlavnú činnosť a podnikateľskú činnosť.</w:t>
      </w:r>
    </w:p>
    <w:tbl>
      <w:tblPr>
        <w:tblW w:w="5000" w:type="pct"/>
        <w:jc w:val="left"/>
        <w:tblInd w:w="-13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val="00a0"/>
      </w:tblPr>
      <w:tblGrid>
        <w:gridCol w:w="2991"/>
        <w:gridCol w:w="4989"/>
        <w:gridCol w:w="1998"/>
      </w:tblGrid>
      <w:tr>
        <w:trPr>
          <w:trHeight w:val="284" w:hRule="atLeast"/>
        </w:trPr>
        <w:tc>
          <w:tcPr>
            <w:tcW w:w="2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color w:val="1C1C1C"/>
                <w:sz w:val="16"/>
                <w:szCs w:val="16"/>
              </w:rPr>
              <w:t>Významné pohľadávky</w:t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color w:val="1C1C1C"/>
                <w:sz w:val="16"/>
                <w:szCs w:val="16"/>
              </w:rPr>
              <w:t xml:space="preserve">Opis </w:t>
            </w:r>
          </w:p>
        </w:tc>
        <w:tc>
          <w:tcPr>
            <w:tcW w:w="1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color w:val="1C1C1C"/>
                <w:sz w:val="16"/>
                <w:szCs w:val="16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2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1C1C1C"/>
                <w:sz w:val="16"/>
                <w:szCs w:val="16"/>
              </w:rPr>
            </w:pPr>
            <w:r>
              <w:rPr>
                <w:color w:val="1C1C1C"/>
                <w:sz w:val="16"/>
                <w:szCs w:val="16"/>
              </w:rPr>
              <w:t>Zdaňované príjmy</w:t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1C1C1C"/>
                <w:sz w:val="16"/>
                <w:szCs w:val="16"/>
              </w:rPr>
            </w:pPr>
            <w:r>
              <w:rPr>
                <w:color w:val="1C1C1C"/>
                <w:sz w:val="16"/>
                <w:szCs w:val="16"/>
              </w:rPr>
              <w:t>Tržby v chd</w:t>
            </w:r>
          </w:p>
        </w:tc>
        <w:tc>
          <w:tcPr>
            <w:tcW w:w="1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1C1C1C"/>
              </w:rPr>
            </w:pPr>
            <w:r>
              <w:rPr>
                <w:color w:val="1C1C1C"/>
              </w:rPr>
              <w:t>12243,60</w:t>
            </w:r>
          </w:p>
        </w:tc>
      </w:tr>
      <w:tr>
        <w:trPr>
          <w:trHeight w:val="284" w:hRule="atLeast"/>
        </w:trPr>
        <w:tc>
          <w:tcPr>
            <w:tcW w:w="2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1C1C1C"/>
                <w:sz w:val="16"/>
                <w:szCs w:val="16"/>
              </w:rPr>
            </w:pPr>
            <w:r>
              <w:rPr>
                <w:color w:val="1C1C1C"/>
                <w:sz w:val="16"/>
                <w:szCs w:val="16"/>
              </w:rPr>
              <w:t>Nezdaňované príjmy</w:t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1C1C1C"/>
                <w:sz w:val="16"/>
                <w:szCs w:val="16"/>
              </w:rPr>
            </w:pPr>
            <w:r>
              <w:rPr>
                <w:color w:val="1C1C1C"/>
                <w:sz w:val="16"/>
                <w:szCs w:val="16"/>
              </w:rPr>
              <w:t>Sociálne služby</w:t>
            </w:r>
          </w:p>
        </w:tc>
        <w:tc>
          <w:tcPr>
            <w:tcW w:w="1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1C1C1C"/>
              </w:rPr>
            </w:pPr>
            <w:r>
              <w:rPr>
                <w:color w:val="1C1C1C"/>
              </w:rPr>
              <w:t>6877,30</w:t>
            </w:r>
          </w:p>
        </w:tc>
      </w:tr>
      <w:tr>
        <w:trPr>
          <w:trHeight w:val="284" w:hRule="atLeast"/>
        </w:trPr>
        <w:tc>
          <w:tcPr>
            <w:tcW w:w="2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1C1C1C"/>
                <w:sz w:val="16"/>
                <w:szCs w:val="16"/>
              </w:rPr>
            </w:pPr>
            <w:r>
              <w:rPr>
                <w:color w:val="1C1C1C"/>
                <w:sz w:val="16"/>
                <w:szCs w:val="16"/>
              </w:rPr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1C1C1C"/>
                <w:sz w:val="16"/>
                <w:szCs w:val="16"/>
              </w:rPr>
            </w:pPr>
            <w:r>
              <w:rPr>
                <w:color w:val="1C1C1C"/>
                <w:sz w:val="16"/>
                <w:szCs w:val="16"/>
              </w:rPr>
            </w:r>
          </w:p>
        </w:tc>
        <w:tc>
          <w:tcPr>
            <w:tcW w:w="1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1C1C1C"/>
              </w:rPr>
            </w:pPr>
            <w:r>
              <w:rPr>
                <w:color w:val="1C1C1C"/>
              </w:rPr>
            </w:r>
          </w:p>
        </w:tc>
      </w:tr>
      <w:tr>
        <w:trPr>
          <w:trHeight w:val="284" w:hRule="atLeast"/>
        </w:trPr>
        <w:tc>
          <w:tcPr>
            <w:tcW w:w="2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1C1C1C"/>
                <w:sz w:val="16"/>
                <w:szCs w:val="16"/>
              </w:rPr>
            </w:pPr>
            <w:r>
              <w:rPr>
                <w:color w:val="1C1C1C"/>
                <w:sz w:val="16"/>
                <w:szCs w:val="16"/>
              </w:rPr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1C1C1C"/>
                <w:sz w:val="16"/>
                <w:szCs w:val="16"/>
              </w:rPr>
            </w:pPr>
            <w:r>
              <w:rPr>
                <w:color w:val="1C1C1C"/>
                <w:sz w:val="16"/>
                <w:szCs w:val="16"/>
              </w:rPr>
            </w:r>
          </w:p>
        </w:tc>
        <w:tc>
          <w:tcPr>
            <w:tcW w:w="1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1C1C1C"/>
              </w:rPr>
            </w:pPr>
            <w:r>
              <w:rPr>
                <w:color w:val="1C1C1C"/>
              </w:rPr>
            </w:r>
          </w:p>
        </w:tc>
      </w:tr>
      <w:tr>
        <w:trPr>
          <w:trHeight w:val="284" w:hRule="atLeast"/>
        </w:trPr>
        <w:tc>
          <w:tcPr>
            <w:tcW w:w="2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1C1C1C"/>
                <w:sz w:val="16"/>
                <w:szCs w:val="16"/>
              </w:rPr>
            </w:pPr>
            <w:r>
              <w:rPr>
                <w:color w:val="1C1C1C"/>
                <w:sz w:val="16"/>
                <w:szCs w:val="16"/>
              </w:rPr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1C1C1C"/>
                <w:sz w:val="16"/>
                <w:szCs w:val="16"/>
              </w:rPr>
            </w:pPr>
            <w:r>
              <w:rPr>
                <w:color w:val="1C1C1C"/>
                <w:sz w:val="16"/>
                <w:szCs w:val="16"/>
              </w:rPr>
            </w:r>
          </w:p>
        </w:tc>
        <w:tc>
          <w:tcPr>
            <w:tcW w:w="1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1C1C1C"/>
              </w:rPr>
            </w:pPr>
            <w:r>
              <w:rPr>
                <w:color w:val="1C1C1C"/>
              </w:rPr>
            </w:r>
          </w:p>
        </w:tc>
      </w:tr>
    </w:tbl>
    <w:p>
      <w:pPr>
        <w:pStyle w:val="Normal"/>
        <w:spacing w:lineRule="auto" w:line="240" w:before="0" w:after="0"/>
        <w:rPr>
          <w:color w:val="1C1C1C"/>
          <w:sz w:val="18"/>
          <w:szCs w:val="18"/>
        </w:rPr>
      </w:pPr>
      <w:r>
        <w:rPr>
          <w:color w:val="1C1C1C"/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Prehľad  opravných položiek k pohľadávkam,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pohľadávkam.</w:t>
      </w:r>
    </w:p>
    <w:tbl>
      <w:tblPr>
        <w:tblW w:w="5000" w:type="pct"/>
        <w:jc w:val="left"/>
        <w:tblInd w:w="-13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val="00a0"/>
      </w:tblPr>
      <w:tblGrid>
        <w:gridCol w:w="2412"/>
        <w:gridCol w:w="1515"/>
        <w:gridCol w:w="1514"/>
        <w:gridCol w:w="1512"/>
        <w:gridCol w:w="1515"/>
        <w:gridCol w:w="1509"/>
      </w:tblGrid>
      <w:tr>
        <w:trPr>
          <w:trHeight w:val="608" w:hRule="atLeast"/>
        </w:trPr>
        <w:tc>
          <w:tcPr>
            <w:tcW w:w="2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Druh pohľadávok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5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Zníženie opravnej položky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Zúčtovanie  opravnej položky</w:t>
            </w:r>
          </w:p>
        </w:tc>
        <w:tc>
          <w:tcPr>
            <w:tcW w:w="1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>
        <w:trPr>
          <w:trHeight w:val="284" w:hRule="atLeast"/>
        </w:trPr>
        <w:tc>
          <w:tcPr>
            <w:tcW w:w="2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Pohľadávky z obchodného styku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Ostatné pohľadávky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Pohľadávky voči účastníkom združení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Iné pohľadávky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Pohľadávky spolu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0</w:t>
            </w:r>
          </w:p>
        </w:tc>
        <w:tc>
          <w:tcPr>
            <w:tcW w:w="1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0</w:t>
            </w:r>
          </w:p>
        </w:tc>
        <w:tc>
          <w:tcPr>
            <w:tcW w:w="15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0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</w:r>
          </w:p>
        </w:tc>
        <w:tc>
          <w:tcPr>
            <w:tcW w:w="1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0</w:t>
            </w:r>
          </w:p>
        </w:tc>
      </w:tr>
    </w:tbl>
    <w:p>
      <w:pPr>
        <w:pStyle w:val="Normal"/>
        <w:spacing w:lineRule="auto" w:line="240" w:before="0" w:after="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spacing w:lineRule="auto" w:line="240" w:before="0" w:after="0"/>
        <w:jc w:val="center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Netýka sa.</w:t>
      </w:r>
    </w:p>
    <w:p>
      <w:pPr>
        <w:pStyle w:val="Normal"/>
        <w:spacing w:lineRule="auto" w:line="240" w:before="0" w:after="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Prehľad  pohľadávok do lehoty splatnosti a po lehote splatnosti.</w:t>
      </w:r>
    </w:p>
    <w:tbl>
      <w:tblPr>
        <w:tblW w:w="5000" w:type="pct"/>
        <w:jc w:val="left"/>
        <w:tblInd w:w="-13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val="00a0"/>
      </w:tblPr>
      <w:tblGrid>
        <w:gridCol w:w="3992"/>
        <w:gridCol w:w="2991"/>
        <w:gridCol w:w="2995"/>
      </w:tblGrid>
      <w:tr>
        <w:trPr>
          <w:trHeight w:val="284" w:hRule="atLeast"/>
        </w:trPr>
        <w:tc>
          <w:tcPr>
            <w:tcW w:w="399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598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Stav na konci</w:t>
            </w:r>
          </w:p>
        </w:tc>
      </w:tr>
      <w:tr>
        <w:trPr>
          <w:trHeight w:val="284" w:hRule="atLeast"/>
        </w:trPr>
        <w:tc>
          <w:tcPr>
            <w:tcW w:w="3992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2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>
        <w:trPr>
          <w:trHeight w:val="284" w:hRule="atLeast"/>
        </w:trPr>
        <w:tc>
          <w:tcPr>
            <w:tcW w:w="3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Pohľadávky do lehoty splatnosti</w:t>
            </w:r>
          </w:p>
        </w:tc>
        <w:tc>
          <w:tcPr>
            <w:tcW w:w="2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</w:rPr>
            </w:pPr>
            <w:r>
              <w:rPr>
                <w:color w:val="00000A"/>
                <w:sz w:val="16"/>
                <w:szCs w:val="16"/>
              </w:rPr>
              <w:t>3 125</w:t>
            </w:r>
          </w:p>
        </w:tc>
        <w:tc>
          <w:tcPr>
            <w:tcW w:w="2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4 980</w:t>
            </w:r>
          </w:p>
        </w:tc>
      </w:tr>
      <w:tr>
        <w:trPr>
          <w:trHeight w:val="284" w:hRule="atLeast"/>
        </w:trPr>
        <w:tc>
          <w:tcPr>
            <w:tcW w:w="3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Pohľadávky po lehote splatnosti</w:t>
            </w:r>
          </w:p>
        </w:tc>
        <w:tc>
          <w:tcPr>
            <w:tcW w:w="2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  <w:tc>
          <w:tcPr>
            <w:tcW w:w="2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3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Pohľadávky spolu</w:t>
            </w:r>
          </w:p>
        </w:tc>
        <w:tc>
          <w:tcPr>
            <w:tcW w:w="2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3 125</w:t>
            </w:r>
          </w:p>
        </w:tc>
        <w:tc>
          <w:tcPr>
            <w:tcW w:w="2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4 980</w:t>
            </w:r>
          </w:p>
        </w:tc>
      </w:tr>
    </w:tbl>
    <w:p>
      <w:pPr>
        <w:pStyle w:val="Normal"/>
        <w:spacing w:lineRule="auto" w:line="240" w:before="0" w:after="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Prehľad významných položiek časového rozlíšenia nákladov budúcich období a príjmov budúcich období.</w:t>
      </w:r>
    </w:p>
    <w:tbl>
      <w:tblPr>
        <w:tblW w:w="5000" w:type="pct"/>
        <w:jc w:val="left"/>
        <w:tblInd w:w="-13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val="00a0"/>
      </w:tblPr>
      <w:tblGrid>
        <w:gridCol w:w="2991"/>
        <w:gridCol w:w="4989"/>
        <w:gridCol w:w="1998"/>
      </w:tblGrid>
      <w:tr>
        <w:trPr>
          <w:trHeight w:val="284" w:hRule="atLeast"/>
        </w:trPr>
        <w:tc>
          <w:tcPr>
            <w:tcW w:w="2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 xml:space="preserve">Významné položky časového rozlíšenia nákladov </w:t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Opis</w:t>
            </w:r>
          </w:p>
        </w:tc>
        <w:tc>
          <w:tcPr>
            <w:tcW w:w="1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2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numPr>
                <w:ilvl w:val="0"/>
                <w:numId w:val="7"/>
              </w:numPr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časové rozlíšenie nákladov</w:t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Poistenie majetku</w:t>
            </w:r>
          </w:p>
        </w:tc>
        <w:tc>
          <w:tcPr>
            <w:tcW w:w="1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137</w:t>
            </w:r>
          </w:p>
        </w:tc>
      </w:tr>
      <w:tr>
        <w:trPr>
          <w:trHeight w:val="284" w:hRule="atLeast"/>
        </w:trPr>
        <w:tc>
          <w:tcPr>
            <w:tcW w:w="2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numPr>
                <w:ilvl w:val="0"/>
                <w:numId w:val="7"/>
              </w:numPr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príjmy budúcich období</w:t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</w:rPr>
            </w:pPr>
            <w:r>
              <w:rPr>
                <w:bCs/>
                <w:color w:val="00000A"/>
                <w:sz w:val="16"/>
                <w:szCs w:val="16"/>
              </w:rPr>
              <w:t>0</w:t>
            </w:r>
          </w:p>
        </w:tc>
      </w:tr>
    </w:tbl>
    <w:p>
      <w:pPr>
        <w:pStyle w:val="Normal"/>
        <w:spacing w:lineRule="auto" w:line="240" w:before="0" w:after="12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spacing w:lineRule="auto" w:line="240" w:before="0" w:after="12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 xml:space="preserve">Opis a výška zmien vlastných zdrojov krytia neobežného majetku a obežného majetku podľa položiek súvahy za bežné účtovné obdobie, a to </w:t>
      </w:r>
    </w:p>
    <w:p>
      <w:pPr>
        <w:pStyle w:val="Normal"/>
        <w:numPr>
          <w:ilvl w:val="0"/>
          <w:numId w:val="8"/>
        </w:numPr>
        <w:spacing w:lineRule="auto" w:line="24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opis základného imania, nadačného imania v nadáciách, výška vkladov zakladateľov alebo zriaďovateľov, prioritný majetok v neziskových organizáciách poskytujúcich všeobecne prospešné služby, prevody zdrojov z fondov účtovnej jednotky a podobne; za jednotlivé položky sa uvádza stav na začiatku bežného účtovného obdobia, jednotlivé prírastky, úbytky, presuny a zostatok na konci bežného účtovného obdobia,</w:t>
      </w:r>
    </w:p>
    <w:p>
      <w:pPr>
        <w:pStyle w:val="Normal"/>
        <w:numPr>
          <w:ilvl w:val="0"/>
          <w:numId w:val="8"/>
        </w:numPr>
        <w:spacing w:lineRule="auto" w:line="240" w:before="0" w:after="12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 xml:space="preserve">opis jednotlivých druhov fondov, ktoré tvorí účtovná jednotka, stav na začiatku bežného účtovného obdobia, prírastky, úbytky, presuny a zostatok na konci bežného účtovného obdobia. </w:t>
      </w:r>
    </w:p>
    <w:p>
      <w:pPr>
        <w:pStyle w:val="Normal"/>
        <w:spacing w:lineRule="auto" w:line="240" w:before="0" w:after="0"/>
        <w:jc w:val="left"/>
        <w:rPr>
          <w:b/>
          <w:b/>
          <w:bCs/>
          <w:i/>
          <w:i/>
          <w:iCs/>
          <w:color w:val="00000A"/>
          <w:sz w:val="18"/>
          <w:szCs w:val="18"/>
        </w:rPr>
      </w:pPr>
      <w:r>
        <w:rPr>
          <w:b/>
          <w:bCs/>
          <w:i/>
          <w:iCs/>
          <w:color w:val="00000A"/>
          <w:sz w:val="18"/>
          <w:szCs w:val="18"/>
        </w:rPr>
      </w:r>
    </w:p>
    <w:tbl>
      <w:tblPr>
        <w:tblW w:w="8875" w:type="dxa"/>
        <w:jc w:val="left"/>
        <w:tblInd w:w="-13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val="00a0"/>
      </w:tblPr>
      <w:tblGrid>
        <w:gridCol w:w="3550"/>
        <w:gridCol w:w="1065"/>
        <w:gridCol w:w="1059"/>
        <w:gridCol w:w="1065"/>
        <w:gridCol w:w="1066"/>
        <w:gridCol w:w="1069"/>
      </w:tblGrid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0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Prírastky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(+)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Úbytky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(-)</w:t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Presuny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(+, -)</w:t>
            </w:r>
          </w:p>
        </w:tc>
        <w:tc>
          <w:tcPr>
            <w:tcW w:w="1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>
        <w:trPr>
          <w:trHeight w:val="284" w:hRule="atLeast"/>
        </w:trPr>
        <w:tc>
          <w:tcPr>
            <w:tcW w:w="8874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Imanie a fondy</w:t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Základné imanie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0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 xml:space="preserve">z toho: </w:t>
            </w:r>
          </w:p>
          <w:p>
            <w:pPr>
              <w:pStyle w:val="Normal"/>
              <w:numPr>
                <w:ilvl w:val="0"/>
                <w:numId w:val="9"/>
              </w:numPr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nadačné imanie v nadácii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0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numPr>
                <w:ilvl w:val="0"/>
                <w:numId w:val="9"/>
              </w:numPr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vklady zakladateľov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0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numPr>
                <w:ilvl w:val="0"/>
                <w:numId w:val="9"/>
              </w:numPr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prioritný majetok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0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Fondy tvorené podľa osobitného predpisu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0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Fond reprodukcie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0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0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8874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Fondy zo zisku</w:t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Rezervný fond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0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Fondy tvorené zo zisku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0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Ostatné fondy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0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</w:rPr>
            </w:pPr>
            <w:r>
              <w:rPr>
                <w:color w:val="00000A"/>
                <w:sz w:val="16"/>
                <w:szCs w:val="16"/>
              </w:rPr>
              <w:t>33 222</w:t>
            </w:r>
          </w:p>
        </w:tc>
        <w:tc>
          <w:tcPr>
            <w:tcW w:w="10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</w:rPr>
            </w:pPr>
            <w:r>
              <w:rPr>
                <w:color w:val="00000A"/>
                <w:sz w:val="16"/>
                <w:szCs w:val="16"/>
              </w:rPr>
              <w:t xml:space="preserve">    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- 1 891</w:t>
            </w:r>
          </w:p>
        </w:tc>
        <w:tc>
          <w:tcPr>
            <w:tcW w:w="1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</w:rPr>
            </w:pPr>
            <w:r>
              <w:rPr>
                <w:color w:val="00000A"/>
                <w:sz w:val="16"/>
                <w:szCs w:val="16"/>
              </w:rPr>
              <w:t>31 331</w:t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- 1 891</w:t>
            </w:r>
          </w:p>
        </w:tc>
        <w:tc>
          <w:tcPr>
            <w:tcW w:w="10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</w:rPr>
            </w:pPr>
            <w:r>
              <w:rPr>
                <w:color w:val="00000A"/>
                <w:sz w:val="16"/>
                <w:szCs w:val="16"/>
              </w:rPr>
              <w:t>4 533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1 891</w:t>
            </w:r>
          </w:p>
        </w:tc>
        <w:tc>
          <w:tcPr>
            <w:tcW w:w="1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</w:rPr>
            </w:pPr>
            <w:r>
              <w:rPr>
                <w:color w:val="00000A"/>
                <w:sz w:val="16"/>
                <w:szCs w:val="16"/>
              </w:rPr>
              <w:t>4 533</w:t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Spolu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31 331</w:t>
            </w:r>
          </w:p>
        </w:tc>
        <w:tc>
          <w:tcPr>
            <w:tcW w:w="10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4 533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</w:rPr>
            </w:pPr>
            <w:r>
              <w:rPr>
                <w:color w:val="00000A"/>
              </w:rPr>
            </w:r>
          </w:p>
        </w:tc>
        <w:tc>
          <w:tcPr>
            <w:tcW w:w="1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 xml:space="preserve"> </w:t>
            </w:r>
            <w:r>
              <w:rPr>
                <w:b/>
                <w:bCs/>
                <w:color w:val="00000A"/>
                <w:sz w:val="16"/>
                <w:szCs w:val="16"/>
              </w:rPr>
              <w:t>35 864</w:t>
            </w:r>
          </w:p>
        </w:tc>
      </w:tr>
    </w:tbl>
    <w:p>
      <w:pPr>
        <w:pStyle w:val="Normal"/>
        <w:spacing w:lineRule="auto" w:line="240" w:before="0" w:after="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spacing w:lineRule="auto" w:line="240" w:before="0" w:after="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spacing w:lineRule="auto" w:line="240" w:before="0" w:after="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ind w:left="357" w:hanging="357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Informácia o rozdelení účtovného zisku alebo vysporiadaní účtovnej straty vykázanej v minulých účtovných obdobiach.</w:t>
      </w:r>
    </w:p>
    <w:tbl>
      <w:tblPr>
        <w:tblW w:w="5000" w:type="pct"/>
        <w:jc w:val="left"/>
        <w:tblInd w:w="-13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val="00a0"/>
      </w:tblPr>
      <w:tblGrid>
        <w:gridCol w:w="5653"/>
        <w:gridCol w:w="4324"/>
      </w:tblGrid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Názov položky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Bezprostredne predchádzajúce účtovné obdobie</w:t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Účtovný zisk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997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Rozdelenie účtovného zisku</w:t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Prídel do základného imania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Prídel do fondu tvoreného podľa osobitného predpisu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Prídel do fondu reprodukcie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Prídel do rezervného fondu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Prídel do fondu tvoreného zo zisku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Prídel do ostatných fondov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Úhrada straty minulých období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Prevod  do nevysporiadaného výsledku hospodárenia minulých rokov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 xml:space="preserve">Iné 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Účtovná strata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- 1 891</w:t>
            </w:r>
          </w:p>
        </w:tc>
      </w:tr>
      <w:tr>
        <w:trPr>
          <w:trHeight w:val="284" w:hRule="atLeast"/>
        </w:trPr>
        <w:tc>
          <w:tcPr>
            <w:tcW w:w="997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A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Vysporiadanie účtovnej straty</w:t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Zo základného imania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Z rezervného fondu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Z fondu tvoreného zo zisku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Z ostatných fondov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Z nerozdeleného zisku minulých rokov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Prevod do nevysporiadaného výsledku hospodárenia minulých rokov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</w:rPr>
            </w:pPr>
            <w:r>
              <w:rPr>
                <w:color w:val="00000A"/>
                <w:sz w:val="16"/>
                <w:szCs w:val="16"/>
              </w:rPr>
              <w:t>- 1 891</w:t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A"/>
              </w:rPr>
            </w:pPr>
            <w:r>
              <w:rPr>
                <w:color w:val="00000A"/>
                <w:sz w:val="16"/>
                <w:szCs w:val="16"/>
              </w:rPr>
              <w:t xml:space="preserve">Iné 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/>
        <w:ind w:left="360" w:hanging="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Opis a výška cudzích zdrojov, a to</w:t>
      </w:r>
    </w:p>
    <w:p>
      <w:pPr>
        <w:pStyle w:val="Normal"/>
        <w:numPr>
          <w:ilvl w:val="0"/>
          <w:numId w:val="10"/>
        </w:numPr>
        <w:spacing w:lineRule="auto" w:line="24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údaje o jednotlivých druhoch rezerv, ktoré tvorí účtovná jednotka; uvádza sa stav rezerv na začiatku bežného účtovného obdobia, ich tvorba, zníženie, použitie alebo zrušenie počas bežného účtovného obdobia a zostatok rezervy na konci bežného účtovného obdobia, pričom sa uvedie predpokladaný rok použitia rezervy</w:t>
      </w:r>
    </w:p>
    <w:tbl>
      <w:tblPr>
        <w:tblW w:w="5000" w:type="pct"/>
        <w:jc w:val="left"/>
        <w:tblInd w:w="-2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val="00a0"/>
      </w:tblPr>
      <w:tblGrid>
        <w:gridCol w:w="2928"/>
        <w:gridCol w:w="1412"/>
        <w:gridCol w:w="1411"/>
        <w:gridCol w:w="1411"/>
        <w:gridCol w:w="1410"/>
        <w:gridCol w:w="1405"/>
      </w:tblGrid>
      <w:tr>
        <w:trPr>
          <w:trHeight w:val="284" w:hRule="atLeast"/>
        </w:trPr>
        <w:tc>
          <w:tcPr>
            <w:tcW w:w="2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Druh rezervy</w:t>
            </w: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Tvorba rezerv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Použitie rezerv</w:t>
            </w:r>
          </w:p>
        </w:tc>
        <w:tc>
          <w:tcPr>
            <w:tcW w:w="1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Zrušenie alebo zníženie rezerv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>
        <w:trPr>
          <w:trHeight w:val="284" w:hRule="atLeast"/>
        </w:trPr>
        <w:tc>
          <w:tcPr>
            <w:tcW w:w="2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Zákonné rezervy spolu</w:t>
            </w: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3 304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2 654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3 304</w:t>
            </w:r>
          </w:p>
        </w:tc>
        <w:tc>
          <w:tcPr>
            <w:tcW w:w="1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6 654</w:t>
            </w:r>
          </w:p>
        </w:tc>
      </w:tr>
      <w:tr>
        <w:trPr>
          <w:trHeight w:val="284" w:hRule="atLeast"/>
        </w:trPr>
        <w:tc>
          <w:tcPr>
            <w:tcW w:w="2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Rezerva na dovolenku</w:t>
            </w: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</w:rPr>
            </w:pPr>
            <w:r>
              <w:rPr>
                <w:color w:val="00000A"/>
                <w:sz w:val="16"/>
                <w:szCs w:val="16"/>
              </w:rPr>
              <w:t>3 304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2 654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</w:rPr>
            </w:pPr>
            <w:r>
              <w:rPr>
                <w:color w:val="00000A"/>
                <w:sz w:val="16"/>
                <w:szCs w:val="16"/>
              </w:rPr>
              <w:t>3 304</w:t>
            </w:r>
          </w:p>
        </w:tc>
        <w:tc>
          <w:tcPr>
            <w:tcW w:w="1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</w:rPr>
            </w:pPr>
            <w:r>
              <w:rPr>
                <w:color w:val="00000A"/>
                <w:sz w:val="16"/>
                <w:szCs w:val="16"/>
              </w:rPr>
              <w:t>2 654</w:t>
            </w:r>
          </w:p>
        </w:tc>
      </w:tr>
      <w:tr>
        <w:trPr>
          <w:trHeight w:val="284" w:hRule="atLeast"/>
        </w:trPr>
        <w:tc>
          <w:tcPr>
            <w:tcW w:w="2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Rezerva na audit</w:t>
            </w: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</w:rPr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</w:rPr>
            </w:pPr>
            <w:r>
              <w:rPr>
                <w:color w:val="00000A"/>
                <w:sz w:val="16"/>
                <w:szCs w:val="16"/>
              </w:rPr>
              <w:t>600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</w:rPr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  <w:tc>
          <w:tcPr>
            <w:tcW w:w="1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</w:rPr>
            </w:pPr>
            <w:r>
              <w:rPr>
                <w:color w:val="00000A"/>
                <w:sz w:val="16"/>
                <w:szCs w:val="16"/>
              </w:rPr>
              <w:t>600</w:t>
            </w:r>
          </w:p>
        </w:tc>
      </w:tr>
      <w:tr>
        <w:trPr>
          <w:trHeight w:val="284" w:hRule="atLeast"/>
        </w:trPr>
        <w:tc>
          <w:tcPr>
            <w:tcW w:w="2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Ostatné rezervy spolu</w:t>
            </w: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</w:rPr>
            </w:pPr>
            <w:r>
              <w:rPr>
                <w:b/>
                <w:color w:val="00000A"/>
                <w:sz w:val="16"/>
                <w:szCs w:val="16"/>
              </w:rPr>
              <w:t>0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</w:rPr>
            </w:pPr>
            <w:r>
              <w:rPr>
                <w:b/>
                <w:color w:val="00000A"/>
                <w:sz w:val="16"/>
                <w:szCs w:val="16"/>
              </w:rPr>
              <w:t>600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</w:rPr>
            </w:pPr>
            <w:r>
              <w:rPr>
                <w:b/>
                <w:color w:val="00000A"/>
                <w:sz w:val="16"/>
                <w:szCs w:val="16"/>
              </w:rPr>
              <w:t>0</w:t>
            </w:r>
          </w:p>
        </w:tc>
        <w:tc>
          <w:tcPr>
            <w:tcW w:w="1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color w:val="00000A"/>
                <w:sz w:val="16"/>
                <w:szCs w:val="16"/>
              </w:rPr>
            </w:pPr>
            <w:r>
              <w:rPr>
                <w:b/>
                <w:color w:val="00000A"/>
                <w:sz w:val="16"/>
                <w:szCs w:val="16"/>
              </w:rPr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</w:rPr>
            </w:pPr>
            <w:r>
              <w:rPr>
                <w:b/>
                <w:color w:val="00000A"/>
                <w:sz w:val="16"/>
                <w:szCs w:val="16"/>
              </w:rPr>
              <w:t>600</w:t>
            </w:r>
          </w:p>
        </w:tc>
      </w:tr>
      <w:tr>
        <w:trPr>
          <w:trHeight w:val="284" w:hRule="atLeast"/>
        </w:trPr>
        <w:tc>
          <w:tcPr>
            <w:tcW w:w="2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Rezervy spolu</w:t>
            </w: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3 304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</w:rPr>
            </w:pPr>
            <w:r>
              <w:rPr>
                <w:b/>
                <w:color w:val="00000A"/>
                <w:sz w:val="16"/>
                <w:szCs w:val="16"/>
              </w:rPr>
              <w:t>3 254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</w:rPr>
            </w:pPr>
            <w:r>
              <w:rPr>
                <w:b/>
                <w:color w:val="00000A"/>
                <w:sz w:val="16"/>
                <w:szCs w:val="16"/>
              </w:rPr>
              <w:t>3 304</w:t>
            </w:r>
          </w:p>
        </w:tc>
        <w:tc>
          <w:tcPr>
            <w:tcW w:w="1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3 254</w:t>
            </w:r>
          </w:p>
        </w:tc>
      </w:tr>
    </w:tbl>
    <w:p>
      <w:pPr>
        <w:pStyle w:val="Normal"/>
        <w:numPr>
          <w:ilvl w:val="0"/>
          <w:numId w:val="10"/>
        </w:numPr>
        <w:spacing w:lineRule="auto" w:line="24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údaje o významných položkách na účtoch 325 - Ostatné záväzky a 379 – Iné záväzky; uvádza sa začiatočný stav, prírastky, úbytky a konečný zostatok podľa jednotlivých druhov záväzkov,</w:t>
      </w:r>
    </w:p>
    <w:tbl>
      <w:tblPr>
        <w:tblW w:w="10382" w:type="dxa"/>
        <w:jc w:val="left"/>
        <w:tblInd w:w="-2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val="00a0"/>
      </w:tblPr>
      <w:tblGrid>
        <w:gridCol w:w="4174"/>
        <w:gridCol w:w="1550"/>
        <w:gridCol w:w="1550"/>
        <w:gridCol w:w="1550"/>
        <w:gridCol w:w="1558"/>
      </w:tblGrid>
      <w:tr>
        <w:trPr>
          <w:trHeight w:val="284" w:hRule="atLeast"/>
        </w:trPr>
        <w:tc>
          <w:tcPr>
            <w:tcW w:w="41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 xml:space="preserve">Významné položky ostatných a iných záväzkov 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Začiatočný stav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Konečný zostatok</w:t>
            </w:r>
          </w:p>
        </w:tc>
      </w:tr>
      <w:tr>
        <w:trPr>
          <w:trHeight w:val="284" w:hRule="atLeast"/>
        </w:trPr>
        <w:tc>
          <w:tcPr>
            <w:tcW w:w="41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325 - Ostatné záväzky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</w:rPr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</w:rPr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</w:rPr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41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379 - Iné záväzky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</w:tr>
    </w:tbl>
    <w:p>
      <w:pPr>
        <w:pStyle w:val="Normal"/>
        <w:numPr>
          <w:ilvl w:val="0"/>
          <w:numId w:val="10"/>
        </w:numPr>
        <w:spacing w:lineRule="auto" w:line="24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prehľad  o výške záväzkov do lehoty splatnosti a po lehote splatnosti,</w:t>
      </w:r>
    </w:p>
    <w:tbl>
      <w:tblPr>
        <w:tblW w:w="5000" w:type="pct"/>
        <w:jc w:val="left"/>
        <w:tblInd w:w="-2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val="00a0"/>
      </w:tblPr>
      <w:tblGrid>
        <w:gridCol w:w="3992"/>
        <w:gridCol w:w="2991"/>
        <w:gridCol w:w="2995"/>
      </w:tblGrid>
      <w:tr>
        <w:trPr>
          <w:trHeight w:val="284" w:hRule="atLeast"/>
        </w:trPr>
        <w:tc>
          <w:tcPr>
            <w:tcW w:w="399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598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Stav na konci</w:t>
            </w:r>
          </w:p>
        </w:tc>
      </w:tr>
      <w:tr>
        <w:trPr>
          <w:trHeight w:val="284" w:hRule="atLeast"/>
        </w:trPr>
        <w:tc>
          <w:tcPr>
            <w:tcW w:w="3992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2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>
        <w:trPr>
          <w:trHeight w:val="284" w:hRule="atLeast"/>
        </w:trPr>
        <w:tc>
          <w:tcPr>
            <w:tcW w:w="3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Záväzky do lehoty splatnosti</w:t>
            </w:r>
          </w:p>
        </w:tc>
        <w:tc>
          <w:tcPr>
            <w:tcW w:w="2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</w:rPr>
            </w:pPr>
            <w:r>
              <w:rPr>
                <w:color w:val="00000A"/>
                <w:sz w:val="16"/>
                <w:szCs w:val="16"/>
              </w:rPr>
              <w:t>18 330</w:t>
            </w:r>
          </w:p>
        </w:tc>
        <w:tc>
          <w:tcPr>
            <w:tcW w:w="2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</w:rPr>
            </w:pPr>
            <w:r>
              <w:rPr>
                <w:color w:val="00000A"/>
                <w:sz w:val="16"/>
                <w:szCs w:val="16"/>
              </w:rPr>
              <w:t>11 013</w:t>
            </w:r>
          </w:p>
        </w:tc>
      </w:tr>
      <w:tr>
        <w:trPr>
          <w:trHeight w:val="284" w:hRule="atLeast"/>
        </w:trPr>
        <w:tc>
          <w:tcPr>
            <w:tcW w:w="3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Záväzky po lehote splatnosti</w:t>
            </w:r>
          </w:p>
        </w:tc>
        <w:tc>
          <w:tcPr>
            <w:tcW w:w="2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2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Záväzky spolu</w:t>
            </w:r>
          </w:p>
        </w:tc>
        <w:tc>
          <w:tcPr>
            <w:tcW w:w="2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18 330</w:t>
            </w:r>
          </w:p>
        </w:tc>
        <w:tc>
          <w:tcPr>
            <w:tcW w:w="2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11 013</w:t>
            </w:r>
          </w:p>
        </w:tc>
      </w:tr>
    </w:tbl>
    <w:p>
      <w:pPr>
        <w:pStyle w:val="Normal"/>
        <w:spacing w:lineRule="auto" w:line="240" w:before="0" w:after="0"/>
        <w:ind w:left="363" w:hanging="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numPr>
          <w:ilvl w:val="0"/>
          <w:numId w:val="10"/>
        </w:numPr>
        <w:spacing w:lineRule="auto" w:line="240" w:before="0" w:after="0"/>
        <w:ind w:left="720" w:hanging="357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 xml:space="preserve">prehľad o výške záväzkov podľa zostatkovej doby splatnosti v členení podľa položiek súvahy </w:t>
      </w:r>
    </w:p>
    <w:p>
      <w:pPr>
        <w:pStyle w:val="Normal"/>
        <w:numPr>
          <w:ilvl w:val="2"/>
          <w:numId w:val="4"/>
        </w:numPr>
        <w:spacing w:lineRule="auto" w:line="240" w:before="0" w:after="0"/>
        <w:ind w:left="1080" w:hanging="357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do jedného roka vrátane,</w:t>
      </w:r>
    </w:p>
    <w:p>
      <w:pPr>
        <w:pStyle w:val="Normal"/>
        <w:numPr>
          <w:ilvl w:val="2"/>
          <w:numId w:val="4"/>
        </w:numPr>
        <w:spacing w:lineRule="auto" w:line="240" w:before="0" w:after="0"/>
        <w:ind w:left="1080" w:hanging="357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od jedného roka do piatich rokov vrátane,</w:t>
      </w:r>
    </w:p>
    <w:p>
      <w:pPr>
        <w:pStyle w:val="Normal"/>
        <w:numPr>
          <w:ilvl w:val="2"/>
          <w:numId w:val="4"/>
        </w:numPr>
        <w:spacing w:lineRule="auto" w:line="240" w:before="0" w:after="0"/>
        <w:ind w:left="1077" w:hanging="357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viac ako päť rokov</w:t>
      </w:r>
    </w:p>
    <w:p>
      <w:pPr>
        <w:pStyle w:val="Normal"/>
        <w:spacing w:lineRule="auto" w:line="240" w:before="0" w:after="0"/>
        <w:ind w:left="720" w:hanging="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spacing w:lineRule="auto" w:line="240" w:before="0" w:after="0"/>
        <w:ind w:left="720" w:hanging="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tbl>
      <w:tblPr>
        <w:tblW w:w="10025" w:type="dxa"/>
        <w:jc w:val="left"/>
        <w:tblInd w:w="-2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val="00a0"/>
      </w:tblPr>
      <w:tblGrid>
        <w:gridCol w:w="4984"/>
        <w:gridCol w:w="2497"/>
        <w:gridCol w:w="2544"/>
      </w:tblGrid>
      <w:tr>
        <w:trPr>
          <w:trHeight w:val="284" w:hRule="atLeast"/>
        </w:trPr>
        <w:tc>
          <w:tcPr>
            <w:tcW w:w="498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Druh záväzkov</w:t>
            </w:r>
          </w:p>
        </w:tc>
        <w:tc>
          <w:tcPr>
            <w:tcW w:w="504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Stav na konci</w:t>
            </w:r>
          </w:p>
        </w:tc>
      </w:tr>
      <w:tr>
        <w:trPr>
          <w:trHeight w:val="284" w:hRule="atLeast"/>
        </w:trPr>
        <w:tc>
          <w:tcPr>
            <w:tcW w:w="498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</w:r>
          </w:p>
        </w:tc>
        <w:tc>
          <w:tcPr>
            <w:tcW w:w="2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>
        <w:trPr>
          <w:trHeight w:val="284" w:hRule="atLeast"/>
        </w:trPr>
        <w:tc>
          <w:tcPr>
            <w:tcW w:w="4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Záväzky po lehote splatnosti</w:t>
            </w:r>
          </w:p>
        </w:tc>
        <w:tc>
          <w:tcPr>
            <w:tcW w:w="2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2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</w:tr>
      <w:tr>
        <w:trPr>
          <w:trHeight w:val="284" w:hRule="atLeast"/>
        </w:trPr>
        <w:tc>
          <w:tcPr>
            <w:tcW w:w="4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</w:rPr>
            </w:pPr>
            <w:r>
              <w:rPr>
                <w:color w:val="00000A"/>
                <w:sz w:val="16"/>
                <w:szCs w:val="16"/>
              </w:rPr>
              <w:t>14 424</w:t>
            </w:r>
          </w:p>
        </w:tc>
        <w:tc>
          <w:tcPr>
            <w:tcW w:w="2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</w:rPr>
            </w:pPr>
            <w:r>
              <w:rPr>
                <w:color w:val="00000A"/>
                <w:sz w:val="16"/>
                <w:szCs w:val="16"/>
              </w:rPr>
              <w:t>7 376</w:t>
            </w:r>
          </w:p>
        </w:tc>
      </w:tr>
      <w:tr>
        <w:trPr>
          <w:trHeight w:val="284" w:hRule="atLeast"/>
        </w:trPr>
        <w:tc>
          <w:tcPr>
            <w:tcW w:w="4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Krátkodobé záväzky spolu</w:t>
            </w:r>
          </w:p>
        </w:tc>
        <w:tc>
          <w:tcPr>
            <w:tcW w:w="2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14 424</w:t>
            </w:r>
          </w:p>
        </w:tc>
        <w:tc>
          <w:tcPr>
            <w:tcW w:w="2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7 376</w:t>
            </w:r>
          </w:p>
        </w:tc>
      </w:tr>
      <w:tr>
        <w:trPr>
          <w:trHeight w:val="284" w:hRule="atLeast"/>
        </w:trPr>
        <w:tc>
          <w:tcPr>
            <w:tcW w:w="4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2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</w:rPr>
            </w:pPr>
            <w:r>
              <w:rPr>
                <w:color w:val="00000A"/>
                <w:sz w:val="16"/>
                <w:szCs w:val="16"/>
              </w:rPr>
              <w:t xml:space="preserve">                                             </w:t>
            </w:r>
            <w:r>
              <w:rPr>
                <w:color w:val="00000A"/>
                <w:sz w:val="16"/>
                <w:szCs w:val="16"/>
              </w:rPr>
              <w:t>652</w:t>
            </w:r>
          </w:p>
        </w:tc>
        <w:tc>
          <w:tcPr>
            <w:tcW w:w="2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</w:rPr>
            </w:pPr>
            <w:r>
              <w:rPr>
                <w:color w:val="00000A"/>
                <w:sz w:val="16"/>
                <w:szCs w:val="16"/>
              </w:rPr>
              <w:t xml:space="preserve">                                                  </w:t>
            </w:r>
            <w:r>
              <w:rPr>
                <w:color w:val="00000A"/>
                <w:sz w:val="16"/>
                <w:szCs w:val="16"/>
              </w:rPr>
              <w:t>332</w:t>
            </w:r>
          </w:p>
        </w:tc>
      </w:tr>
      <w:tr>
        <w:trPr>
          <w:trHeight w:val="284" w:hRule="atLeast"/>
        </w:trPr>
        <w:tc>
          <w:tcPr>
            <w:tcW w:w="4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Dlhodobé záväzky spolu</w:t>
            </w:r>
          </w:p>
        </w:tc>
        <w:tc>
          <w:tcPr>
            <w:tcW w:w="2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652</w:t>
            </w:r>
          </w:p>
        </w:tc>
        <w:tc>
          <w:tcPr>
            <w:tcW w:w="2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332</w:t>
            </w:r>
          </w:p>
        </w:tc>
      </w:tr>
      <w:tr>
        <w:trPr>
          <w:trHeight w:val="284" w:hRule="atLeast"/>
        </w:trPr>
        <w:tc>
          <w:tcPr>
            <w:tcW w:w="4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Krátkodobé a dlhodobé záväzky spolu</w:t>
            </w:r>
          </w:p>
        </w:tc>
        <w:tc>
          <w:tcPr>
            <w:tcW w:w="2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15 076</w:t>
            </w:r>
          </w:p>
        </w:tc>
        <w:tc>
          <w:tcPr>
            <w:tcW w:w="2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7 708</w:t>
            </w:r>
          </w:p>
        </w:tc>
      </w:tr>
    </w:tbl>
    <w:p>
      <w:pPr>
        <w:pStyle w:val="Normal"/>
        <w:spacing w:lineRule="auto" w:line="24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spacing w:lineRule="auto" w:line="24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spacing w:lineRule="auto" w:line="24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numPr>
          <w:ilvl w:val="0"/>
          <w:numId w:val="10"/>
        </w:numPr>
        <w:spacing w:lineRule="auto" w:line="24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prehľad o záväzkoch zo sociálneho fondu; uvádza sa začiatočný stav, tvorba a čerpanie sociálneho fondu počas účtovného obdobia a zostatok na konci účtovného obdobia,</w:t>
      </w:r>
    </w:p>
    <w:tbl>
      <w:tblPr>
        <w:tblW w:w="5000" w:type="pct"/>
        <w:jc w:val="left"/>
        <w:tblInd w:w="-2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val="00a0"/>
      </w:tblPr>
      <w:tblGrid>
        <w:gridCol w:w="3724"/>
        <w:gridCol w:w="3147"/>
        <w:gridCol w:w="3107"/>
      </w:tblGrid>
      <w:tr>
        <w:trPr>
          <w:trHeight w:val="284" w:hRule="atLeast"/>
        </w:trPr>
        <w:tc>
          <w:tcPr>
            <w:tcW w:w="37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Sociálny fond</w:t>
            </w:r>
          </w:p>
        </w:tc>
        <w:tc>
          <w:tcPr>
            <w:tcW w:w="3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3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>
        <w:trPr>
          <w:trHeight w:val="284" w:hRule="atLeast"/>
        </w:trPr>
        <w:tc>
          <w:tcPr>
            <w:tcW w:w="37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Stav k prvému dňu účtovného obdobia</w:t>
            </w:r>
          </w:p>
        </w:tc>
        <w:tc>
          <w:tcPr>
            <w:tcW w:w="3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332</w:t>
            </w:r>
          </w:p>
        </w:tc>
        <w:tc>
          <w:tcPr>
            <w:tcW w:w="3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37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Tvorba na ťarchu nákladov</w:t>
            </w:r>
          </w:p>
        </w:tc>
        <w:tc>
          <w:tcPr>
            <w:tcW w:w="3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</w:rPr>
            </w:pPr>
            <w:r>
              <w:rPr>
                <w:color w:val="00000A"/>
                <w:sz w:val="16"/>
                <w:szCs w:val="16"/>
              </w:rPr>
              <w:t>320</w:t>
            </w:r>
          </w:p>
        </w:tc>
        <w:tc>
          <w:tcPr>
            <w:tcW w:w="3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332</w:t>
            </w:r>
          </w:p>
        </w:tc>
      </w:tr>
      <w:tr>
        <w:trPr>
          <w:trHeight w:val="284" w:hRule="atLeast"/>
        </w:trPr>
        <w:tc>
          <w:tcPr>
            <w:tcW w:w="37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Tvorba zo zisku</w:t>
            </w:r>
          </w:p>
        </w:tc>
        <w:tc>
          <w:tcPr>
            <w:tcW w:w="3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3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7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Čerpanie</w:t>
            </w:r>
          </w:p>
        </w:tc>
        <w:tc>
          <w:tcPr>
            <w:tcW w:w="3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  <w:tc>
          <w:tcPr>
            <w:tcW w:w="3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7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Stav k poslednému dňu účtovného obdobia</w:t>
            </w:r>
          </w:p>
        </w:tc>
        <w:tc>
          <w:tcPr>
            <w:tcW w:w="3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652</w:t>
            </w:r>
          </w:p>
        </w:tc>
        <w:tc>
          <w:tcPr>
            <w:tcW w:w="3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332</w:t>
            </w:r>
          </w:p>
        </w:tc>
      </w:tr>
    </w:tbl>
    <w:p>
      <w:pPr>
        <w:pStyle w:val="Normal"/>
        <w:spacing w:lineRule="auto" w:line="240"/>
        <w:ind w:left="720" w:hanging="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spacing w:lineRule="auto" w:line="240"/>
        <w:ind w:left="720" w:hanging="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numPr>
          <w:ilvl w:val="0"/>
          <w:numId w:val="10"/>
        </w:numPr>
        <w:spacing w:lineRule="auto" w:line="24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tbl>
      <w:tblPr>
        <w:tblW w:w="5000" w:type="pct"/>
        <w:jc w:val="left"/>
        <w:tblInd w:w="-2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val="00a0"/>
      </w:tblPr>
      <w:tblGrid>
        <w:gridCol w:w="2794"/>
        <w:gridCol w:w="596"/>
        <w:gridCol w:w="1310"/>
        <w:gridCol w:w="1310"/>
        <w:gridCol w:w="1312"/>
        <w:gridCol w:w="1312"/>
        <w:gridCol w:w="1343"/>
      </w:tblGrid>
      <w:tr>
        <w:trPr>
          <w:trHeight w:val="284" w:hRule="atLeast"/>
        </w:trPr>
        <w:tc>
          <w:tcPr>
            <w:tcW w:w="2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Druh cudzieho zdroja</w:t>
            </w:r>
          </w:p>
        </w:tc>
        <w:tc>
          <w:tcPr>
            <w:tcW w:w="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Výška úroku v %</w:t>
            </w: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Splatnosť</w:t>
            </w:r>
          </w:p>
        </w:tc>
        <w:tc>
          <w:tcPr>
            <w:tcW w:w="1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Forma zabezpečenia</w:t>
            </w:r>
          </w:p>
        </w:tc>
        <w:tc>
          <w:tcPr>
            <w:tcW w:w="1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>
        <w:trPr>
          <w:trHeight w:val="284" w:hRule="atLeast"/>
        </w:trPr>
        <w:tc>
          <w:tcPr>
            <w:tcW w:w="2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</w:rPr>
            </w:pPr>
            <w:r>
              <w:rPr>
                <w:color w:val="00000A"/>
              </w:rPr>
            </w:r>
          </w:p>
        </w:tc>
      </w:tr>
      <w:tr>
        <w:trPr>
          <w:trHeight w:val="284" w:hRule="atLeast"/>
        </w:trPr>
        <w:tc>
          <w:tcPr>
            <w:tcW w:w="2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Spolu</w:t>
            </w:r>
          </w:p>
        </w:tc>
        <w:tc>
          <w:tcPr>
            <w:tcW w:w="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</w: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</w: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</w:r>
          </w:p>
        </w:tc>
        <w:tc>
          <w:tcPr>
            <w:tcW w:w="1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</w:r>
          </w:p>
        </w:tc>
        <w:tc>
          <w:tcPr>
            <w:tcW w:w="1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</w:r>
          </w:p>
        </w:tc>
        <w:tc>
          <w:tcPr>
            <w:tcW w:w="1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</w:rPr>
            </w:pPr>
            <w:r>
              <w:rPr>
                <w:color w:val="00000A"/>
              </w:rPr>
            </w:r>
          </w:p>
        </w:tc>
      </w:tr>
    </w:tbl>
    <w:p>
      <w:pPr>
        <w:pStyle w:val="Normal"/>
        <w:numPr>
          <w:ilvl w:val="0"/>
          <w:numId w:val="10"/>
        </w:numPr>
        <w:spacing w:lineRule="auto" w:line="24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prehľad o významných položkách časového rozlíšenia výdavkov budúcich období.</w:t>
      </w:r>
    </w:p>
    <w:tbl>
      <w:tblPr>
        <w:tblW w:w="5000" w:type="pct"/>
        <w:jc w:val="left"/>
        <w:tblInd w:w="-2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val="00a0"/>
      </w:tblPr>
      <w:tblGrid>
        <w:gridCol w:w="2991"/>
        <w:gridCol w:w="4989"/>
        <w:gridCol w:w="1998"/>
      </w:tblGrid>
      <w:tr>
        <w:trPr>
          <w:trHeight w:val="284" w:hRule="atLeast"/>
        </w:trPr>
        <w:tc>
          <w:tcPr>
            <w:tcW w:w="2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Významné položky časového rozlíšenia výdavkov budúcich období</w:t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 xml:space="preserve">Opis </w:t>
            </w:r>
          </w:p>
        </w:tc>
        <w:tc>
          <w:tcPr>
            <w:tcW w:w="1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2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383 - Výdavky budúcich období</w:t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Spotreba plynu za 12/2022</w:t>
            </w:r>
          </w:p>
        </w:tc>
        <w:tc>
          <w:tcPr>
            <w:tcW w:w="1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12 954</w:t>
            </w:r>
          </w:p>
        </w:tc>
      </w:tr>
      <w:tr>
        <w:trPr>
          <w:trHeight w:val="284" w:hRule="atLeast"/>
        </w:trPr>
        <w:tc>
          <w:tcPr>
            <w:tcW w:w="2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383 - Výdavky budúcich období</w:t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Ostatné služby</w:t>
            </w:r>
          </w:p>
        </w:tc>
        <w:tc>
          <w:tcPr>
            <w:tcW w:w="1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2 729</w:t>
            </w:r>
          </w:p>
        </w:tc>
      </w:tr>
    </w:tbl>
    <w:p>
      <w:pPr>
        <w:pStyle w:val="Normal"/>
        <w:spacing w:lineRule="auto" w:line="240" w:before="0" w:after="0"/>
        <w:ind w:left="3" w:hanging="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 xml:space="preserve"> </w:t>
      </w:r>
    </w:p>
    <w:p>
      <w:pPr>
        <w:pStyle w:val="Normal"/>
        <w:spacing w:lineRule="auto" w:line="240" w:before="0" w:after="0"/>
        <w:ind w:left="6" w:hanging="0"/>
        <w:jc w:val="center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Netýka sa.</w:t>
      </w:r>
    </w:p>
    <w:p>
      <w:pPr>
        <w:pStyle w:val="Normal"/>
        <w:spacing w:lineRule="auto" w:line="240" w:before="0" w:after="0"/>
        <w:ind w:left="3" w:hanging="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0"/>
        <w:ind w:left="360" w:hanging="357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Prehľad o významných položkách výnosov budúcich období v členení najmä na</w:t>
      </w:r>
    </w:p>
    <w:p>
      <w:pPr>
        <w:pStyle w:val="Normal"/>
        <w:numPr>
          <w:ilvl w:val="0"/>
          <w:numId w:val="11"/>
        </w:numPr>
        <w:spacing w:lineRule="auto" w:line="240" w:before="0" w:after="0"/>
        <w:ind w:left="720" w:hanging="357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zostatkovú hodnotu bezodplatne nadobudnutého dlhodobého majetku,</w:t>
      </w:r>
    </w:p>
    <w:p>
      <w:pPr>
        <w:pStyle w:val="Normal"/>
        <w:numPr>
          <w:ilvl w:val="0"/>
          <w:numId w:val="11"/>
        </w:numPr>
        <w:spacing w:lineRule="auto" w:line="240" w:before="0" w:after="0"/>
        <w:ind w:left="720" w:hanging="357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zostatkovú hodnotu dlhodobého majetku obstaraného z dotácie,</w:t>
      </w:r>
    </w:p>
    <w:p>
      <w:pPr>
        <w:pStyle w:val="Normal"/>
        <w:numPr>
          <w:ilvl w:val="0"/>
          <w:numId w:val="11"/>
        </w:numPr>
        <w:spacing w:lineRule="auto" w:line="240" w:before="0" w:after="0"/>
        <w:ind w:left="720" w:hanging="357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zostatok nepoužitej dotácie alebo grantu,</w:t>
      </w:r>
    </w:p>
    <w:p>
      <w:pPr>
        <w:pStyle w:val="Normal"/>
        <w:numPr>
          <w:ilvl w:val="0"/>
          <w:numId w:val="11"/>
        </w:numPr>
        <w:spacing w:lineRule="auto" w:line="240" w:before="0" w:after="0"/>
        <w:ind w:left="720" w:hanging="357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zostatok nepoužitej časti podielu zaplatenej dane,</w:t>
      </w:r>
    </w:p>
    <w:p>
      <w:pPr>
        <w:pStyle w:val="Normal"/>
        <w:numPr>
          <w:ilvl w:val="0"/>
          <w:numId w:val="11"/>
        </w:numPr>
        <w:spacing w:lineRule="auto" w:line="240" w:before="0" w:after="120"/>
        <w:ind w:left="714" w:hanging="357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zostatkovú hodnotu dlhodobého majetku obstaraného z podielu zaplatenej dane.</w:t>
      </w:r>
    </w:p>
    <w:p>
      <w:pPr>
        <w:pStyle w:val="Normal"/>
        <w:spacing w:lineRule="auto" w:line="240" w:before="0" w:after="120"/>
        <w:rPr>
          <w:i/>
          <w:i/>
          <w:iCs/>
          <w:color w:val="00000A"/>
          <w:sz w:val="18"/>
          <w:szCs w:val="18"/>
        </w:rPr>
      </w:pPr>
      <w:r>
        <w:rPr>
          <w:i/>
          <w:iCs/>
          <w:color w:val="00000A"/>
          <w:sz w:val="18"/>
          <w:szCs w:val="18"/>
        </w:rPr>
      </w:r>
    </w:p>
    <w:tbl>
      <w:tblPr>
        <w:tblW w:w="10382" w:type="dxa"/>
        <w:jc w:val="left"/>
        <w:tblInd w:w="-2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val="00a0"/>
      </w:tblPr>
      <w:tblGrid>
        <w:gridCol w:w="4174"/>
        <w:gridCol w:w="1550"/>
        <w:gridCol w:w="1550"/>
        <w:gridCol w:w="1550"/>
        <w:gridCol w:w="1558"/>
      </w:tblGrid>
      <w:tr>
        <w:trPr>
          <w:trHeight w:val="284" w:hRule="atLeast"/>
        </w:trPr>
        <w:tc>
          <w:tcPr>
            <w:tcW w:w="41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>
        <w:trPr>
          <w:trHeight w:val="284" w:hRule="atLeast"/>
        </w:trPr>
        <w:tc>
          <w:tcPr>
            <w:tcW w:w="41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1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65 580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59 630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5 950</w:t>
            </w:r>
          </w:p>
        </w:tc>
      </w:tr>
      <w:tr>
        <w:trPr>
          <w:trHeight w:val="284" w:hRule="atLeast"/>
        </w:trPr>
        <w:tc>
          <w:tcPr>
            <w:tcW w:w="41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29 122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29 122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41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prijaté dary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338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338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41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podielu zaplatenej dane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</w:rPr>
            </w:pPr>
            <w:r>
              <w:rPr>
                <w:color w:val="00000A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12 677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12 677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</w:rPr>
            </w:pPr>
            <w:r>
              <w:rPr>
                <w:color w:val="00000A"/>
                <w:sz w:val="16"/>
                <w:szCs w:val="16"/>
              </w:rPr>
              <w:t xml:space="preserve"> </w:t>
            </w:r>
            <w:r>
              <w:rPr>
                <w:color w:val="00000A"/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41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rPr>
          <w:color w:val="00000A"/>
          <w:sz w:val="16"/>
          <w:szCs w:val="16"/>
        </w:rPr>
      </w:pPr>
      <w:r>
        <w:rPr>
          <w:color w:val="00000A"/>
          <w:sz w:val="16"/>
          <w:szCs w:val="16"/>
        </w:rPr>
      </w:r>
    </w:p>
    <w:p>
      <w:pPr>
        <w:pStyle w:val="Normal"/>
        <w:spacing w:lineRule="auto" w:line="240" w:before="0" w:after="0"/>
        <w:rPr>
          <w:color w:val="00000A"/>
          <w:sz w:val="16"/>
          <w:szCs w:val="16"/>
        </w:rPr>
      </w:pPr>
      <w:r>
        <w:rPr>
          <w:color w:val="00000A"/>
          <w:sz w:val="16"/>
          <w:szCs w:val="16"/>
        </w:rPr>
      </w:r>
    </w:p>
    <w:p>
      <w:pPr>
        <w:pStyle w:val="Normal"/>
        <w:spacing w:lineRule="auto" w:line="240" w:before="0" w:after="0"/>
        <w:rPr>
          <w:color w:val="00000A"/>
          <w:sz w:val="16"/>
          <w:szCs w:val="16"/>
        </w:rPr>
      </w:pPr>
      <w:r>
        <w:rPr>
          <w:color w:val="00000A"/>
          <w:sz w:val="16"/>
          <w:szCs w:val="16"/>
        </w:rPr>
      </w:r>
    </w:p>
    <w:p>
      <w:pPr>
        <w:pStyle w:val="Normal"/>
        <w:spacing w:lineRule="auto" w:line="240" w:before="0" w:after="0"/>
        <w:rPr>
          <w:color w:val="00000A"/>
          <w:sz w:val="16"/>
          <w:szCs w:val="16"/>
        </w:rPr>
      </w:pPr>
      <w:r>
        <w:rPr>
          <w:color w:val="00000A"/>
          <w:sz w:val="16"/>
          <w:szCs w:val="16"/>
        </w:rPr>
      </w:r>
    </w:p>
    <w:p>
      <w:pPr>
        <w:pStyle w:val="Normal"/>
        <w:spacing w:lineRule="auto" w:line="240" w:before="0" w:after="0"/>
        <w:rPr>
          <w:color w:val="00000A"/>
          <w:sz w:val="16"/>
          <w:szCs w:val="16"/>
        </w:rPr>
      </w:pPr>
      <w:r>
        <w:rPr>
          <w:color w:val="00000A"/>
          <w:sz w:val="16"/>
          <w:szCs w:val="16"/>
        </w:rPr>
      </w:r>
    </w:p>
    <w:p>
      <w:pPr>
        <w:pStyle w:val="Normal"/>
        <w:spacing w:lineRule="auto" w:line="240" w:before="0" w:after="0"/>
        <w:rPr>
          <w:color w:val="00000A"/>
          <w:sz w:val="16"/>
          <w:szCs w:val="16"/>
        </w:rPr>
      </w:pPr>
      <w:r>
        <w:rPr>
          <w:color w:val="00000A"/>
          <w:sz w:val="16"/>
          <w:szCs w:val="16"/>
        </w:rPr>
      </w:r>
    </w:p>
    <w:p>
      <w:pPr>
        <w:pStyle w:val="Normal"/>
        <w:numPr>
          <w:ilvl w:val="0"/>
          <w:numId w:val="5"/>
        </w:numPr>
        <w:spacing w:lineRule="auto" w:line="24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Údaje o majetku prenajatom formou finančného prenájmu, a to</w:t>
      </w:r>
    </w:p>
    <w:p>
      <w:pPr>
        <w:pStyle w:val="Normal"/>
        <w:numPr>
          <w:ilvl w:val="0"/>
          <w:numId w:val="12"/>
        </w:numPr>
        <w:spacing w:lineRule="auto" w:line="24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celková suma dohodnutých platieb ku dňu, ku ktorému sa zostavuje účtovná závierka, v členení na istinu a finančný náklad,</w:t>
      </w:r>
    </w:p>
    <w:tbl>
      <w:tblPr>
        <w:tblW w:w="5000" w:type="pct"/>
        <w:jc w:val="left"/>
        <w:tblInd w:w="-2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val="00a0"/>
      </w:tblPr>
      <w:tblGrid>
        <w:gridCol w:w="4988"/>
        <w:gridCol w:w="4989"/>
      </w:tblGrid>
      <w:tr>
        <w:trPr>
          <w:trHeight w:val="284" w:hRule="atLeast"/>
        </w:trPr>
        <w:tc>
          <w:tcPr>
            <w:tcW w:w="4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Suma istiny</w:t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Finančný náklad</w:t>
            </w:r>
          </w:p>
        </w:tc>
      </w:tr>
      <w:tr>
        <w:trPr>
          <w:trHeight w:val="284" w:hRule="atLeast"/>
        </w:trPr>
        <w:tc>
          <w:tcPr>
            <w:tcW w:w="4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ind w:left="360" w:hanging="0"/>
        <w:jc w:val="center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spacing w:lineRule="auto" w:line="240" w:before="0" w:after="0"/>
        <w:ind w:left="360" w:hanging="0"/>
        <w:jc w:val="center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Netýka sa.</w:t>
      </w:r>
    </w:p>
    <w:p>
      <w:pPr>
        <w:pStyle w:val="Normal"/>
        <w:spacing w:lineRule="auto" w:line="240" w:before="0" w:after="0"/>
        <w:ind w:left="360" w:hanging="0"/>
        <w:jc w:val="center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numPr>
          <w:ilvl w:val="0"/>
          <w:numId w:val="12"/>
        </w:numPr>
        <w:spacing w:lineRule="auto" w:line="240" w:before="0" w:after="0"/>
        <w:ind w:left="720" w:hanging="357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 xml:space="preserve">suma istiny a finančného nákladu podľa doby splatnosti </w:t>
      </w:r>
    </w:p>
    <w:p>
      <w:pPr>
        <w:pStyle w:val="Normal"/>
        <w:numPr>
          <w:ilvl w:val="0"/>
          <w:numId w:val="13"/>
        </w:numPr>
        <w:spacing w:lineRule="auto" w:line="240" w:before="0" w:after="0"/>
        <w:ind w:left="1068" w:hanging="357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do jedného roka vrátane,</w:t>
      </w:r>
    </w:p>
    <w:p>
      <w:pPr>
        <w:pStyle w:val="Normal"/>
        <w:numPr>
          <w:ilvl w:val="0"/>
          <w:numId w:val="13"/>
        </w:numPr>
        <w:spacing w:lineRule="auto" w:line="240" w:before="0" w:after="0"/>
        <w:ind w:left="1068" w:hanging="357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od jedného roka do piatich rokov vrátane,</w:t>
      </w:r>
    </w:p>
    <w:p>
      <w:pPr>
        <w:pStyle w:val="Normal"/>
        <w:numPr>
          <w:ilvl w:val="0"/>
          <w:numId w:val="13"/>
        </w:numPr>
        <w:spacing w:lineRule="auto" w:line="240" w:before="0" w:after="12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viac ako päť rokov.</w:t>
      </w:r>
    </w:p>
    <w:tbl>
      <w:tblPr>
        <w:tblW w:w="10382" w:type="dxa"/>
        <w:jc w:val="left"/>
        <w:tblInd w:w="-2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val="00a0"/>
      </w:tblPr>
      <w:tblGrid>
        <w:gridCol w:w="4174"/>
        <w:gridCol w:w="1550"/>
        <w:gridCol w:w="1550"/>
        <w:gridCol w:w="1550"/>
        <w:gridCol w:w="1558"/>
      </w:tblGrid>
      <w:tr>
        <w:trPr>
          <w:trHeight w:val="284" w:hRule="atLeast"/>
        </w:trPr>
        <w:tc>
          <w:tcPr>
            <w:tcW w:w="41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Záväzok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Istina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Finančný náklad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>
        <w:trPr>
          <w:trHeight w:val="284" w:hRule="atLeast"/>
        </w:trPr>
        <w:tc>
          <w:tcPr>
            <w:tcW w:w="41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Celková suma dohodnutých platieb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1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do jedného roka vrátane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1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od jedného roka do piatich  rokov vrátane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1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viac ako päť rokov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</w:tbl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0"/>
        <w:rPr>
          <w:b/>
          <w:b/>
          <w:bCs/>
          <w:color w:val="00000A"/>
        </w:rPr>
      </w:pPr>
      <w:r>
        <w:rPr>
          <w:b/>
          <w:bCs/>
          <w:color w:val="00000A"/>
        </w:rPr>
      </w:r>
    </w:p>
    <w:p>
      <w:pPr>
        <w:pStyle w:val="Normal"/>
        <w:spacing w:lineRule="auto" w:line="240" w:before="0" w:after="0"/>
        <w:ind w:left="360" w:hanging="0"/>
        <w:jc w:val="center"/>
        <w:rPr>
          <w:color w:val="00000A"/>
          <w:sz w:val="16"/>
          <w:szCs w:val="16"/>
        </w:rPr>
      </w:pPr>
      <w:r>
        <w:rPr>
          <w:color w:val="00000A"/>
          <w:sz w:val="16"/>
          <w:szCs w:val="16"/>
        </w:rPr>
        <w:t>Netýka sa.</w:t>
      </w:r>
    </w:p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0"/>
        <w:rPr>
          <w:bCs/>
          <w:color w:val="00000A"/>
        </w:rPr>
      </w:pPr>
      <w:r>
        <w:rPr>
          <w:bCs/>
          <w:color w:val="00000A"/>
        </w:rPr>
      </w:r>
    </w:p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0"/>
        <w:rPr>
          <w:b/>
          <w:b/>
          <w:bCs/>
          <w:color w:val="00000A"/>
        </w:rPr>
      </w:pPr>
      <w:r>
        <w:rPr>
          <w:b/>
          <w:bCs/>
          <w:color w:val="00000A"/>
        </w:rPr>
      </w:r>
    </w:p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0"/>
        <w:rPr>
          <w:b/>
          <w:b/>
          <w:bCs/>
          <w:color w:val="00000A"/>
        </w:rPr>
      </w:pPr>
      <w:r>
        <w:rPr>
          <w:b/>
          <w:bCs/>
          <w:color w:val="00000A"/>
        </w:rPr>
        <w:t>Čl. IV</w:t>
      </w:r>
    </w:p>
    <w:p>
      <w:pPr>
        <w:pStyle w:val="Normal"/>
        <w:keepNext/>
        <w:numPr>
          <w:ilvl w:val="0"/>
          <w:numId w:val="0"/>
        </w:numPr>
        <w:spacing w:lineRule="auto" w:line="240" w:before="0" w:after="120"/>
        <w:jc w:val="center"/>
        <w:outlineLvl w:val="1"/>
        <w:rPr>
          <w:b/>
          <w:b/>
          <w:bCs/>
          <w:color w:val="00000A"/>
        </w:rPr>
      </w:pPr>
      <w:r>
        <w:rPr>
          <w:b/>
          <w:bCs/>
          <w:color w:val="00000A"/>
        </w:rPr>
        <w:t>Informácie, ktoré dopĺňajú a vysvetľujú údaje vo výkaze ziskov a strát</w:t>
      </w:r>
    </w:p>
    <w:p>
      <w:pPr>
        <w:pStyle w:val="Normal"/>
        <w:numPr>
          <w:ilvl w:val="0"/>
          <w:numId w:val="14"/>
        </w:numPr>
        <w:spacing w:lineRule="auto" w:line="240" w:before="0" w:after="120"/>
        <w:ind w:left="360" w:hanging="357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Prehľad tržieb za vlastné výkony a tovar s uvedením ich opisu a vyčíslením hodnoty tržieb podľa jednotlivých hlavných druhov výrobkov,  služieb hlavnej činnosti a podnikateľskej činnosti účtovnej jednotky.</w:t>
      </w:r>
    </w:p>
    <w:tbl>
      <w:tblPr>
        <w:tblW w:w="5000" w:type="pct"/>
        <w:jc w:val="right"/>
        <w:tblInd w:w="0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top w:w="0" w:type="dxa"/>
          <w:left w:w="-7" w:type="dxa"/>
          <w:bottom w:w="0" w:type="dxa"/>
          <w:right w:w="30" w:type="dxa"/>
        </w:tblCellMar>
        <w:tblLook w:val="0000"/>
      </w:tblPr>
      <w:tblGrid>
        <w:gridCol w:w="4026"/>
        <w:gridCol w:w="2974"/>
        <w:gridCol w:w="2978"/>
      </w:tblGrid>
      <w:tr>
        <w:trPr>
          <w:trHeight w:val="284" w:hRule="atLeast"/>
        </w:trPr>
        <w:tc>
          <w:tcPr>
            <w:tcW w:w="40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adpis3"/>
              <w:spacing w:before="0" w:after="0"/>
              <w:rPr>
                <w:rFonts w:ascii="Arial Narrow" w:hAnsi="Arial Narrow" w:cs="Arial Narrow"/>
                <w:color w:val="00000A"/>
                <w:sz w:val="16"/>
                <w:szCs w:val="16"/>
              </w:rPr>
            </w:pPr>
            <w:r>
              <w:rPr>
                <w:rFonts w:cs="Arial Narrow" w:ascii="Arial Narrow" w:hAnsi="Arial Narrow"/>
                <w:color w:val="00000A"/>
                <w:sz w:val="16"/>
                <w:szCs w:val="16"/>
              </w:rPr>
              <w:t>Prehľad tržieb za vlastné výkony a tovar</w:t>
            </w:r>
          </w:p>
        </w:tc>
        <w:tc>
          <w:tcPr>
            <w:tcW w:w="29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Hlavná činnosť</w:t>
            </w:r>
          </w:p>
        </w:tc>
        <w:tc>
          <w:tcPr>
            <w:tcW w:w="2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Podnikateľská činnosť</w:t>
            </w:r>
          </w:p>
        </w:tc>
      </w:tr>
      <w:tr>
        <w:trPr>
          <w:trHeight w:val="284" w:hRule="atLeast"/>
        </w:trPr>
        <w:tc>
          <w:tcPr>
            <w:tcW w:w="40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</w:rPr>
            </w:pPr>
            <w:r>
              <w:rPr>
                <w:color w:val="00000A"/>
                <w:sz w:val="16"/>
                <w:szCs w:val="16"/>
              </w:rPr>
              <w:t>19 121</w:t>
            </w:r>
          </w:p>
        </w:tc>
        <w:tc>
          <w:tcPr>
            <w:tcW w:w="29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</w:rPr>
            </w:pPr>
            <w:r>
              <w:rPr>
                <w:color w:val="00000A"/>
                <w:sz w:val="16"/>
                <w:szCs w:val="16"/>
              </w:rPr>
              <w:t>6 877</w:t>
            </w:r>
          </w:p>
        </w:tc>
        <w:tc>
          <w:tcPr>
            <w:tcW w:w="2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12 244</w:t>
            </w:r>
          </w:p>
        </w:tc>
      </w:tr>
    </w:tbl>
    <w:p>
      <w:pPr>
        <w:pStyle w:val="Normal"/>
        <w:spacing w:lineRule="auto" w:line="240" w:before="0" w:after="0"/>
        <w:ind w:left="6" w:hanging="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numPr>
          <w:ilvl w:val="0"/>
          <w:numId w:val="14"/>
        </w:numPr>
        <w:spacing w:lineRule="auto" w:line="240" w:before="0" w:after="120"/>
        <w:ind w:left="360" w:hanging="357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 xml:space="preserve">Opis a vyčíslenie hodnoty významných položiek prijatých darov, osobitných výnosov, zákonných poplatkov a iných ostatných výnosov. </w:t>
      </w:r>
    </w:p>
    <w:tbl>
      <w:tblPr>
        <w:tblW w:w="4900" w:type="pct"/>
        <w:jc w:val="left"/>
        <w:tblInd w:w="-2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val="00a0"/>
      </w:tblPr>
      <w:tblGrid>
        <w:gridCol w:w="6719"/>
        <w:gridCol w:w="3058"/>
      </w:tblGrid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Prijaté dary od fyzických a právnických osôb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</w:rPr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</w:rPr>
            </w:pPr>
            <w:r>
              <w:rPr>
                <w:color w:val="00000A"/>
                <w:sz w:val="16"/>
                <w:szCs w:val="16"/>
              </w:rPr>
              <w:t>Prijaté príspevky od iných organizácií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</w:rPr>
            </w:pPr>
            <w:r>
              <w:rPr>
                <w:color w:val="00000A"/>
                <w:sz w:val="16"/>
                <w:szCs w:val="16"/>
              </w:rPr>
              <w:t>338</w:t>
            </w:r>
          </w:p>
        </w:tc>
      </w:tr>
    </w:tbl>
    <w:p>
      <w:pPr>
        <w:pStyle w:val="Normal"/>
        <w:spacing w:lineRule="auto" w:line="240" w:before="0" w:after="0"/>
        <w:ind w:left="6" w:hanging="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numPr>
          <w:ilvl w:val="0"/>
          <w:numId w:val="14"/>
        </w:numPr>
        <w:spacing w:lineRule="auto" w:line="240" w:before="0" w:after="120"/>
        <w:ind w:left="360" w:hanging="357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Prehľad  dotácií a grantov, ktoré účtovná jednotka prijala v priebehu bežného účtovného obdobia.</w:t>
      </w:r>
    </w:p>
    <w:tbl>
      <w:tblPr>
        <w:tblW w:w="4900" w:type="pct"/>
        <w:jc w:val="left"/>
        <w:tblInd w:w="-2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val="00a0"/>
      </w:tblPr>
      <w:tblGrid>
        <w:gridCol w:w="6719"/>
        <w:gridCol w:w="3058"/>
      </w:tblGrid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Prehľad dotácií a grantov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 xml:space="preserve"> </w:t>
            </w:r>
            <w:r>
              <w:rPr>
                <w:color w:val="00000A"/>
                <w:sz w:val="16"/>
                <w:szCs w:val="16"/>
              </w:rPr>
              <w:t>BSK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</w:rPr>
            </w:pPr>
            <w:r>
              <w:rPr>
                <w:color w:val="00000A"/>
                <w:sz w:val="16"/>
                <w:szCs w:val="16"/>
              </w:rPr>
              <w:t>29 122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</w:rPr>
            </w:pPr>
            <w:r>
              <w:rPr>
                <w:color w:val="00000A"/>
                <w:sz w:val="16"/>
                <w:szCs w:val="16"/>
              </w:rPr>
              <w:t>Ministerstvo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</w:rPr>
            </w:pPr>
            <w:r>
              <w:rPr>
                <w:color w:val="00000A"/>
                <w:sz w:val="16"/>
                <w:szCs w:val="16"/>
              </w:rPr>
              <w:t>65 580</w:t>
            </w:r>
          </w:p>
        </w:tc>
      </w:tr>
    </w:tbl>
    <w:p>
      <w:pPr>
        <w:pStyle w:val="Normal"/>
        <w:spacing w:lineRule="auto" w:line="240" w:before="0" w:after="0"/>
        <w:ind w:left="6" w:hanging="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numPr>
          <w:ilvl w:val="0"/>
          <w:numId w:val="14"/>
        </w:numPr>
        <w:spacing w:lineRule="auto" w:line="240" w:before="0" w:after="120"/>
        <w:ind w:left="360" w:hanging="357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Opis a suma významných položiek finančných výnosov; uvádza sa aj celková suma kurzových ziskov, pričom  osobitne sa uvádza hodnota kurzových ziskov účtovaná ku dňu, ku ktorému sa zostavuje účtovná závierka.</w:t>
      </w:r>
    </w:p>
    <w:tbl>
      <w:tblPr>
        <w:tblW w:w="4900" w:type="pct"/>
        <w:jc w:val="left"/>
        <w:tblInd w:w="-2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val="00a0"/>
      </w:tblPr>
      <w:tblGrid>
        <w:gridCol w:w="6719"/>
        <w:gridCol w:w="3058"/>
      </w:tblGrid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Opis významných položiek finančných výnosov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numPr>
                <w:ilvl w:val="0"/>
                <w:numId w:val="16"/>
              </w:numPr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celková hodnota kurzových ziskov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numPr>
                <w:ilvl w:val="0"/>
                <w:numId w:val="16"/>
              </w:numPr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hodnota kurzových ziskov ku dňu účtovnej závierky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numPr>
                <w:ilvl w:val="0"/>
                <w:numId w:val="16"/>
              </w:numPr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ostatné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ind w:left="6" w:hanging="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spacing w:lineRule="auto" w:line="240" w:before="0" w:after="0"/>
        <w:ind w:left="6" w:hanging="0"/>
        <w:jc w:val="center"/>
        <w:rPr>
          <w:color w:val="00000A"/>
          <w:sz w:val="16"/>
          <w:szCs w:val="16"/>
        </w:rPr>
      </w:pPr>
      <w:r>
        <w:rPr>
          <w:color w:val="00000A"/>
          <w:sz w:val="16"/>
          <w:szCs w:val="16"/>
        </w:rPr>
        <w:t>Netýka sa.</w:t>
      </w:r>
    </w:p>
    <w:p>
      <w:pPr>
        <w:pStyle w:val="Normal"/>
        <w:spacing w:lineRule="auto" w:line="240" w:before="0" w:after="0"/>
        <w:ind w:left="6" w:hanging="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spacing w:lineRule="auto" w:line="240" w:before="0" w:after="0"/>
        <w:ind w:left="6" w:hanging="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spacing w:lineRule="auto" w:line="240" w:before="0" w:after="0"/>
        <w:ind w:left="6" w:hanging="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spacing w:lineRule="auto" w:line="240" w:before="0" w:after="0"/>
        <w:ind w:left="6" w:hanging="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spacing w:lineRule="auto" w:line="240" w:before="0" w:after="0"/>
        <w:ind w:left="6" w:hanging="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spacing w:lineRule="auto" w:line="240" w:before="0" w:after="0"/>
        <w:ind w:left="6" w:hanging="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numPr>
          <w:ilvl w:val="0"/>
          <w:numId w:val="14"/>
        </w:numPr>
        <w:spacing w:lineRule="auto" w:line="240" w:before="0" w:after="120"/>
        <w:ind w:left="360" w:hanging="357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 xml:space="preserve">Opis a vyčíslenie hodnoty významných položiek nákladov, nákladov na ostatné služby, osobitných nákladov a iných ostatných nákladov. </w:t>
      </w:r>
    </w:p>
    <w:tbl>
      <w:tblPr>
        <w:tblW w:w="4900" w:type="pct"/>
        <w:jc w:val="left"/>
        <w:tblInd w:w="-2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val="00a0"/>
      </w:tblPr>
      <w:tblGrid>
        <w:gridCol w:w="6719"/>
        <w:gridCol w:w="3058"/>
      </w:tblGrid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Opis významných nákladov, nákladov na ostatné služby, osobitné náklady a iné ostatné náklady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Mzdové náklady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</w:rPr>
            </w:pPr>
            <w:r>
              <w:rPr>
                <w:color w:val="00000A"/>
                <w:sz w:val="16"/>
                <w:szCs w:val="16"/>
              </w:rPr>
              <w:t>62 427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Zákonné poistenie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</w:rPr>
            </w:pPr>
            <w:r>
              <w:rPr>
                <w:color w:val="00000A"/>
                <w:sz w:val="16"/>
                <w:szCs w:val="16"/>
              </w:rPr>
              <w:t>20 481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Prijaté služby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</w:rPr>
            </w:pPr>
            <w:r>
              <w:rPr>
                <w:color w:val="00000A"/>
                <w:sz w:val="16"/>
                <w:szCs w:val="16"/>
              </w:rPr>
              <w:t>27 271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Spotreba materiálu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</w:rPr>
            </w:pPr>
            <w:r>
              <w:rPr>
                <w:color w:val="00000A"/>
                <w:sz w:val="16"/>
                <w:szCs w:val="16"/>
              </w:rPr>
              <w:t xml:space="preserve">  </w:t>
            </w:r>
            <w:r>
              <w:rPr>
                <w:color w:val="00000A"/>
                <w:sz w:val="16"/>
                <w:szCs w:val="16"/>
              </w:rPr>
              <w:t>5 032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Zákonné sociálne náklady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</w:rPr>
            </w:pPr>
            <w:r>
              <w:rPr>
                <w:color w:val="00000A"/>
                <w:sz w:val="16"/>
                <w:szCs w:val="16"/>
              </w:rPr>
              <w:t xml:space="preserve">  </w:t>
            </w:r>
            <w:r>
              <w:rPr>
                <w:color w:val="00000A"/>
                <w:sz w:val="16"/>
                <w:szCs w:val="16"/>
              </w:rPr>
              <w:t>2 713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Náklady na reprezentačné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 xml:space="preserve">     </w:t>
            </w:r>
            <w:r>
              <w:rPr>
                <w:color w:val="00000A"/>
                <w:sz w:val="16"/>
                <w:szCs w:val="16"/>
              </w:rPr>
              <w:t>618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Iné ostatné náklady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 xml:space="preserve">      </w:t>
            </w:r>
            <w:r>
              <w:rPr>
                <w:color w:val="00000A"/>
                <w:sz w:val="16"/>
                <w:szCs w:val="16"/>
              </w:rPr>
              <w:t>595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Cestovné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 xml:space="preserve">      </w:t>
            </w:r>
            <w:r>
              <w:rPr>
                <w:color w:val="00000A"/>
                <w:sz w:val="16"/>
                <w:szCs w:val="16"/>
              </w:rPr>
              <w:t>170</w:t>
            </w:r>
          </w:p>
        </w:tc>
      </w:tr>
    </w:tbl>
    <w:p>
      <w:pPr>
        <w:pStyle w:val="Normal"/>
        <w:spacing w:lineRule="auto" w:line="240" w:before="0" w:after="0"/>
        <w:ind w:left="6" w:hanging="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numPr>
          <w:ilvl w:val="0"/>
          <w:numId w:val="14"/>
        </w:numPr>
        <w:spacing w:lineRule="auto" w:line="240" w:before="0" w:after="120"/>
        <w:ind w:left="360" w:hanging="357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Prehľad o účele a výške použitia podielu zaplatenej dane za bežné účtovné obdobie.</w:t>
      </w:r>
    </w:p>
    <w:tbl>
      <w:tblPr>
        <w:tblW w:w="4900" w:type="pct"/>
        <w:jc w:val="left"/>
        <w:tblInd w:w="-2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val="00a0"/>
      </w:tblPr>
      <w:tblGrid>
        <w:gridCol w:w="4807"/>
        <w:gridCol w:w="2725"/>
        <w:gridCol w:w="2246"/>
      </w:tblGrid>
      <w:tr>
        <w:trPr>
          <w:trHeight w:val="284" w:hRule="atLeast"/>
        </w:trPr>
        <w:tc>
          <w:tcPr>
            <w:tcW w:w="4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Účel použitia podielu zaplatenej dane</w:t>
            </w:r>
          </w:p>
        </w:tc>
        <w:tc>
          <w:tcPr>
            <w:tcW w:w="2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2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Použitá suma bežného účtovného obdobia</w:t>
            </w:r>
          </w:p>
        </w:tc>
      </w:tr>
      <w:tr>
        <w:trPr>
          <w:trHeight w:val="284" w:hRule="atLeast"/>
        </w:trPr>
        <w:tc>
          <w:tcPr>
            <w:tcW w:w="4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 xml:space="preserve">Prevádzkové náklady organizácie - materiál, mzdy, prijaté služby </w:t>
            </w:r>
          </w:p>
        </w:tc>
        <w:tc>
          <w:tcPr>
            <w:tcW w:w="2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  <w:tc>
          <w:tcPr>
            <w:tcW w:w="2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12 677</w:t>
            </w:r>
          </w:p>
        </w:tc>
      </w:tr>
      <w:tr>
        <w:trPr>
          <w:trHeight w:val="284" w:hRule="atLeast"/>
        </w:trPr>
        <w:tc>
          <w:tcPr>
            <w:tcW w:w="4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2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2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2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2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75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2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0</w:t>
            </w:r>
          </w:p>
        </w:tc>
      </w:tr>
    </w:tbl>
    <w:p>
      <w:pPr>
        <w:pStyle w:val="Normal"/>
        <w:spacing w:lineRule="auto" w:line="240" w:before="0" w:after="0"/>
        <w:ind w:left="6" w:hanging="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spacing w:lineRule="auto" w:line="240" w:before="0" w:after="0"/>
        <w:ind w:left="6" w:hanging="0"/>
        <w:jc w:val="center"/>
        <w:rPr>
          <w:color w:val="00000A"/>
          <w:sz w:val="16"/>
          <w:szCs w:val="16"/>
        </w:rPr>
      </w:pPr>
      <w:r>
        <w:rPr>
          <w:color w:val="00000A"/>
          <w:sz w:val="16"/>
          <w:szCs w:val="16"/>
        </w:rPr>
        <w:t>Netýka sa.</w:t>
      </w:r>
    </w:p>
    <w:p>
      <w:pPr>
        <w:pStyle w:val="Normal"/>
        <w:spacing w:lineRule="auto" w:line="240" w:before="0" w:after="0"/>
        <w:ind w:left="6" w:hanging="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numPr>
          <w:ilvl w:val="0"/>
          <w:numId w:val="14"/>
        </w:numPr>
        <w:spacing w:lineRule="auto" w:line="240" w:before="0" w:after="120"/>
        <w:ind w:left="360" w:hanging="357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Opis a suma významných položiek finančných nákladov; uvádza sa aj celková suma kurzových strát, pričom osobitne sa uvádza hodnota kurzových strát účtovaná ku dňu, ku ktorému sa zostavuje účtovná závierka.</w:t>
      </w:r>
    </w:p>
    <w:tbl>
      <w:tblPr>
        <w:tblW w:w="4900" w:type="pct"/>
        <w:jc w:val="left"/>
        <w:tblInd w:w="-2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val="00a0"/>
      </w:tblPr>
      <w:tblGrid>
        <w:gridCol w:w="6719"/>
        <w:gridCol w:w="3058"/>
      </w:tblGrid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Opis významných položiek finančných nákladov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numPr>
                <w:ilvl w:val="0"/>
                <w:numId w:val="16"/>
              </w:numPr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celková hodnota kurzových strát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numPr>
                <w:ilvl w:val="0"/>
                <w:numId w:val="16"/>
              </w:numPr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hodnota kurzových strát ku dňu účtovnej závierky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numPr>
                <w:ilvl w:val="0"/>
                <w:numId w:val="16"/>
              </w:numPr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 xml:space="preserve">ostatné 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ind w:left="6" w:hanging="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 xml:space="preserve"> </w:t>
      </w:r>
    </w:p>
    <w:p>
      <w:pPr>
        <w:pStyle w:val="Normal"/>
        <w:spacing w:lineRule="auto" w:line="240" w:before="0" w:after="0"/>
        <w:ind w:left="6" w:hanging="0"/>
        <w:jc w:val="center"/>
        <w:rPr>
          <w:color w:val="00000A"/>
          <w:sz w:val="16"/>
          <w:szCs w:val="16"/>
        </w:rPr>
      </w:pPr>
      <w:r>
        <w:rPr>
          <w:color w:val="00000A"/>
          <w:sz w:val="16"/>
          <w:szCs w:val="16"/>
        </w:rPr>
        <w:t>Netýka sa.</w:t>
      </w:r>
    </w:p>
    <w:p>
      <w:pPr>
        <w:pStyle w:val="Normal"/>
        <w:spacing w:lineRule="auto" w:line="240" w:before="0" w:after="0"/>
        <w:ind w:left="6" w:hanging="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numPr>
          <w:ilvl w:val="0"/>
          <w:numId w:val="14"/>
        </w:numPr>
        <w:spacing w:lineRule="auto" w:line="240" w:before="0" w:after="120"/>
        <w:ind w:left="360" w:hanging="357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V účtovnej jednotke, ktorá má povinnosť overenia účtovnej závierky audítorom, sa uvedie vymedzenie a suma nákladov za účtovné obdobie v členení na náklady za</w:t>
      </w:r>
    </w:p>
    <w:p>
      <w:pPr>
        <w:pStyle w:val="Normal"/>
        <w:numPr>
          <w:ilvl w:val="0"/>
          <w:numId w:val="15"/>
        </w:numPr>
        <w:spacing w:lineRule="auto" w:line="240" w:before="0" w:after="0"/>
        <w:ind w:left="720" w:hanging="357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overenie účtovnej závierky,</w:t>
      </w:r>
    </w:p>
    <w:p>
      <w:pPr>
        <w:pStyle w:val="Normal"/>
        <w:numPr>
          <w:ilvl w:val="0"/>
          <w:numId w:val="15"/>
        </w:numPr>
        <w:spacing w:lineRule="auto" w:line="240" w:before="0" w:after="0"/>
        <w:ind w:left="720" w:hanging="357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uisťovacie audítorské služby s výnimkou overenia účtovnej závierky,</w:t>
      </w:r>
    </w:p>
    <w:p>
      <w:pPr>
        <w:pStyle w:val="Normal"/>
        <w:numPr>
          <w:ilvl w:val="0"/>
          <w:numId w:val="15"/>
        </w:numPr>
        <w:spacing w:lineRule="auto" w:line="240" w:before="0" w:after="0"/>
        <w:ind w:left="720" w:hanging="357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súvisiace audítorské služby,</w:t>
      </w:r>
    </w:p>
    <w:p>
      <w:pPr>
        <w:pStyle w:val="Normal"/>
        <w:numPr>
          <w:ilvl w:val="0"/>
          <w:numId w:val="15"/>
        </w:numPr>
        <w:spacing w:lineRule="auto" w:line="240" w:before="0" w:after="0"/>
        <w:ind w:left="720" w:hanging="357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daňové poradenstvo,</w:t>
      </w:r>
    </w:p>
    <w:p>
      <w:pPr>
        <w:pStyle w:val="Normal"/>
        <w:numPr>
          <w:ilvl w:val="0"/>
          <w:numId w:val="15"/>
        </w:numPr>
        <w:spacing w:lineRule="auto" w:line="240" w:before="0" w:after="120"/>
        <w:ind w:left="720" w:hanging="357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ostatné neaudítorské služby.</w:t>
      </w:r>
    </w:p>
    <w:p>
      <w:pPr>
        <w:pStyle w:val="Normal"/>
        <w:spacing w:lineRule="auto" w:line="240" w:before="0" w:after="120"/>
        <w:rPr>
          <w:b/>
          <w:b/>
          <w:bCs/>
          <w:i/>
          <w:i/>
          <w:iCs/>
          <w:color w:val="00000A"/>
          <w:sz w:val="18"/>
          <w:szCs w:val="18"/>
        </w:rPr>
      </w:pPr>
      <w:r>
        <w:rPr>
          <w:b/>
          <w:bCs/>
          <w:i/>
          <w:iCs/>
          <w:color w:val="00000A"/>
          <w:sz w:val="18"/>
          <w:szCs w:val="18"/>
        </w:rPr>
      </w:r>
    </w:p>
    <w:tbl>
      <w:tblPr>
        <w:tblW w:w="4900" w:type="pct"/>
        <w:jc w:val="left"/>
        <w:tblInd w:w="-2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val="00a0"/>
      </w:tblPr>
      <w:tblGrid>
        <w:gridCol w:w="6609"/>
        <w:gridCol w:w="3168"/>
      </w:tblGrid>
      <w:tr>
        <w:trPr>
          <w:trHeight w:val="284" w:hRule="atLeast"/>
        </w:trPr>
        <w:tc>
          <w:tcPr>
            <w:tcW w:w="6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Jednotlivé druhy nákladov za</w:t>
            </w:r>
          </w:p>
        </w:tc>
        <w:tc>
          <w:tcPr>
            <w:tcW w:w="31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6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overenie účtovnej závierky</w:t>
            </w:r>
          </w:p>
        </w:tc>
        <w:tc>
          <w:tcPr>
            <w:tcW w:w="31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</w:rPr>
            </w:pPr>
            <w:r>
              <w:rPr>
                <w:color w:val="00000A"/>
                <w:sz w:val="16"/>
                <w:szCs w:val="16"/>
              </w:rPr>
              <w:t>600</w:t>
            </w:r>
          </w:p>
        </w:tc>
      </w:tr>
      <w:tr>
        <w:trPr>
          <w:trHeight w:val="284" w:hRule="atLeast"/>
        </w:trPr>
        <w:tc>
          <w:tcPr>
            <w:tcW w:w="6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Spolu</w:t>
            </w:r>
          </w:p>
        </w:tc>
        <w:tc>
          <w:tcPr>
            <w:tcW w:w="31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600</w:t>
            </w:r>
          </w:p>
        </w:tc>
      </w:tr>
    </w:tbl>
    <w:p>
      <w:pPr>
        <w:pStyle w:val="Normal"/>
        <w:spacing w:lineRule="auto" w:line="240" w:before="0" w:after="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spacing w:lineRule="auto" w:line="240" w:before="0" w:after="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spacing w:lineRule="auto" w:line="240" w:before="0" w:after="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0"/>
        <w:rPr>
          <w:b/>
          <w:b/>
          <w:bCs/>
          <w:color w:val="00000A"/>
        </w:rPr>
      </w:pPr>
      <w:r>
        <w:rPr>
          <w:b/>
          <w:bCs/>
          <w:color w:val="00000A"/>
        </w:rPr>
        <w:t>Čl. V</w:t>
      </w:r>
    </w:p>
    <w:p>
      <w:pPr>
        <w:pStyle w:val="Normal"/>
        <w:keepNext/>
        <w:numPr>
          <w:ilvl w:val="0"/>
          <w:numId w:val="0"/>
        </w:numPr>
        <w:spacing w:lineRule="auto" w:line="240" w:before="0" w:after="120"/>
        <w:jc w:val="center"/>
        <w:outlineLvl w:val="1"/>
        <w:rPr>
          <w:b/>
          <w:b/>
          <w:bCs/>
          <w:color w:val="00000A"/>
        </w:rPr>
      </w:pPr>
      <w:r>
        <w:rPr>
          <w:b/>
          <w:bCs/>
          <w:color w:val="00000A"/>
        </w:rPr>
        <w:t>Opis údajov na podsúvahových účtoch</w:t>
      </w:r>
    </w:p>
    <w:p>
      <w:pPr>
        <w:pStyle w:val="Normal"/>
        <w:spacing w:lineRule="auto" w:line="240" w:before="0" w:after="120"/>
        <w:rPr>
          <w:color w:val="00000A"/>
          <w:sz w:val="16"/>
          <w:szCs w:val="16"/>
        </w:rPr>
      </w:pPr>
      <w:r>
        <w:rPr>
          <w:color w:val="00000A"/>
          <w:sz w:val="16"/>
          <w:szCs w:val="16"/>
        </w:rPr>
        <w:t>Významné položky prenajatého majetku, majetku prijatého do úschovy,  odpísané pohľadávky a prípadné ďalšie položky.</w:t>
      </w:r>
    </w:p>
    <w:tbl>
      <w:tblPr>
        <w:tblW w:w="4950" w:type="pct"/>
        <w:jc w:val="center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40" w:type="dxa"/>
          <w:bottom w:w="0" w:type="dxa"/>
          <w:right w:w="70" w:type="dxa"/>
        </w:tblCellMar>
        <w:tblLook w:val="0000"/>
      </w:tblPr>
      <w:tblGrid>
        <w:gridCol w:w="6677"/>
        <w:gridCol w:w="3200"/>
      </w:tblGrid>
      <w:tr>
        <w:trPr>
          <w:trHeight w:val="284" w:hRule="atLeast"/>
        </w:trPr>
        <w:tc>
          <w:tcPr>
            <w:tcW w:w="6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Významné položky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Hodnota majetku</w:t>
            </w:r>
          </w:p>
        </w:tc>
      </w:tr>
      <w:tr>
        <w:trPr>
          <w:trHeight w:val="284" w:hRule="atLeast"/>
        </w:trPr>
        <w:tc>
          <w:tcPr>
            <w:tcW w:w="6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rPr>
          <w:color w:val="00000A"/>
          <w:sz w:val="16"/>
          <w:szCs w:val="16"/>
        </w:rPr>
      </w:pPr>
      <w:r>
        <w:rPr>
          <w:color w:val="00000A"/>
          <w:sz w:val="16"/>
          <w:szCs w:val="16"/>
        </w:rPr>
      </w:r>
    </w:p>
    <w:p>
      <w:pPr>
        <w:pStyle w:val="Normal"/>
        <w:spacing w:lineRule="auto" w:line="240" w:before="0" w:after="0"/>
        <w:jc w:val="center"/>
        <w:rPr>
          <w:color w:val="00000A"/>
          <w:sz w:val="16"/>
          <w:szCs w:val="16"/>
        </w:rPr>
      </w:pPr>
      <w:r>
        <w:rPr>
          <w:color w:val="00000A"/>
          <w:sz w:val="16"/>
          <w:szCs w:val="16"/>
        </w:rPr>
        <w:t>Netýka sa.</w:t>
      </w:r>
    </w:p>
    <w:p>
      <w:pPr>
        <w:pStyle w:val="Normal"/>
        <w:spacing w:lineRule="auto" w:line="240" w:before="0" w:after="0"/>
        <w:rPr>
          <w:color w:val="00000A"/>
          <w:sz w:val="16"/>
          <w:szCs w:val="16"/>
        </w:rPr>
      </w:pPr>
      <w:r>
        <w:rPr>
          <w:color w:val="00000A"/>
          <w:sz w:val="16"/>
          <w:szCs w:val="16"/>
        </w:rPr>
      </w:r>
    </w:p>
    <w:p>
      <w:pPr>
        <w:pStyle w:val="Normal"/>
        <w:spacing w:lineRule="auto" w:line="240" w:before="0" w:after="0"/>
        <w:rPr>
          <w:color w:val="00000A"/>
          <w:sz w:val="16"/>
          <w:szCs w:val="16"/>
        </w:rPr>
      </w:pPr>
      <w:r>
        <w:rPr>
          <w:color w:val="00000A"/>
          <w:sz w:val="16"/>
          <w:szCs w:val="16"/>
        </w:rPr>
      </w:r>
    </w:p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0"/>
        <w:rPr>
          <w:b/>
          <w:b/>
          <w:bCs/>
          <w:color w:val="00000A"/>
        </w:rPr>
      </w:pPr>
      <w:r>
        <w:rPr>
          <w:b/>
          <w:bCs/>
          <w:color w:val="00000A"/>
        </w:rPr>
        <w:t>Čl. VI</w:t>
      </w:r>
    </w:p>
    <w:p>
      <w:pPr>
        <w:pStyle w:val="Normal"/>
        <w:keepNext/>
        <w:numPr>
          <w:ilvl w:val="0"/>
          <w:numId w:val="0"/>
        </w:numPr>
        <w:spacing w:lineRule="auto" w:line="240" w:before="0" w:after="120"/>
        <w:jc w:val="center"/>
        <w:outlineLvl w:val="1"/>
        <w:rPr>
          <w:b/>
          <w:b/>
          <w:bCs/>
          <w:color w:val="00000A"/>
        </w:rPr>
      </w:pPr>
      <w:r>
        <w:rPr>
          <w:b/>
          <w:bCs/>
          <w:color w:val="00000A"/>
        </w:rPr>
        <w:t>Ďalšie informácie</w:t>
      </w:r>
    </w:p>
    <w:p>
      <w:pPr>
        <w:pStyle w:val="Textopatrenia"/>
        <w:numPr>
          <w:ilvl w:val="0"/>
          <w:numId w:val="17"/>
        </w:numPr>
        <w:rPr>
          <w:color w:val="00000A"/>
          <w:sz w:val="16"/>
          <w:szCs w:val="16"/>
        </w:rPr>
      </w:pPr>
      <w:r>
        <w:rPr>
          <w:color w:val="00000A"/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tbl>
      <w:tblPr>
        <w:tblW w:w="5000" w:type="pct"/>
        <w:jc w:val="center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40" w:type="dxa"/>
          <w:bottom w:w="0" w:type="dxa"/>
          <w:right w:w="70" w:type="dxa"/>
        </w:tblCellMar>
        <w:tblLook w:val="0000"/>
      </w:tblPr>
      <w:tblGrid>
        <w:gridCol w:w="6766"/>
        <w:gridCol w:w="3211"/>
      </w:tblGrid>
      <w:tr>
        <w:trPr>
          <w:trHeight w:val="284" w:hRule="atLeast"/>
        </w:trPr>
        <w:tc>
          <w:tcPr>
            <w:tcW w:w="6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Opis iných aktív</w:t>
            </w:r>
          </w:p>
        </w:tc>
        <w:tc>
          <w:tcPr>
            <w:tcW w:w="32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 xml:space="preserve">Hodnota </w:t>
            </w:r>
          </w:p>
        </w:tc>
      </w:tr>
      <w:tr>
        <w:trPr>
          <w:trHeight w:val="284" w:hRule="atLeast"/>
        </w:trPr>
        <w:tc>
          <w:tcPr>
            <w:tcW w:w="6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32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</w:tr>
    </w:tbl>
    <w:p>
      <w:pPr>
        <w:pStyle w:val="Textopatrenia"/>
        <w:spacing w:before="0" w:after="0"/>
        <w:rPr>
          <w:color w:val="00000A"/>
          <w:sz w:val="16"/>
          <w:szCs w:val="16"/>
        </w:rPr>
      </w:pPr>
      <w:r>
        <w:rPr>
          <w:color w:val="00000A"/>
          <w:sz w:val="16"/>
          <w:szCs w:val="16"/>
        </w:rPr>
      </w:r>
    </w:p>
    <w:p>
      <w:pPr>
        <w:pStyle w:val="Textopatrenia"/>
        <w:numPr>
          <w:ilvl w:val="0"/>
          <w:numId w:val="17"/>
        </w:numPr>
        <w:spacing w:before="0" w:after="120"/>
        <w:ind w:left="357" w:hanging="357"/>
        <w:rPr>
          <w:color w:val="00000A"/>
          <w:sz w:val="16"/>
          <w:szCs w:val="16"/>
        </w:rPr>
      </w:pPr>
      <w:r>
        <w:rPr>
          <w:color w:val="00000A"/>
          <w:sz w:val="16"/>
          <w:szCs w:val="16"/>
        </w:rPr>
        <w:t>Opis a hodnota iných pasív vyplývajúcich zo súdnych rozhodnutí, z poskytnutých záruk, zo všeobecne záväzných právnych predpisov, z ručenia podľa jednotlivých druhov ručenia;  takýmito inými pasívami sú:</w:t>
      </w:r>
    </w:p>
    <w:p>
      <w:pPr>
        <w:pStyle w:val="Textopatrenia"/>
        <w:numPr>
          <w:ilvl w:val="0"/>
          <w:numId w:val="18"/>
        </w:numPr>
        <w:spacing w:before="0" w:after="120"/>
        <w:rPr>
          <w:color w:val="00000A"/>
          <w:sz w:val="16"/>
          <w:szCs w:val="16"/>
        </w:rPr>
      </w:pPr>
      <w:r>
        <w:rPr>
          <w:color w:val="00000A"/>
          <w:sz w:val="16"/>
          <w:szCs w:val="16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>
      <w:pPr>
        <w:pStyle w:val="Textopatrenia"/>
        <w:numPr>
          <w:ilvl w:val="0"/>
          <w:numId w:val="18"/>
        </w:numPr>
        <w:spacing w:before="0" w:after="120"/>
        <w:rPr>
          <w:color w:val="00000A"/>
          <w:sz w:val="16"/>
          <w:szCs w:val="16"/>
        </w:rPr>
      </w:pPr>
      <w:r>
        <w:rPr>
          <w:color w:val="00000A"/>
          <w:sz w:val="16"/>
          <w:szCs w:val="16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tbl>
      <w:tblPr>
        <w:tblW w:w="5000" w:type="pct"/>
        <w:jc w:val="center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40" w:type="dxa"/>
          <w:bottom w:w="0" w:type="dxa"/>
          <w:right w:w="70" w:type="dxa"/>
        </w:tblCellMar>
        <w:tblLook w:val="0000"/>
      </w:tblPr>
      <w:tblGrid>
        <w:gridCol w:w="6766"/>
        <w:gridCol w:w="3211"/>
      </w:tblGrid>
      <w:tr>
        <w:trPr>
          <w:trHeight w:val="284" w:hRule="atLeast"/>
        </w:trPr>
        <w:tc>
          <w:tcPr>
            <w:tcW w:w="6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Opis iných pasív</w:t>
            </w:r>
          </w:p>
        </w:tc>
        <w:tc>
          <w:tcPr>
            <w:tcW w:w="32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 xml:space="preserve">Hodnota </w:t>
            </w:r>
          </w:p>
        </w:tc>
      </w:tr>
      <w:tr>
        <w:trPr>
          <w:trHeight w:val="284" w:hRule="atLeast"/>
        </w:trPr>
        <w:tc>
          <w:tcPr>
            <w:tcW w:w="6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32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</w:tr>
    </w:tbl>
    <w:p>
      <w:pPr>
        <w:pStyle w:val="Textopatrenia"/>
        <w:spacing w:before="0" w:after="0"/>
        <w:rPr>
          <w:color w:val="00000A"/>
          <w:sz w:val="16"/>
          <w:szCs w:val="16"/>
        </w:rPr>
      </w:pPr>
      <w:r>
        <w:rPr>
          <w:color w:val="00000A"/>
          <w:sz w:val="16"/>
          <w:szCs w:val="16"/>
        </w:rPr>
      </w:r>
    </w:p>
    <w:p>
      <w:pPr>
        <w:pStyle w:val="Textopatrenia"/>
        <w:numPr>
          <w:ilvl w:val="0"/>
          <w:numId w:val="17"/>
        </w:numPr>
        <w:spacing w:before="0" w:after="120"/>
        <w:ind w:left="360" w:hanging="357"/>
        <w:rPr>
          <w:color w:val="00000A"/>
          <w:sz w:val="16"/>
          <w:szCs w:val="16"/>
        </w:rPr>
      </w:pPr>
      <w:r>
        <w:rPr>
          <w:color w:val="00000A"/>
          <w:sz w:val="16"/>
          <w:szCs w:val="16"/>
        </w:rPr>
        <w:t>Opis významných položiek ostatných finančných povinností, ktoré sa nesledujú v účtovníctve a neuvádzajú sa v súvahe; pri každej položke sa uvádza jej opis, výška a údaj, či sa týka spriaznených osôb, a to</w:t>
      </w:r>
    </w:p>
    <w:p>
      <w:pPr>
        <w:pStyle w:val="Textopatrenia"/>
        <w:numPr>
          <w:ilvl w:val="0"/>
          <w:numId w:val="19"/>
        </w:numPr>
        <w:spacing w:before="0" w:after="0"/>
        <w:ind w:left="720" w:hanging="357"/>
        <w:rPr>
          <w:color w:val="00000A"/>
          <w:sz w:val="16"/>
          <w:szCs w:val="16"/>
        </w:rPr>
      </w:pPr>
      <w:r>
        <w:rPr>
          <w:color w:val="00000A"/>
          <w:sz w:val="16"/>
          <w:szCs w:val="16"/>
        </w:rPr>
        <w:t>povinnosť z devízových termínovaných obchodov a iných finančných derivátov,</w:t>
      </w:r>
    </w:p>
    <w:p>
      <w:pPr>
        <w:pStyle w:val="Textopatrenia"/>
        <w:numPr>
          <w:ilvl w:val="0"/>
          <w:numId w:val="19"/>
        </w:numPr>
        <w:spacing w:before="0" w:after="0"/>
        <w:ind w:left="720" w:hanging="357"/>
        <w:rPr>
          <w:color w:val="00000A"/>
          <w:sz w:val="16"/>
          <w:szCs w:val="16"/>
        </w:rPr>
      </w:pPr>
      <w:r>
        <w:rPr>
          <w:color w:val="00000A"/>
          <w:sz w:val="16"/>
          <w:szCs w:val="16"/>
        </w:rPr>
        <w:t>povinnosť z opčných obchodov,</w:t>
      </w:r>
    </w:p>
    <w:p>
      <w:pPr>
        <w:pStyle w:val="Textopatrenia"/>
        <w:numPr>
          <w:ilvl w:val="0"/>
          <w:numId w:val="19"/>
        </w:numPr>
        <w:spacing w:before="0" w:after="0"/>
        <w:ind w:left="720" w:hanging="357"/>
        <w:rPr>
          <w:color w:val="00000A"/>
          <w:sz w:val="16"/>
          <w:szCs w:val="16"/>
        </w:rPr>
      </w:pPr>
      <w:r>
        <w:rPr>
          <w:color w:val="00000A"/>
          <w:sz w:val="16"/>
          <w:szCs w:val="16"/>
        </w:rPr>
        <w:t>zákonná povinnosť alebo zmluvná povinnosť odobrať určité produkty alebo služby, napríklad z dodávateľských alebo odberateľských zmlúv,</w:t>
      </w:r>
    </w:p>
    <w:p>
      <w:pPr>
        <w:pStyle w:val="Textopatrenia"/>
        <w:numPr>
          <w:ilvl w:val="0"/>
          <w:numId w:val="19"/>
        </w:numPr>
        <w:spacing w:before="0" w:after="0"/>
        <w:ind w:left="720" w:hanging="357"/>
        <w:rPr>
          <w:color w:val="00000A"/>
          <w:sz w:val="16"/>
          <w:szCs w:val="16"/>
        </w:rPr>
      </w:pPr>
      <w:r>
        <w:rPr>
          <w:color w:val="00000A"/>
          <w:sz w:val="16"/>
          <w:szCs w:val="16"/>
        </w:rPr>
        <w:t>povinnosť z leasingových, nájomných, servisných, poistných, koncesionárskych, licenčných zmlúv a podobných zmlúv,</w:t>
      </w:r>
    </w:p>
    <w:p>
      <w:pPr>
        <w:pStyle w:val="Textopatrenia"/>
        <w:numPr>
          <w:ilvl w:val="0"/>
          <w:numId w:val="19"/>
        </w:numPr>
        <w:spacing w:before="0" w:after="120"/>
        <w:ind w:left="720" w:hanging="357"/>
        <w:rPr>
          <w:color w:val="00000A"/>
          <w:sz w:val="16"/>
          <w:szCs w:val="16"/>
        </w:rPr>
      </w:pPr>
      <w:r>
        <w:rPr>
          <w:color w:val="00000A"/>
          <w:sz w:val="16"/>
          <w:szCs w:val="16"/>
        </w:rPr>
        <w:t xml:space="preserve">iné povinnosti. </w:t>
      </w:r>
    </w:p>
    <w:tbl>
      <w:tblPr>
        <w:tblW w:w="5000" w:type="pct"/>
        <w:jc w:val="center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40" w:type="dxa"/>
          <w:bottom w:w="0" w:type="dxa"/>
          <w:right w:w="70" w:type="dxa"/>
        </w:tblCellMar>
        <w:tblLook w:val="0000"/>
      </w:tblPr>
      <w:tblGrid>
        <w:gridCol w:w="4305"/>
        <w:gridCol w:w="2347"/>
        <w:gridCol w:w="3326"/>
      </w:tblGrid>
      <w:tr>
        <w:trPr>
          <w:trHeight w:val="284" w:hRule="atLeast"/>
        </w:trPr>
        <w:tc>
          <w:tcPr>
            <w:tcW w:w="43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Opis významných položiek ostatných finančných povinností</w:t>
            </w:r>
          </w:p>
        </w:tc>
        <w:tc>
          <w:tcPr>
            <w:tcW w:w="2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Výška</w:t>
            </w:r>
          </w:p>
        </w:tc>
        <w:tc>
          <w:tcPr>
            <w:tcW w:w="33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Spriaznené osoby</w:t>
            </w:r>
          </w:p>
        </w:tc>
      </w:tr>
      <w:tr>
        <w:trPr>
          <w:trHeight w:val="284" w:hRule="atLeast"/>
        </w:trPr>
        <w:tc>
          <w:tcPr>
            <w:tcW w:w="43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2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33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3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2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33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</w:tbl>
    <w:p>
      <w:pPr>
        <w:pStyle w:val="Textopatrenia"/>
        <w:spacing w:before="0" w:after="0"/>
        <w:rPr>
          <w:color w:val="00000A"/>
          <w:sz w:val="16"/>
          <w:szCs w:val="16"/>
        </w:rPr>
      </w:pPr>
      <w:r>
        <w:rPr>
          <w:color w:val="00000A"/>
          <w:sz w:val="16"/>
          <w:szCs w:val="16"/>
        </w:rPr>
      </w:r>
    </w:p>
    <w:p>
      <w:pPr>
        <w:pStyle w:val="Normal"/>
        <w:spacing w:lineRule="auto" w:line="240" w:before="0" w:after="0"/>
        <w:jc w:val="center"/>
        <w:rPr>
          <w:color w:val="00000A"/>
          <w:sz w:val="16"/>
          <w:szCs w:val="16"/>
        </w:rPr>
      </w:pPr>
      <w:r>
        <w:rPr>
          <w:color w:val="00000A"/>
          <w:sz w:val="18"/>
          <w:szCs w:val="18"/>
        </w:rPr>
        <w:t xml:space="preserve">       </w:t>
      </w:r>
      <w:r>
        <w:rPr>
          <w:color w:val="00000A"/>
          <w:sz w:val="16"/>
          <w:szCs w:val="16"/>
        </w:rPr>
        <w:t>Netýka sa.</w:t>
      </w:r>
    </w:p>
    <w:p>
      <w:pPr>
        <w:pStyle w:val="Textopatrenia"/>
        <w:spacing w:before="0" w:after="0"/>
        <w:rPr>
          <w:color w:val="00000A"/>
          <w:sz w:val="16"/>
          <w:szCs w:val="16"/>
        </w:rPr>
      </w:pPr>
      <w:r>
        <w:rPr>
          <w:color w:val="00000A"/>
          <w:sz w:val="16"/>
          <w:szCs w:val="16"/>
        </w:rPr>
      </w:r>
    </w:p>
    <w:p>
      <w:pPr>
        <w:pStyle w:val="Textopatrenia"/>
        <w:spacing w:before="0" w:after="0"/>
        <w:rPr>
          <w:color w:val="00000A"/>
          <w:sz w:val="16"/>
          <w:szCs w:val="16"/>
        </w:rPr>
      </w:pPr>
      <w:r>
        <w:rPr>
          <w:color w:val="00000A"/>
          <w:sz w:val="16"/>
          <w:szCs w:val="16"/>
        </w:rPr>
      </w:r>
    </w:p>
    <w:p>
      <w:pPr>
        <w:pStyle w:val="Normal"/>
        <w:numPr>
          <w:ilvl w:val="0"/>
          <w:numId w:val="17"/>
        </w:numPr>
        <w:spacing w:lineRule="auto" w:line="240" w:before="0" w:after="120"/>
        <w:ind w:left="360" w:hanging="357"/>
        <w:rPr>
          <w:color w:val="00000A"/>
          <w:sz w:val="16"/>
          <w:szCs w:val="16"/>
        </w:rPr>
      </w:pPr>
      <w:r>
        <w:rPr>
          <w:color w:val="00000A"/>
          <w:sz w:val="16"/>
          <w:szCs w:val="16"/>
        </w:rPr>
        <w:t>Prehľad nehnuteľných kultúrnych pamiatok, ktoré sú v správe alebo vo vlastníctve účtovnej jednotky.</w:t>
      </w:r>
    </w:p>
    <w:p>
      <w:pPr>
        <w:pStyle w:val="Normal"/>
        <w:spacing w:lineRule="auto" w:line="240" w:before="0" w:after="120"/>
        <w:ind w:left="360" w:hanging="0"/>
        <w:jc w:val="center"/>
        <w:rPr>
          <w:color w:val="00000A"/>
          <w:sz w:val="16"/>
          <w:szCs w:val="16"/>
        </w:rPr>
      </w:pPr>
      <w:r>
        <w:rPr>
          <w:color w:val="00000A"/>
          <w:sz w:val="16"/>
          <w:szCs w:val="16"/>
        </w:rPr>
        <w:t>Netýka sa.</w:t>
      </w:r>
    </w:p>
    <w:p>
      <w:pPr>
        <w:pStyle w:val="Normal"/>
        <w:spacing w:lineRule="auto" w:line="240" w:before="0" w:after="120"/>
        <w:rPr>
          <w:color w:val="00000A"/>
          <w:sz w:val="16"/>
          <w:szCs w:val="16"/>
        </w:rPr>
      </w:pPr>
      <w:r>
        <w:rPr>
          <w:color w:val="00000A"/>
          <w:sz w:val="16"/>
          <w:szCs w:val="16"/>
        </w:rPr>
      </w:r>
    </w:p>
    <w:p>
      <w:pPr>
        <w:pStyle w:val="Normal"/>
        <w:numPr>
          <w:ilvl w:val="0"/>
          <w:numId w:val="17"/>
        </w:numPr>
        <w:spacing w:lineRule="auto" w:line="240" w:before="0" w:after="120"/>
        <w:ind w:left="360" w:hanging="357"/>
        <w:rPr>
          <w:color w:val="00000A"/>
        </w:rPr>
      </w:pPr>
      <w:r>
        <w:rPr>
          <w:color w:val="00000A"/>
          <w:sz w:val="16"/>
          <w:szCs w:val="16"/>
        </w:rPr>
        <w:t>Informácie o významných skutočnostiach, ktoré nastali medzi dňom, ku ktorému sa zostavuje účtovná závierka a d</w:t>
      </w:r>
      <w:bookmarkStart w:id="0" w:name="_GoBack"/>
      <w:bookmarkEnd w:id="0"/>
      <w:r>
        <w:rPr>
          <w:color w:val="00000A"/>
          <w:sz w:val="16"/>
          <w:szCs w:val="16"/>
        </w:rPr>
        <w:t>ňom jej zostavenia.</w:t>
      </w:r>
    </w:p>
    <w:p>
      <w:pPr>
        <w:pStyle w:val="Normal"/>
        <w:spacing w:lineRule="auto" w:line="240" w:before="0" w:after="0"/>
        <w:ind w:left="357" w:hanging="0"/>
        <w:jc w:val="center"/>
        <w:rPr/>
      </w:pPr>
      <w:r>
        <w:rPr>
          <w:color w:val="00000A"/>
          <w:sz w:val="16"/>
          <w:szCs w:val="16"/>
        </w:rPr>
        <w:t>Žiadne skutočnosti nenastali.</w:t>
      </w:r>
    </w:p>
    <w:sectPr>
      <w:footerReference w:type="default" r:id="rId2"/>
      <w:type w:val="nextPage"/>
      <w:pgSz w:w="11906" w:h="16838"/>
      <w:pgMar w:left="964" w:right="964" w:header="0" w:top="1304" w:footer="454" w:bottom="1021" w:gutter="0"/>
      <w:pgNumType w:start="7" w:fmt="decimal"/>
      <w:formProt w:val="false"/>
      <w:textDirection w:val="lrTb"/>
      <w:docGrid w:type="default" w:linePitch="272" w:charSpace="20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Arial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ta"/>
      <w:jc w:val="right"/>
      <w:rPr/>
    </w:pPr>
    <w:r>
      <w:rPr/>
      <w:fldChar w:fldCharType="begin"/>
    </w:r>
    <w:r>
      <w:instrText> PAGE </w:instrText>
    </w:r>
    <w:r>
      <w:fldChar w:fldCharType="separate"/>
    </w:r>
    <w:r>
      <w:t>18</w:t>
    </w:r>
    <w:r>
      <w:fldChar w:fldCharType="end"/>
    </w:r>
  </w:p>
  <w:p>
    <w:pPr>
      <w:pStyle w:val="Pta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Nadpis1"/>
      <w:numFmt w:val="upperRoman"/>
      <w:suff w:val="nothing"/>
      <w:lvlText w:val="Čl. %1."/>
      <w:lvlJc w:val="center"/>
      <w:pPr>
        <w:ind w:left="0" w:hanging="0"/>
      </w:pPr>
      <w:rPr>
        <w:sz w:val="24"/>
        <w:i w:val="false"/>
        <w:b/>
        <w:szCs w:val="24"/>
        <w:iCs w:val="false"/>
        <w:bCs/>
        <w:rFonts w:cs="Arial"/>
      </w:r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i w:val="false"/>
        <w:b/>
        <w:iCs w:val="false"/>
        <w:bCs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sz w:val="16"/>
        <w:i w:val="false"/>
        <w:b w:val="false"/>
        <w:iCs w:val="false"/>
        <w:bCs w:val="false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sz w:val="18"/>
        <w:i w:val="false"/>
        <w:b w:val="false"/>
        <w:iCs w:val="false"/>
        <w:bCs w:val="false"/>
      </w:rPr>
    </w:lvl>
    <w:lvl w:ilvl="3">
      <w:start w:val="1"/>
      <w:numFmt w:val="none"/>
      <w:suff w:val="nothing"/>
      <w:lvlText w:val=""/>
      <w:lvlJc w:val="left"/>
      <w:pPr>
        <w:ind w:left="1440" w:hanging="360"/>
      </w:pPr>
    </w:lvl>
    <w:lvl w:ilvl="4">
      <w:start w:val="1"/>
      <w:numFmt w:val="none"/>
      <w:suff w:val="nothing"/>
      <w:lvlText w:val=""/>
      <w:lvlJc w:val="left"/>
      <w:pPr>
        <w:ind w:left="1800" w:hanging="360"/>
      </w:pPr>
    </w:lvl>
    <w:lvl w:ilvl="5">
      <w:start w:val="1"/>
      <w:numFmt w:val="none"/>
      <w:suff w:val="nothing"/>
      <w:lvlText w:val=""/>
      <w:lvlJc w:val="left"/>
      <w:pPr>
        <w:ind w:left="2160" w:hanging="360"/>
      </w:pPr>
    </w:lvl>
    <w:lvl w:ilvl="6">
      <w:start w:val="1"/>
      <w:numFmt w:val="none"/>
      <w:suff w:val="nothing"/>
      <w:lvlText w:val=""/>
      <w:lvlJc w:val="left"/>
      <w:pPr>
        <w:ind w:left="2520" w:hanging="360"/>
      </w:pPr>
    </w:lvl>
    <w:lvl w:ilvl="7">
      <w:start w:val="1"/>
      <w:numFmt w:val="none"/>
      <w:suff w:val="nothing"/>
      <w:lvlText w:val=""/>
      <w:lvlJc w:val="left"/>
      <w:pPr>
        <w:ind w:left="2880" w:hanging="360"/>
      </w:pPr>
    </w:lvl>
    <w:lvl w:ilvl="8">
      <w:start w:val="1"/>
      <w:numFmt w:val="none"/>
      <w:suff w:val="nothing"/>
      <w:lvlText w:val=""/>
      <w:lvlJc w:val="left"/>
      <w:pPr>
        <w:ind w:left="3240" w:hanging="360"/>
      </w:pPr>
    </w:lvl>
  </w:abstractNum>
  <w:abstractNum w:abstractNumId="5"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sz w:val="16"/>
        <w:b/>
        <w:rFonts w:cs="Symbol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  <w:rFonts w:cs="Wingdings"/>
      </w:rPr>
    </w:lvl>
  </w:abstractNum>
  <w:abstractNum w:abstractNumId="8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sz w:val="16"/>
        <w:rFonts w:cs="Symbol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  <w:rFonts w:cs="Wingdings"/>
      </w:rPr>
    </w:lvl>
  </w:abstractNum>
  <w:abstractNum w:abstractNumId="10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sz w:val="16"/>
        <w:rFonts w:cs="Symbol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  <w:rFonts w:cs="Wingdings"/>
      </w:rPr>
    </w:lvl>
  </w:abstractNum>
  <w:abstractNum w:abstractNumId="17">
    <w:lvl w:ilvl="0">
      <w:start w:val="1"/>
      <w:numFmt w:val="decimal"/>
      <w:lvlText w:val="(%1)"/>
      <w:lvlJc w:val="left"/>
      <w:pPr>
        <w:ind w:left="360" w:hanging="360"/>
      </w:pPr>
      <w:rPr>
        <w:sz w:val="16"/>
        <w:szCs w:val="16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w="http://schemas.openxmlformats.org/wordprocessingml/2006/main">
  <w:zoom w:percent="120"/>
  <w:embedSystemFonts/>
  <w:defaultTabStop w:val="708"/>
  <w:compat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szCs w:val="22"/>
        <w:lang w:val="sk-SK" w:eastAsia="sk-SK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uiPriority="10" w:semiHidden="0" w:unhideWhenUsed="0" w:qFormat="1"/>
    <w:lsdException w:name="Default Paragraph Font" w:unhideWhenUsed="0"/>
    <w:lsdException w:name="Body Text" w:unhideWhenUsed="0"/>
    <w:lsdException w:name="Subtitle" w:uiPriority="11" w:semiHidden="0" w:unhideWhenUsed="0" w:qFormat="1"/>
    <w:lsdException w:name="Strong" w:semiHidden="0" w:unhideWhenUsed="0" w:qFormat="1"/>
    <w:lsdException w:name="Emphasis" w:uiPriority="20" w:semiHidden="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691dcc"/>
    <w:pPr>
      <w:widowControl/>
      <w:bidi w:val="0"/>
      <w:spacing w:lineRule="auto" w:line="360" w:before="120" w:after="120"/>
      <w:jc w:val="both"/>
    </w:pPr>
    <w:rPr>
      <w:rFonts w:ascii="Arial Narrow" w:hAnsi="Arial Narrow" w:cs="Arial Narrow" w:eastAsia="Times New Roman"/>
      <w:color w:val="00000A"/>
      <w:sz w:val="20"/>
      <w:szCs w:val="20"/>
      <w:lang w:eastAsia="cs-CZ" w:val="sk-SK" w:bidi="ar-SA"/>
    </w:rPr>
  </w:style>
  <w:style w:type="paragraph" w:styleId="Nadpis1" w:customStyle="1">
    <w:name w:val="Heading 1"/>
    <w:basedOn w:val="Normal"/>
    <w:link w:val="Nadpis1Char"/>
    <w:uiPriority w:val="99"/>
    <w:qFormat/>
    <w:rsid w:val="00d440d5"/>
    <w:pPr>
      <w:keepNext/>
      <w:numPr>
        <w:ilvl w:val="0"/>
        <w:numId w:val="1"/>
      </w:numPr>
      <w:spacing w:lineRule="auto" w:line="240"/>
      <w:jc w:val="center"/>
      <w:outlineLvl w:val="0"/>
      <w:outlineLvl w:val="0"/>
    </w:pPr>
    <w:rPr>
      <w:rFonts w:ascii="Cambria" w:hAnsi="Cambria" w:cs="Cambria"/>
      <w:b/>
      <w:bCs/>
      <w:sz w:val="32"/>
      <w:szCs w:val="32"/>
    </w:rPr>
  </w:style>
  <w:style w:type="paragraph" w:styleId="Nadpis2" w:customStyle="1">
    <w:name w:val="Heading 2"/>
    <w:basedOn w:val="Normal"/>
    <w:link w:val="Nadpis2Char"/>
    <w:uiPriority w:val="99"/>
    <w:qFormat/>
    <w:rsid w:val="00d440d5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 w:customStyle="1">
    <w:name w:val="Heading 3"/>
    <w:basedOn w:val="Normal"/>
    <w:link w:val="Nadpis3Char"/>
    <w:uiPriority w:val="99"/>
    <w:qFormat/>
    <w:rsid w:val="00945816"/>
    <w:pPr>
      <w:keepNext/>
      <w:spacing w:lineRule="auto" w:line="240" w:before="240" w:after="60"/>
      <w:jc w:val="left"/>
      <w:outlineLvl w:val="2"/>
    </w:pPr>
    <w:rPr>
      <w:rFonts w:ascii="Arial" w:hAnsi="Arial" w:cs="Arial"/>
      <w:b/>
      <w:bCs/>
      <w:sz w:val="26"/>
      <w:szCs w:val="26"/>
      <w:lang w:val="cs-CZ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link w:val="Heading1"/>
    <w:uiPriority w:val="99"/>
    <w:qFormat/>
    <w:rsid w:val="00a02c03"/>
    <w:rPr>
      <w:rFonts w:ascii="Cambria" w:hAnsi="Cambria" w:cs="Cambria"/>
      <w:b/>
      <w:bCs/>
      <w:sz w:val="32"/>
      <w:szCs w:val="32"/>
      <w:lang w:eastAsia="cs-CZ"/>
    </w:rPr>
  </w:style>
  <w:style w:type="character" w:styleId="Nadpis2Char" w:customStyle="1">
    <w:name w:val="Nadpis 2 Char"/>
    <w:basedOn w:val="DefaultParagraphFont"/>
    <w:link w:val="Heading2"/>
    <w:uiPriority w:val="99"/>
    <w:semiHidden/>
    <w:qFormat/>
    <w:rsid w:val="00a02c03"/>
    <w:rPr>
      <w:rFonts w:ascii="Cambria" w:hAnsi="Cambria" w:cs="Cambria"/>
      <w:b/>
      <w:bCs/>
      <w:i/>
      <w:iCs/>
      <w:sz w:val="28"/>
      <w:szCs w:val="28"/>
      <w:lang w:eastAsia="cs-CZ"/>
    </w:rPr>
  </w:style>
  <w:style w:type="character" w:styleId="Nadpis3Char" w:customStyle="1">
    <w:name w:val="Nadpis 3 Char"/>
    <w:basedOn w:val="DefaultParagraphFont"/>
    <w:link w:val="Heading3"/>
    <w:uiPriority w:val="99"/>
    <w:qFormat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character" w:styleId="TltlnzovChar115ptAntiqueOliveNiejeTun" w:customStyle="1">
    <w:name w:val="Štýl Štýl § názov Char + 115 pt + Antique Olive Nie je Tučné"/>
    <w:uiPriority w:val="99"/>
    <w:qFormat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character" w:styleId="ZpatChar" w:customStyle="1">
    <w:name w:val="Zápatí Char"/>
    <w:basedOn w:val="DefaultParagraphFont"/>
    <w:link w:val="Footer"/>
    <w:uiPriority w:val="99"/>
    <w:qFormat/>
    <w:rsid w:val="00a02c03"/>
    <w:rPr>
      <w:rFonts w:ascii="Arial" w:hAnsi="Arial" w:cs="Arial"/>
      <w:sz w:val="24"/>
      <w:szCs w:val="24"/>
      <w:lang w:eastAsia="cs-CZ"/>
    </w:rPr>
  </w:style>
  <w:style w:type="character" w:styleId="Pagenumber">
    <w:name w:val="page number"/>
    <w:basedOn w:val="DefaultParagraphFont"/>
    <w:uiPriority w:val="99"/>
    <w:qFormat/>
    <w:rsid w:val="0072048d"/>
    <w:rPr/>
  </w:style>
  <w:style w:type="character" w:styleId="Strong">
    <w:name w:val="Strong"/>
    <w:basedOn w:val="DefaultParagraphFont"/>
    <w:uiPriority w:val="99"/>
    <w:qFormat/>
    <w:rsid w:val="00db3c2d"/>
    <w:rPr>
      <w:b/>
      <w:bCs/>
    </w:rPr>
  </w:style>
  <w:style w:type="character" w:styleId="ZkladntextChar" w:customStyle="1">
    <w:name w:val="Základní text Char"/>
    <w:basedOn w:val="DefaultParagraphFont"/>
    <w:link w:val="Zkladntext"/>
    <w:uiPriority w:val="99"/>
    <w:qFormat/>
    <w:rsid w:val="00497323"/>
    <w:rPr>
      <w:rFonts w:ascii="Arial" w:hAnsi="Arial" w:cs="Arial"/>
      <w:sz w:val="24"/>
      <w:szCs w:val="24"/>
      <w:lang w:val="de-DE" w:eastAsia="cs-CZ"/>
    </w:rPr>
  </w:style>
  <w:style w:type="character" w:styleId="ZhlavChar" w:customStyle="1">
    <w:name w:val="Záhlaví Char"/>
    <w:basedOn w:val="DefaultParagraphFont"/>
    <w:link w:val="Header"/>
    <w:uiPriority w:val="99"/>
    <w:qFormat/>
    <w:rsid w:val="00804636"/>
    <w:rPr>
      <w:rFonts w:ascii="Arial Narrow" w:hAnsi="Arial Narrow" w:cs="Arial Narrow"/>
      <w:sz w:val="24"/>
      <w:szCs w:val="24"/>
      <w:lang w:eastAsia="cs-CZ"/>
    </w:rPr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rsid w:val="001058f5"/>
    <w:rPr>
      <w:rFonts w:ascii="Tahoma" w:hAnsi="Tahoma" w:cs="Tahoma"/>
      <w:sz w:val="16"/>
      <w:szCs w:val="16"/>
      <w:lang w:eastAsia="cs-CZ"/>
    </w:rPr>
  </w:style>
  <w:style w:type="character" w:styleId="ListLabel1" w:customStyle="1">
    <w:name w:val="ListLabel 1"/>
    <w:qFormat/>
    <w:rsid w:val="00ce3333"/>
    <w:rPr>
      <w:rFonts w:cs="Arial"/>
      <w:b/>
      <w:bCs/>
      <w:i w:val="false"/>
      <w:iCs w:val="false"/>
      <w:sz w:val="24"/>
      <w:szCs w:val="24"/>
    </w:rPr>
  </w:style>
  <w:style w:type="character" w:styleId="ListLabel2" w:customStyle="1">
    <w:name w:val="ListLabel 2"/>
    <w:qFormat/>
    <w:rsid w:val="00ce3333"/>
    <w:rPr>
      <w:b w:val="false"/>
      <w:bCs w:val="false"/>
      <w:i w:val="false"/>
      <w:iCs w:val="false"/>
    </w:rPr>
  </w:style>
  <w:style w:type="character" w:styleId="ListLabel3" w:customStyle="1">
    <w:name w:val="ListLabel 3"/>
    <w:qFormat/>
    <w:rsid w:val="00ce3333"/>
    <w:rPr>
      <w:rFonts w:cs="Arial"/>
      <w:b/>
      <w:bCs/>
      <w:i w:val="false"/>
      <w:iCs w:val="false"/>
      <w:sz w:val="24"/>
      <w:szCs w:val="24"/>
    </w:rPr>
  </w:style>
  <w:style w:type="character" w:styleId="ListLabel4" w:customStyle="1">
    <w:name w:val="ListLabel 4"/>
    <w:qFormat/>
    <w:rsid w:val="00ce3333"/>
    <w:rPr>
      <w:b w:val="false"/>
      <w:bCs w:val="false"/>
      <w:i w:val="false"/>
      <w:iCs w:val="false"/>
    </w:rPr>
  </w:style>
  <w:style w:type="character" w:styleId="ListLabel5" w:customStyle="1">
    <w:name w:val="ListLabel 5"/>
    <w:qFormat/>
    <w:rsid w:val="00ce3333"/>
    <w:rPr>
      <w:b/>
      <w:bCs/>
      <w:i w:val="false"/>
      <w:iCs w:val="false"/>
    </w:rPr>
  </w:style>
  <w:style w:type="character" w:styleId="ListLabel6" w:customStyle="1">
    <w:name w:val="ListLabel 6"/>
    <w:qFormat/>
    <w:rsid w:val="00ce3333"/>
    <w:rPr>
      <w:rFonts w:cs="Arial Narrow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A"/>
      <w:spacing w:val="0"/>
      <w:w w:val="100"/>
      <w:position w:val="0"/>
      <w:sz w:val="24"/>
      <w:sz w:val="24"/>
      <w:szCs w:val="24"/>
      <w:u w:val="none"/>
      <w:vertAlign w:val="baseline"/>
    </w:rPr>
  </w:style>
  <w:style w:type="character" w:styleId="ListLabel7" w:customStyle="1">
    <w:name w:val="ListLabel 7"/>
    <w:qFormat/>
    <w:rsid w:val="00ce3333"/>
    <w:rPr>
      <w:rFonts w:cs="Arial Narrow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A"/>
      <w:spacing w:val="0"/>
      <w:w w:val="100"/>
      <w:position w:val="0"/>
      <w:sz w:val="24"/>
      <w:sz w:val="24"/>
      <w:szCs w:val="24"/>
      <w:u w:val="none"/>
      <w:vertAlign w:val="baseline"/>
    </w:rPr>
  </w:style>
  <w:style w:type="character" w:styleId="ListLabel8" w:customStyle="1">
    <w:name w:val="ListLabel 8"/>
    <w:qFormat/>
    <w:rsid w:val="00ce3333"/>
    <w:rPr>
      <w:b/>
      <w:bCs/>
      <w:i w:val="false"/>
      <w:iCs w:val="false"/>
    </w:rPr>
  </w:style>
  <w:style w:type="character" w:styleId="ListLabel9" w:customStyle="1">
    <w:name w:val="ListLabel 9"/>
    <w:qFormat/>
    <w:rsid w:val="00ce3333"/>
    <w:rPr>
      <w:b w:val="false"/>
      <w:bCs w:val="false"/>
      <w:i w:val="false"/>
      <w:iCs w:val="false"/>
      <w:sz w:val="16"/>
    </w:rPr>
  </w:style>
  <w:style w:type="character" w:styleId="ListLabel10" w:customStyle="1">
    <w:name w:val="ListLabel 10"/>
    <w:qFormat/>
    <w:rsid w:val="00ce3333"/>
    <w:rPr>
      <w:b w:val="false"/>
      <w:bCs w:val="false"/>
      <w:i w:val="false"/>
      <w:iCs w:val="false"/>
      <w:sz w:val="18"/>
    </w:rPr>
  </w:style>
  <w:style w:type="character" w:styleId="ListLabel11" w:customStyle="1">
    <w:name w:val="ListLabel 11"/>
    <w:qFormat/>
    <w:rsid w:val="00ce3333"/>
    <w:rPr>
      <w:rFonts w:cs="Symbol"/>
      <w:b/>
      <w:sz w:val="16"/>
    </w:rPr>
  </w:style>
  <w:style w:type="character" w:styleId="ListLabel12" w:customStyle="1">
    <w:name w:val="ListLabel 12"/>
    <w:qFormat/>
    <w:rsid w:val="00ce3333"/>
    <w:rPr>
      <w:rFonts w:cs="Courier New"/>
    </w:rPr>
  </w:style>
  <w:style w:type="character" w:styleId="ListLabel13" w:customStyle="1">
    <w:name w:val="ListLabel 13"/>
    <w:qFormat/>
    <w:rsid w:val="00ce3333"/>
    <w:rPr>
      <w:rFonts w:cs="Wingdings"/>
    </w:rPr>
  </w:style>
  <w:style w:type="character" w:styleId="ListLabel14" w:customStyle="1">
    <w:name w:val="ListLabel 14"/>
    <w:qFormat/>
    <w:rsid w:val="00ce3333"/>
    <w:rPr>
      <w:rFonts w:cs="Symbol"/>
    </w:rPr>
  </w:style>
  <w:style w:type="character" w:styleId="ListLabel15" w:customStyle="1">
    <w:name w:val="ListLabel 15"/>
    <w:qFormat/>
    <w:rsid w:val="00ce3333"/>
    <w:rPr>
      <w:rFonts w:cs="Courier New"/>
    </w:rPr>
  </w:style>
  <w:style w:type="character" w:styleId="ListLabel16" w:customStyle="1">
    <w:name w:val="ListLabel 16"/>
    <w:qFormat/>
    <w:rsid w:val="00ce3333"/>
    <w:rPr>
      <w:rFonts w:cs="Wingdings"/>
    </w:rPr>
  </w:style>
  <w:style w:type="character" w:styleId="ListLabel17" w:customStyle="1">
    <w:name w:val="ListLabel 17"/>
    <w:qFormat/>
    <w:rsid w:val="00ce3333"/>
    <w:rPr>
      <w:rFonts w:cs="Symbol"/>
    </w:rPr>
  </w:style>
  <w:style w:type="character" w:styleId="ListLabel18" w:customStyle="1">
    <w:name w:val="ListLabel 18"/>
    <w:qFormat/>
    <w:rsid w:val="00ce3333"/>
    <w:rPr>
      <w:rFonts w:cs="Courier New"/>
    </w:rPr>
  </w:style>
  <w:style w:type="character" w:styleId="ListLabel19" w:customStyle="1">
    <w:name w:val="ListLabel 19"/>
    <w:qFormat/>
    <w:rsid w:val="00ce3333"/>
    <w:rPr>
      <w:rFonts w:cs="Wingdings"/>
    </w:rPr>
  </w:style>
  <w:style w:type="character" w:styleId="ListLabel20" w:customStyle="1">
    <w:name w:val="ListLabel 20"/>
    <w:qFormat/>
    <w:rsid w:val="00ce3333"/>
    <w:rPr>
      <w:rFonts w:cs="Symbol"/>
      <w:sz w:val="16"/>
    </w:rPr>
  </w:style>
  <w:style w:type="character" w:styleId="ListLabel21" w:customStyle="1">
    <w:name w:val="ListLabel 21"/>
    <w:qFormat/>
    <w:rsid w:val="00ce3333"/>
    <w:rPr>
      <w:rFonts w:cs="Courier New"/>
    </w:rPr>
  </w:style>
  <w:style w:type="character" w:styleId="ListLabel22" w:customStyle="1">
    <w:name w:val="ListLabel 22"/>
    <w:qFormat/>
    <w:rsid w:val="00ce3333"/>
    <w:rPr>
      <w:rFonts w:cs="Wingdings"/>
    </w:rPr>
  </w:style>
  <w:style w:type="character" w:styleId="ListLabel23" w:customStyle="1">
    <w:name w:val="ListLabel 23"/>
    <w:qFormat/>
    <w:rsid w:val="00ce3333"/>
    <w:rPr>
      <w:rFonts w:cs="Symbol"/>
    </w:rPr>
  </w:style>
  <w:style w:type="character" w:styleId="ListLabel24" w:customStyle="1">
    <w:name w:val="ListLabel 24"/>
    <w:qFormat/>
    <w:rsid w:val="00ce3333"/>
    <w:rPr>
      <w:rFonts w:cs="Courier New"/>
    </w:rPr>
  </w:style>
  <w:style w:type="character" w:styleId="ListLabel25" w:customStyle="1">
    <w:name w:val="ListLabel 25"/>
    <w:qFormat/>
    <w:rsid w:val="00ce3333"/>
    <w:rPr>
      <w:rFonts w:cs="Wingdings"/>
    </w:rPr>
  </w:style>
  <w:style w:type="character" w:styleId="ListLabel26" w:customStyle="1">
    <w:name w:val="ListLabel 26"/>
    <w:qFormat/>
    <w:rsid w:val="00ce3333"/>
    <w:rPr>
      <w:rFonts w:cs="Symbol"/>
    </w:rPr>
  </w:style>
  <w:style w:type="character" w:styleId="ListLabel27" w:customStyle="1">
    <w:name w:val="ListLabel 27"/>
    <w:qFormat/>
    <w:rsid w:val="00ce3333"/>
    <w:rPr>
      <w:rFonts w:cs="Courier New"/>
    </w:rPr>
  </w:style>
  <w:style w:type="character" w:styleId="ListLabel28" w:customStyle="1">
    <w:name w:val="ListLabel 28"/>
    <w:qFormat/>
    <w:rsid w:val="00ce3333"/>
    <w:rPr>
      <w:rFonts w:cs="Wingdings"/>
    </w:rPr>
  </w:style>
  <w:style w:type="character" w:styleId="ListLabel29" w:customStyle="1">
    <w:name w:val="ListLabel 29"/>
    <w:qFormat/>
    <w:rsid w:val="00ce3333"/>
    <w:rPr>
      <w:rFonts w:cs="Symbol"/>
      <w:sz w:val="16"/>
    </w:rPr>
  </w:style>
  <w:style w:type="character" w:styleId="ListLabel30" w:customStyle="1">
    <w:name w:val="ListLabel 30"/>
    <w:qFormat/>
    <w:rsid w:val="00ce3333"/>
    <w:rPr>
      <w:rFonts w:cs="Courier New"/>
    </w:rPr>
  </w:style>
  <w:style w:type="character" w:styleId="ListLabel31" w:customStyle="1">
    <w:name w:val="ListLabel 31"/>
    <w:qFormat/>
    <w:rsid w:val="00ce3333"/>
    <w:rPr>
      <w:rFonts w:cs="Wingdings"/>
    </w:rPr>
  </w:style>
  <w:style w:type="character" w:styleId="ListLabel32" w:customStyle="1">
    <w:name w:val="ListLabel 32"/>
    <w:qFormat/>
    <w:rsid w:val="00ce3333"/>
    <w:rPr>
      <w:rFonts w:cs="Symbol"/>
    </w:rPr>
  </w:style>
  <w:style w:type="character" w:styleId="ListLabel33" w:customStyle="1">
    <w:name w:val="ListLabel 33"/>
    <w:qFormat/>
    <w:rsid w:val="00ce3333"/>
    <w:rPr>
      <w:rFonts w:cs="Courier New"/>
    </w:rPr>
  </w:style>
  <w:style w:type="character" w:styleId="ListLabel34" w:customStyle="1">
    <w:name w:val="ListLabel 34"/>
    <w:qFormat/>
    <w:rsid w:val="00ce3333"/>
    <w:rPr>
      <w:rFonts w:cs="Wingdings"/>
    </w:rPr>
  </w:style>
  <w:style w:type="character" w:styleId="ListLabel35" w:customStyle="1">
    <w:name w:val="ListLabel 35"/>
    <w:qFormat/>
    <w:rsid w:val="00ce3333"/>
    <w:rPr>
      <w:rFonts w:cs="Symbol"/>
    </w:rPr>
  </w:style>
  <w:style w:type="character" w:styleId="ListLabel36" w:customStyle="1">
    <w:name w:val="ListLabel 36"/>
    <w:qFormat/>
    <w:rsid w:val="00ce3333"/>
    <w:rPr>
      <w:rFonts w:cs="Courier New"/>
    </w:rPr>
  </w:style>
  <w:style w:type="character" w:styleId="ListLabel37" w:customStyle="1">
    <w:name w:val="ListLabel 37"/>
    <w:qFormat/>
    <w:rsid w:val="00ce3333"/>
    <w:rPr>
      <w:rFonts w:cs="Wingdings"/>
    </w:rPr>
  </w:style>
  <w:style w:type="character" w:styleId="ListLabel38" w:customStyle="1">
    <w:name w:val="ListLabel 38"/>
    <w:qFormat/>
    <w:rsid w:val="00ce3333"/>
    <w:rPr>
      <w:rFonts w:cs="Arial Narrow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A"/>
      <w:spacing w:val="0"/>
      <w:w w:val="100"/>
      <w:position w:val="0"/>
      <w:sz w:val="24"/>
      <w:sz w:val="24"/>
      <w:szCs w:val="24"/>
      <w:u w:val="none"/>
      <w:vertAlign w:val="baseline"/>
    </w:rPr>
  </w:style>
  <w:style w:type="character" w:styleId="ListLabel39" w:customStyle="1">
    <w:name w:val="ListLabel 39"/>
    <w:qFormat/>
    <w:rsid w:val="00ce3333"/>
    <w:rPr>
      <w:rFonts w:cs="Arial"/>
      <w:b/>
      <w:bCs/>
      <w:i w:val="false"/>
      <w:iCs w:val="false"/>
      <w:sz w:val="24"/>
      <w:szCs w:val="24"/>
    </w:rPr>
  </w:style>
  <w:style w:type="character" w:styleId="ListLabel40" w:customStyle="1">
    <w:name w:val="ListLabel 40"/>
    <w:qFormat/>
    <w:rsid w:val="00ce3333"/>
    <w:rPr>
      <w:b/>
      <w:bCs/>
      <w:i w:val="false"/>
      <w:iCs w:val="false"/>
    </w:rPr>
  </w:style>
  <w:style w:type="character" w:styleId="ListLabel41" w:customStyle="1">
    <w:name w:val="ListLabel 41"/>
    <w:qFormat/>
    <w:rsid w:val="00ce3333"/>
    <w:rPr>
      <w:b w:val="false"/>
      <w:bCs w:val="false"/>
      <w:i w:val="false"/>
      <w:iCs w:val="false"/>
      <w:sz w:val="16"/>
    </w:rPr>
  </w:style>
  <w:style w:type="character" w:styleId="ListLabel42" w:customStyle="1">
    <w:name w:val="ListLabel 42"/>
    <w:qFormat/>
    <w:rsid w:val="00ce3333"/>
    <w:rPr>
      <w:b w:val="false"/>
      <w:bCs w:val="false"/>
      <w:i w:val="false"/>
      <w:iCs w:val="false"/>
      <w:sz w:val="18"/>
    </w:rPr>
  </w:style>
  <w:style w:type="character" w:styleId="ListLabel43" w:customStyle="1">
    <w:name w:val="ListLabel 43"/>
    <w:qFormat/>
    <w:rsid w:val="00ce3333"/>
    <w:rPr>
      <w:rFonts w:cs="Symbol"/>
      <w:b/>
      <w:sz w:val="16"/>
    </w:rPr>
  </w:style>
  <w:style w:type="character" w:styleId="ListLabel44" w:customStyle="1">
    <w:name w:val="ListLabel 44"/>
    <w:qFormat/>
    <w:rsid w:val="00ce3333"/>
    <w:rPr>
      <w:rFonts w:cs="Courier New"/>
    </w:rPr>
  </w:style>
  <w:style w:type="character" w:styleId="ListLabel45" w:customStyle="1">
    <w:name w:val="ListLabel 45"/>
    <w:qFormat/>
    <w:rsid w:val="00ce3333"/>
    <w:rPr>
      <w:rFonts w:cs="Wingdings"/>
    </w:rPr>
  </w:style>
  <w:style w:type="character" w:styleId="ListLabel46" w:customStyle="1">
    <w:name w:val="ListLabel 46"/>
    <w:qFormat/>
    <w:rsid w:val="00ce3333"/>
    <w:rPr>
      <w:rFonts w:cs="Symbol"/>
    </w:rPr>
  </w:style>
  <w:style w:type="character" w:styleId="ListLabel47" w:customStyle="1">
    <w:name w:val="ListLabel 47"/>
    <w:qFormat/>
    <w:rsid w:val="00ce3333"/>
    <w:rPr>
      <w:rFonts w:cs="Courier New"/>
    </w:rPr>
  </w:style>
  <w:style w:type="character" w:styleId="ListLabel48" w:customStyle="1">
    <w:name w:val="ListLabel 48"/>
    <w:qFormat/>
    <w:rsid w:val="00ce3333"/>
    <w:rPr>
      <w:rFonts w:cs="Wingdings"/>
    </w:rPr>
  </w:style>
  <w:style w:type="character" w:styleId="ListLabel49" w:customStyle="1">
    <w:name w:val="ListLabel 49"/>
    <w:qFormat/>
    <w:rsid w:val="00ce3333"/>
    <w:rPr>
      <w:rFonts w:cs="Symbol"/>
    </w:rPr>
  </w:style>
  <w:style w:type="character" w:styleId="ListLabel50" w:customStyle="1">
    <w:name w:val="ListLabel 50"/>
    <w:qFormat/>
    <w:rsid w:val="00ce3333"/>
    <w:rPr>
      <w:rFonts w:cs="Courier New"/>
    </w:rPr>
  </w:style>
  <w:style w:type="character" w:styleId="ListLabel51" w:customStyle="1">
    <w:name w:val="ListLabel 51"/>
    <w:qFormat/>
    <w:rsid w:val="00ce3333"/>
    <w:rPr>
      <w:rFonts w:cs="Wingdings"/>
    </w:rPr>
  </w:style>
  <w:style w:type="character" w:styleId="ListLabel52" w:customStyle="1">
    <w:name w:val="ListLabel 52"/>
    <w:qFormat/>
    <w:rsid w:val="00ce3333"/>
    <w:rPr>
      <w:rFonts w:cs="Symbol"/>
      <w:sz w:val="16"/>
    </w:rPr>
  </w:style>
  <w:style w:type="character" w:styleId="ListLabel53" w:customStyle="1">
    <w:name w:val="ListLabel 53"/>
    <w:qFormat/>
    <w:rsid w:val="00ce3333"/>
    <w:rPr>
      <w:rFonts w:cs="Courier New"/>
    </w:rPr>
  </w:style>
  <w:style w:type="character" w:styleId="ListLabel54" w:customStyle="1">
    <w:name w:val="ListLabel 54"/>
    <w:qFormat/>
    <w:rsid w:val="00ce3333"/>
    <w:rPr>
      <w:rFonts w:cs="Wingdings"/>
    </w:rPr>
  </w:style>
  <w:style w:type="character" w:styleId="ListLabel55" w:customStyle="1">
    <w:name w:val="ListLabel 55"/>
    <w:qFormat/>
    <w:rsid w:val="00ce3333"/>
    <w:rPr>
      <w:rFonts w:cs="Symbol"/>
    </w:rPr>
  </w:style>
  <w:style w:type="character" w:styleId="ListLabel56" w:customStyle="1">
    <w:name w:val="ListLabel 56"/>
    <w:qFormat/>
    <w:rsid w:val="00ce3333"/>
    <w:rPr>
      <w:rFonts w:cs="Courier New"/>
    </w:rPr>
  </w:style>
  <w:style w:type="character" w:styleId="ListLabel57" w:customStyle="1">
    <w:name w:val="ListLabel 57"/>
    <w:qFormat/>
    <w:rsid w:val="00ce3333"/>
    <w:rPr>
      <w:rFonts w:cs="Wingdings"/>
    </w:rPr>
  </w:style>
  <w:style w:type="character" w:styleId="ListLabel58" w:customStyle="1">
    <w:name w:val="ListLabel 58"/>
    <w:qFormat/>
    <w:rsid w:val="00ce3333"/>
    <w:rPr>
      <w:rFonts w:cs="Symbol"/>
    </w:rPr>
  </w:style>
  <w:style w:type="character" w:styleId="ListLabel59" w:customStyle="1">
    <w:name w:val="ListLabel 59"/>
    <w:qFormat/>
    <w:rsid w:val="00ce3333"/>
    <w:rPr>
      <w:rFonts w:cs="Courier New"/>
    </w:rPr>
  </w:style>
  <w:style w:type="character" w:styleId="ListLabel60" w:customStyle="1">
    <w:name w:val="ListLabel 60"/>
    <w:qFormat/>
    <w:rsid w:val="00ce3333"/>
    <w:rPr>
      <w:rFonts w:cs="Wingdings"/>
    </w:rPr>
  </w:style>
  <w:style w:type="character" w:styleId="ListLabel61" w:customStyle="1">
    <w:name w:val="ListLabel 61"/>
    <w:qFormat/>
    <w:rsid w:val="00ce3333"/>
    <w:rPr>
      <w:rFonts w:cs="Symbol"/>
      <w:sz w:val="16"/>
    </w:rPr>
  </w:style>
  <w:style w:type="character" w:styleId="ListLabel62" w:customStyle="1">
    <w:name w:val="ListLabel 62"/>
    <w:qFormat/>
    <w:rsid w:val="00ce3333"/>
    <w:rPr>
      <w:rFonts w:cs="Courier New"/>
    </w:rPr>
  </w:style>
  <w:style w:type="character" w:styleId="ListLabel63" w:customStyle="1">
    <w:name w:val="ListLabel 63"/>
    <w:qFormat/>
    <w:rsid w:val="00ce3333"/>
    <w:rPr>
      <w:rFonts w:cs="Wingdings"/>
    </w:rPr>
  </w:style>
  <w:style w:type="character" w:styleId="ListLabel64" w:customStyle="1">
    <w:name w:val="ListLabel 64"/>
    <w:qFormat/>
    <w:rsid w:val="00ce3333"/>
    <w:rPr>
      <w:rFonts w:cs="Symbol"/>
    </w:rPr>
  </w:style>
  <w:style w:type="character" w:styleId="ListLabel65" w:customStyle="1">
    <w:name w:val="ListLabel 65"/>
    <w:qFormat/>
    <w:rsid w:val="00ce3333"/>
    <w:rPr>
      <w:rFonts w:cs="Courier New"/>
    </w:rPr>
  </w:style>
  <w:style w:type="character" w:styleId="ListLabel66" w:customStyle="1">
    <w:name w:val="ListLabel 66"/>
    <w:qFormat/>
    <w:rsid w:val="00ce3333"/>
    <w:rPr>
      <w:rFonts w:cs="Wingdings"/>
    </w:rPr>
  </w:style>
  <w:style w:type="character" w:styleId="ListLabel67" w:customStyle="1">
    <w:name w:val="ListLabel 67"/>
    <w:qFormat/>
    <w:rsid w:val="00ce3333"/>
    <w:rPr>
      <w:rFonts w:cs="Symbol"/>
    </w:rPr>
  </w:style>
  <w:style w:type="character" w:styleId="ListLabel68" w:customStyle="1">
    <w:name w:val="ListLabel 68"/>
    <w:qFormat/>
    <w:rsid w:val="00ce3333"/>
    <w:rPr>
      <w:rFonts w:cs="Courier New"/>
    </w:rPr>
  </w:style>
  <w:style w:type="character" w:styleId="ListLabel69" w:customStyle="1">
    <w:name w:val="ListLabel 69"/>
    <w:qFormat/>
    <w:rsid w:val="00ce3333"/>
    <w:rPr>
      <w:rFonts w:cs="Wingdings"/>
    </w:rPr>
  </w:style>
  <w:style w:type="character" w:styleId="ListLabel70" w:customStyle="1">
    <w:name w:val="ListLabel 70"/>
    <w:qFormat/>
    <w:rsid w:val="00ce3333"/>
    <w:rPr>
      <w:rFonts w:cs="Arial"/>
      <w:b/>
      <w:bCs/>
      <w:i w:val="false"/>
      <w:iCs w:val="false"/>
      <w:sz w:val="24"/>
      <w:szCs w:val="24"/>
    </w:rPr>
  </w:style>
  <w:style w:type="character" w:styleId="ListLabel71" w:customStyle="1">
    <w:name w:val="ListLabel 71"/>
    <w:qFormat/>
    <w:rsid w:val="00ce3333"/>
    <w:rPr>
      <w:b/>
      <w:bCs/>
      <w:i w:val="false"/>
      <w:iCs w:val="false"/>
    </w:rPr>
  </w:style>
  <w:style w:type="character" w:styleId="ListLabel72" w:customStyle="1">
    <w:name w:val="ListLabel 72"/>
    <w:qFormat/>
    <w:rsid w:val="00ce3333"/>
    <w:rPr>
      <w:b w:val="false"/>
      <w:bCs w:val="false"/>
      <w:i w:val="false"/>
      <w:iCs w:val="false"/>
      <w:sz w:val="16"/>
    </w:rPr>
  </w:style>
  <w:style w:type="character" w:styleId="ListLabel73" w:customStyle="1">
    <w:name w:val="ListLabel 73"/>
    <w:qFormat/>
    <w:rsid w:val="00ce3333"/>
    <w:rPr>
      <w:b w:val="false"/>
      <w:bCs w:val="false"/>
      <w:i w:val="false"/>
      <w:iCs w:val="false"/>
      <w:sz w:val="18"/>
    </w:rPr>
  </w:style>
  <w:style w:type="character" w:styleId="ListLabel74" w:customStyle="1">
    <w:name w:val="ListLabel 74"/>
    <w:qFormat/>
    <w:rsid w:val="00ce3333"/>
    <w:rPr>
      <w:rFonts w:cs="Symbol"/>
      <w:b/>
      <w:sz w:val="16"/>
    </w:rPr>
  </w:style>
  <w:style w:type="character" w:styleId="ListLabel75" w:customStyle="1">
    <w:name w:val="ListLabel 75"/>
    <w:qFormat/>
    <w:rsid w:val="00ce3333"/>
    <w:rPr>
      <w:rFonts w:cs="Courier New"/>
    </w:rPr>
  </w:style>
  <w:style w:type="character" w:styleId="ListLabel76" w:customStyle="1">
    <w:name w:val="ListLabel 76"/>
    <w:qFormat/>
    <w:rsid w:val="00ce3333"/>
    <w:rPr>
      <w:rFonts w:cs="Wingdings"/>
    </w:rPr>
  </w:style>
  <w:style w:type="character" w:styleId="ListLabel77" w:customStyle="1">
    <w:name w:val="ListLabel 77"/>
    <w:qFormat/>
    <w:rsid w:val="00ce3333"/>
    <w:rPr>
      <w:rFonts w:cs="Symbol"/>
    </w:rPr>
  </w:style>
  <w:style w:type="character" w:styleId="ListLabel78" w:customStyle="1">
    <w:name w:val="ListLabel 78"/>
    <w:qFormat/>
    <w:rsid w:val="00ce3333"/>
    <w:rPr>
      <w:rFonts w:cs="Courier New"/>
    </w:rPr>
  </w:style>
  <w:style w:type="character" w:styleId="ListLabel79" w:customStyle="1">
    <w:name w:val="ListLabel 79"/>
    <w:qFormat/>
    <w:rsid w:val="00ce3333"/>
    <w:rPr>
      <w:rFonts w:cs="Wingdings"/>
    </w:rPr>
  </w:style>
  <w:style w:type="character" w:styleId="ListLabel80" w:customStyle="1">
    <w:name w:val="ListLabel 80"/>
    <w:qFormat/>
    <w:rsid w:val="00ce3333"/>
    <w:rPr>
      <w:rFonts w:cs="Symbol"/>
    </w:rPr>
  </w:style>
  <w:style w:type="character" w:styleId="ListLabel81" w:customStyle="1">
    <w:name w:val="ListLabel 81"/>
    <w:qFormat/>
    <w:rsid w:val="00ce3333"/>
    <w:rPr>
      <w:rFonts w:cs="Courier New"/>
    </w:rPr>
  </w:style>
  <w:style w:type="character" w:styleId="ListLabel82" w:customStyle="1">
    <w:name w:val="ListLabel 82"/>
    <w:qFormat/>
    <w:rsid w:val="00ce3333"/>
    <w:rPr>
      <w:rFonts w:cs="Wingdings"/>
    </w:rPr>
  </w:style>
  <w:style w:type="character" w:styleId="ListLabel83" w:customStyle="1">
    <w:name w:val="ListLabel 83"/>
    <w:qFormat/>
    <w:rsid w:val="00ce3333"/>
    <w:rPr>
      <w:rFonts w:cs="Symbol"/>
      <w:sz w:val="16"/>
    </w:rPr>
  </w:style>
  <w:style w:type="character" w:styleId="ListLabel84" w:customStyle="1">
    <w:name w:val="ListLabel 84"/>
    <w:qFormat/>
    <w:rsid w:val="00ce3333"/>
    <w:rPr>
      <w:rFonts w:cs="Courier New"/>
    </w:rPr>
  </w:style>
  <w:style w:type="character" w:styleId="ListLabel85" w:customStyle="1">
    <w:name w:val="ListLabel 85"/>
    <w:qFormat/>
    <w:rsid w:val="00ce3333"/>
    <w:rPr>
      <w:rFonts w:cs="Wingdings"/>
    </w:rPr>
  </w:style>
  <w:style w:type="character" w:styleId="ListLabel86" w:customStyle="1">
    <w:name w:val="ListLabel 86"/>
    <w:qFormat/>
    <w:rsid w:val="00ce3333"/>
    <w:rPr>
      <w:rFonts w:cs="Symbol"/>
    </w:rPr>
  </w:style>
  <w:style w:type="character" w:styleId="ListLabel87" w:customStyle="1">
    <w:name w:val="ListLabel 87"/>
    <w:qFormat/>
    <w:rsid w:val="00ce3333"/>
    <w:rPr>
      <w:rFonts w:cs="Courier New"/>
    </w:rPr>
  </w:style>
  <w:style w:type="character" w:styleId="ListLabel88" w:customStyle="1">
    <w:name w:val="ListLabel 88"/>
    <w:qFormat/>
    <w:rsid w:val="00ce3333"/>
    <w:rPr>
      <w:rFonts w:cs="Wingdings"/>
    </w:rPr>
  </w:style>
  <w:style w:type="character" w:styleId="ListLabel89" w:customStyle="1">
    <w:name w:val="ListLabel 89"/>
    <w:qFormat/>
    <w:rsid w:val="00ce3333"/>
    <w:rPr>
      <w:rFonts w:cs="Symbol"/>
    </w:rPr>
  </w:style>
  <w:style w:type="character" w:styleId="ListLabel90" w:customStyle="1">
    <w:name w:val="ListLabel 90"/>
    <w:qFormat/>
    <w:rsid w:val="00ce3333"/>
    <w:rPr>
      <w:rFonts w:cs="Courier New"/>
    </w:rPr>
  </w:style>
  <w:style w:type="character" w:styleId="ListLabel91" w:customStyle="1">
    <w:name w:val="ListLabel 91"/>
    <w:qFormat/>
    <w:rsid w:val="00ce3333"/>
    <w:rPr>
      <w:rFonts w:cs="Wingdings"/>
    </w:rPr>
  </w:style>
  <w:style w:type="character" w:styleId="ListLabel92" w:customStyle="1">
    <w:name w:val="ListLabel 92"/>
    <w:qFormat/>
    <w:rsid w:val="00ce3333"/>
    <w:rPr>
      <w:rFonts w:cs="Symbol"/>
      <w:sz w:val="16"/>
    </w:rPr>
  </w:style>
  <w:style w:type="character" w:styleId="ListLabel93" w:customStyle="1">
    <w:name w:val="ListLabel 93"/>
    <w:qFormat/>
    <w:rsid w:val="00ce3333"/>
    <w:rPr>
      <w:rFonts w:cs="Courier New"/>
    </w:rPr>
  </w:style>
  <w:style w:type="character" w:styleId="ListLabel94" w:customStyle="1">
    <w:name w:val="ListLabel 94"/>
    <w:qFormat/>
    <w:rsid w:val="00ce3333"/>
    <w:rPr>
      <w:rFonts w:cs="Wingdings"/>
    </w:rPr>
  </w:style>
  <w:style w:type="character" w:styleId="ListLabel95" w:customStyle="1">
    <w:name w:val="ListLabel 95"/>
    <w:qFormat/>
    <w:rsid w:val="00ce3333"/>
    <w:rPr>
      <w:rFonts w:cs="Symbol"/>
    </w:rPr>
  </w:style>
  <w:style w:type="character" w:styleId="ListLabel96" w:customStyle="1">
    <w:name w:val="ListLabel 96"/>
    <w:qFormat/>
    <w:rsid w:val="00ce3333"/>
    <w:rPr>
      <w:rFonts w:cs="Courier New"/>
    </w:rPr>
  </w:style>
  <w:style w:type="character" w:styleId="ListLabel97" w:customStyle="1">
    <w:name w:val="ListLabel 97"/>
    <w:qFormat/>
    <w:rsid w:val="00ce3333"/>
    <w:rPr>
      <w:rFonts w:cs="Wingdings"/>
    </w:rPr>
  </w:style>
  <w:style w:type="character" w:styleId="ListLabel98" w:customStyle="1">
    <w:name w:val="ListLabel 98"/>
    <w:qFormat/>
    <w:rsid w:val="00ce3333"/>
    <w:rPr>
      <w:rFonts w:cs="Symbol"/>
    </w:rPr>
  </w:style>
  <w:style w:type="character" w:styleId="ListLabel99" w:customStyle="1">
    <w:name w:val="ListLabel 99"/>
    <w:qFormat/>
    <w:rsid w:val="00ce3333"/>
    <w:rPr>
      <w:rFonts w:cs="Courier New"/>
    </w:rPr>
  </w:style>
  <w:style w:type="character" w:styleId="ListLabel100" w:customStyle="1">
    <w:name w:val="ListLabel 100"/>
    <w:qFormat/>
    <w:rsid w:val="00ce3333"/>
    <w:rPr>
      <w:rFonts w:cs="Wingdings"/>
    </w:rPr>
  </w:style>
  <w:style w:type="character" w:styleId="ListLabel101" w:customStyle="1">
    <w:name w:val="ListLabel 101"/>
    <w:qFormat/>
    <w:rsid w:val="00ce3333"/>
    <w:rPr>
      <w:rFonts w:cs="Arial"/>
      <w:b/>
      <w:bCs/>
      <w:i w:val="false"/>
      <w:iCs w:val="false"/>
      <w:sz w:val="24"/>
      <w:szCs w:val="24"/>
    </w:rPr>
  </w:style>
  <w:style w:type="character" w:styleId="ListLabel102" w:customStyle="1">
    <w:name w:val="ListLabel 102"/>
    <w:qFormat/>
    <w:rsid w:val="00ce3333"/>
    <w:rPr>
      <w:b/>
      <w:bCs/>
      <w:i w:val="false"/>
      <w:iCs w:val="false"/>
    </w:rPr>
  </w:style>
  <w:style w:type="character" w:styleId="ListLabel103" w:customStyle="1">
    <w:name w:val="ListLabel 103"/>
    <w:qFormat/>
    <w:rsid w:val="00ce3333"/>
    <w:rPr>
      <w:b w:val="false"/>
      <w:bCs w:val="false"/>
      <w:i w:val="false"/>
      <w:iCs w:val="false"/>
      <w:sz w:val="16"/>
    </w:rPr>
  </w:style>
  <w:style w:type="character" w:styleId="ListLabel104" w:customStyle="1">
    <w:name w:val="ListLabel 104"/>
    <w:qFormat/>
    <w:rsid w:val="00ce3333"/>
    <w:rPr>
      <w:b w:val="false"/>
      <w:bCs w:val="false"/>
      <w:i w:val="false"/>
      <w:iCs w:val="false"/>
      <w:sz w:val="18"/>
    </w:rPr>
  </w:style>
  <w:style w:type="character" w:styleId="ListLabel105" w:customStyle="1">
    <w:name w:val="ListLabel 105"/>
    <w:qFormat/>
    <w:rsid w:val="00ce3333"/>
    <w:rPr>
      <w:rFonts w:cs="Symbol"/>
      <w:b/>
      <w:sz w:val="16"/>
    </w:rPr>
  </w:style>
  <w:style w:type="character" w:styleId="ListLabel106" w:customStyle="1">
    <w:name w:val="ListLabel 106"/>
    <w:qFormat/>
    <w:rsid w:val="00ce3333"/>
    <w:rPr>
      <w:rFonts w:cs="Courier New"/>
    </w:rPr>
  </w:style>
  <w:style w:type="character" w:styleId="ListLabel107" w:customStyle="1">
    <w:name w:val="ListLabel 107"/>
    <w:qFormat/>
    <w:rsid w:val="00ce3333"/>
    <w:rPr>
      <w:rFonts w:cs="Wingdings"/>
    </w:rPr>
  </w:style>
  <w:style w:type="character" w:styleId="ListLabel108" w:customStyle="1">
    <w:name w:val="ListLabel 108"/>
    <w:qFormat/>
    <w:rsid w:val="00ce3333"/>
    <w:rPr>
      <w:rFonts w:cs="Symbol"/>
    </w:rPr>
  </w:style>
  <w:style w:type="character" w:styleId="ListLabel109" w:customStyle="1">
    <w:name w:val="ListLabel 109"/>
    <w:qFormat/>
    <w:rsid w:val="00ce3333"/>
    <w:rPr>
      <w:rFonts w:cs="Courier New"/>
    </w:rPr>
  </w:style>
  <w:style w:type="character" w:styleId="ListLabel110" w:customStyle="1">
    <w:name w:val="ListLabel 110"/>
    <w:qFormat/>
    <w:rsid w:val="00ce3333"/>
    <w:rPr>
      <w:rFonts w:cs="Wingdings"/>
    </w:rPr>
  </w:style>
  <w:style w:type="character" w:styleId="ListLabel111" w:customStyle="1">
    <w:name w:val="ListLabel 111"/>
    <w:qFormat/>
    <w:rsid w:val="00ce3333"/>
    <w:rPr>
      <w:rFonts w:cs="Symbol"/>
    </w:rPr>
  </w:style>
  <w:style w:type="character" w:styleId="ListLabel112" w:customStyle="1">
    <w:name w:val="ListLabel 112"/>
    <w:qFormat/>
    <w:rsid w:val="00ce3333"/>
    <w:rPr>
      <w:rFonts w:cs="Courier New"/>
    </w:rPr>
  </w:style>
  <w:style w:type="character" w:styleId="ListLabel113" w:customStyle="1">
    <w:name w:val="ListLabel 113"/>
    <w:qFormat/>
    <w:rsid w:val="00ce3333"/>
    <w:rPr>
      <w:rFonts w:cs="Wingdings"/>
    </w:rPr>
  </w:style>
  <w:style w:type="character" w:styleId="ListLabel114" w:customStyle="1">
    <w:name w:val="ListLabel 114"/>
    <w:qFormat/>
    <w:rsid w:val="00ce3333"/>
    <w:rPr>
      <w:rFonts w:cs="Symbol"/>
      <w:sz w:val="16"/>
    </w:rPr>
  </w:style>
  <w:style w:type="character" w:styleId="ListLabel115" w:customStyle="1">
    <w:name w:val="ListLabel 115"/>
    <w:qFormat/>
    <w:rsid w:val="00ce3333"/>
    <w:rPr>
      <w:rFonts w:cs="Courier New"/>
    </w:rPr>
  </w:style>
  <w:style w:type="character" w:styleId="ListLabel116" w:customStyle="1">
    <w:name w:val="ListLabel 116"/>
    <w:qFormat/>
    <w:rsid w:val="00ce3333"/>
    <w:rPr>
      <w:rFonts w:cs="Wingdings"/>
    </w:rPr>
  </w:style>
  <w:style w:type="character" w:styleId="ListLabel117" w:customStyle="1">
    <w:name w:val="ListLabel 117"/>
    <w:qFormat/>
    <w:rsid w:val="00ce3333"/>
    <w:rPr>
      <w:rFonts w:cs="Symbol"/>
    </w:rPr>
  </w:style>
  <w:style w:type="character" w:styleId="ListLabel118" w:customStyle="1">
    <w:name w:val="ListLabel 118"/>
    <w:qFormat/>
    <w:rsid w:val="00ce3333"/>
    <w:rPr>
      <w:rFonts w:cs="Courier New"/>
    </w:rPr>
  </w:style>
  <w:style w:type="character" w:styleId="ListLabel119" w:customStyle="1">
    <w:name w:val="ListLabel 119"/>
    <w:qFormat/>
    <w:rsid w:val="00ce3333"/>
    <w:rPr>
      <w:rFonts w:cs="Wingdings"/>
    </w:rPr>
  </w:style>
  <w:style w:type="character" w:styleId="ListLabel120" w:customStyle="1">
    <w:name w:val="ListLabel 120"/>
    <w:qFormat/>
    <w:rsid w:val="00ce3333"/>
    <w:rPr>
      <w:rFonts w:cs="Symbol"/>
    </w:rPr>
  </w:style>
  <w:style w:type="character" w:styleId="ListLabel121" w:customStyle="1">
    <w:name w:val="ListLabel 121"/>
    <w:qFormat/>
    <w:rsid w:val="00ce3333"/>
    <w:rPr>
      <w:rFonts w:cs="Courier New"/>
    </w:rPr>
  </w:style>
  <w:style w:type="character" w:styleId="ListLabel122" w:customStyle="1">
    <w:name w:val="ListLabel 122"/>
    <w:qFormat/>
    <w:rsid w:val="00ce3333"/>
    <w:rPr>
      <w:rFonts w:cs="Wingdings"/>
    </w:rPr>
  </w:style>
  <w:style w:type="character" w:styleId="ListLabel123" w:customStyle="1">
    <w:name w:val="ListLabel 123"/>
    <w:qFormat/>
    <w:rsid w:val="00ce3333"/>
    <w:rPr>
      <w:rFonts w:cs="Symbol"/>
      <w:sz w:val="16"/>
    </w:rPr>
  </w:style>
  <w:style w:type="character" w:styleId="ListLabel124" w:customStyle="1">
    <w:name w:val="ListLabel 124"/>
    <w:qFormat/>
    <w:rsid w:val="00ce3333"/>
    <w:rPr>
      <w:rFonts w:cs="Courier New"/>
    </w:rPr>
  </w:style>
  <w:style w:type="character" w:styleId="ListLabel125" w:customStyle="1">
    <w:name w:val="ListLabel 125"/>
    <w:qFormat/>
    <w:rsid w:val="00ce3333"/>
    <w:rPr>
      <w:rFonts w:cs="Wingdings"/>
    </w:rPr>
  </w:style>
  <w:style w:type="character" w:styleId="ListLabel126" w:customStyle="1">
    <w:name w:val="ListLabel 126"/>
    <w:qFormat/>
    <w:rsid w:val="00ce3333"/>
    <w:rPr>
      <w:rFonts w:cs="Symbol"/>
    </w:rPr>
  </w:style>
  <w:style w:type="character" w:styleId="ListLabel127" w:customStyle="1">
    <w:name w:val="ListLabel 127"/>
    <w:qFormat/>
    <w:rsid w:val="00ce3333"/>
    <w:rPr>
      <w:rFonts w:cs="Courier New"/>
    </w:rPr>
  </w:style>
  <w:style w:type="character" w:styleId="ListLabel128" w:customStyle="1">
    <w:name w:val="ListLabel 128"/>
    <w:qFormat/>
    <w:rsid w:val="00ce3333"/>
    <w:rPr>
      <w:rFonts w:cs="Wingdings"/>
    </w:rPr>
  </w:style>
  <w:style w:type="character" w:styleId="ListLabel129" w:customStyle="1">
    <w:name w:val="ListLabel 129"/>
    <w:qFormat/>
    <w:rsid w:val="00ce3333"/>
    <w:rPr>
      <w:rFonts w:cs="Symbol"/>
    </w:rPr>
  </w:style>
  <w:style w:type="character" w:styleId="ListLabel130" w:customStyle="1">
    <w:name w:val="ListLabel 130"/>
    <w:qFormat/>
    <w:rsid w:val="00ce3333"/>
    <w:rPr>
      <w:rFonts w:cs="Courier New"/>
    </w:rPr>
  </w:style>
  <w:style w:type="character" w:styleId="ListLabel131" w:customStyle="1">
    <w:name w:val="ListLabel 131"/>
    <w:qFormat/>
    <w:rsid w:val="00ce3333"/>
    <w:rPr>
      <w:rFonts w:cs="Wingdings"/>
    </w:rPr>
  </w:style>
  <w:style w:type="character" w:styleId="ListLabel132" w:customStyle="1">
    <w:name w:val="ListLabel 132"/>
    <w:qFormat/>
    <w:rsid w:val="00ce3333"/>
    <w:rPr>
      <w:rFonts w:cs="Arial"/>
      <w:b/>
      <w:bCs/>
      <w:i w:val="false"/>
      <w:iCs w:val="false"/>
      <w:sz w:val="24"/>
      <w:szCs w:val="24"/>
    </w:rPr>
  </w:style>
  <w:style w:type="character" w:styleId="ListLabel133" w:customStyle="1">
    <w:name w:val="ListLabel 133"/>
    <w:qFormat/>
    <w:rsid w:val="00ce3333"/>
    <w:rPr>
      <w:b/>
      <w:bCs/>
      <w:i w:val="false"/>
      <w:iCs w:val="false"/>
    </w:rPr>
  </w:style>
  <w:style w:type="character" w:styleId="ListLabel134" w:customStyle="1">
    <w:name w:val="ListLabel 134"/>
    <w:qFormat/>
    <w:rsid w:val="00ce3333"/>
    <w:rPr>
      <w:b w:val="false"/>
      <w:bCs w:val="false"/>
      <w:i w:val="false"/>
      <w:iCs w:val="false"/>
      <w:sz w:val="16"/>
    </w:rPr>
  </w:style>
  <w:style w:type="character" w:styleId="ListLabel135" w:customStyle="1">
    <w:name w:val="ListLabel 135"/>
    <w:qFormat/>
    <w:rsid w:val="00ce3333"/>
    <w:rPr>
      <w:b w:val="false"/>
      <w:bCs w:val="false"/>
      <w:i w:val="false"/>
      <w:iCs w:val="false"/>
      <w:sz w:val="18"/>
    </w:rPr>
  </w:style>
  <w:style w:type="character" w:styleId="ListLabel136" w:customStyle="1">
    <w:name w:val="ListLabel 136"/>
    <w:qFormat/>
    <w:rsid w:val="00ce3333"/>
    <w:rPr>
      <w:rFonts w:cs="Symbol"/>
      <w:b/>
      <w:sz w:val="16"/>
    </w:rPr>
  </w:style>
  <w:style w:type="character" w:styleId="ListLabel137" w:customStyle="1">
    <w:name w:val="ListLabel 137"/>
    <w:qFormat/>
    <w:rsid w:val="00ce3333"/>
    <w:rPr>
      <w:rFonts w:cs="Courier New"/>
    </w:rPr>
  </w:style>
  <w:style w:type="character" w:styleId="ListLabel138" w:customStyle="1">
    <w:name w:val="ListLabel 138"/>
    <w:qFormat/>
    <w:rsid w:val="00ce3333"/>
    <w:rPr>
      <w:rFonts w:cs="Wingdings"/>
    </w:rPr>
  </w:style>
  <w:style w:type="character" w:styleId="ListLabel139" w:customStyle="1">
    <w:name w:val="ListLabel 139"/>
    <w:qFormat/>
    <w:rsid w:val="00ce3333"/>
    <w:rPr>
      <w:rFonts w:cs="Symbol"/>
    </w:rPr>
  </w:style>
  <w:style w:type="character" w:styleId="ListLabel140" w:customStyle="1">
    <w:name w:val="ListLabel 140"/>
    <w:qFormat/>
    <w:rsid w:val="00ce3333"/>
    <w:rPr>
      <w:rFonts w:cs="Courier New"/>
    </w:rPr>
  </w:style>
  <w:style w:type="character" w:styleId="ListLabel141" w:customStyle="1">
    <w:name w:val="ListLabel 141"/>
    <w:qFormat/>
    <w:rsid w:val="00ce3333"/>
    <w:rPr>
      <w:rFonts w:cs="Wingdings"/>
    </w:rPr>
  </w:style>
  <w:style w:type="character" w:styleId="ListLabel142" w:customStyle="1">
    <w:name w:val="ListLabel 142"/>
    <w:qFormat/>
    <w:rsid w:val="00ce3333"/>
    <w:rPr>
      <w:rFonts w:cs="Symbol"/>
    </w:rPr>
  </w:style>
  <w:style w:type="character" w:styleId="ListLabel143" w:customStyle="1">
    <w:name w:val="ListLabel 143"/>
    <w:qFormat/>
    <w:rsid w:val="00ce3333"/>
    <w:rPr>
      <w:rFonts w:cs="Courier New"/>
    </w:rPr>
  </w:style>
  <w:style w:type="character" w:styleId="ListLabel144" w:customStyle="1">
    <w:name w:val="ListLabel 144"/>
    <w:qFormat/>
    <w:rsid w:val="00ce3333"/>
    <w:rPr>
      <w:rFonts w:cs="Wingdings"/>
    </w:rPr>
  </w:style>
  <w:style w:type="character" w:styleId="ListLabel145" w:customStyle="1">
    <w:name w:val="ListLabel 145"/>
    <w:qFormat/>
    <w:rsid w:val="00ce3333"/>
    <w:rPr>
      <w:rFonts w:cs="Symbol"/>
      <w:sz w:val="16"/>
    </w:rPr>
  </w:style>
  <w:style w:type="character" w:styleId="ListLabel146" w:customStyle="1">
    <w:name w:val="ListLabel 146"/>
    <w:qFormat/>
    <w:rsid w:val="00ce3333"/>
    <w:rPr>
      <w:rFonts w:cs="Courier New"/>
    </w:rPr>
  </w:style>
  <w:style w:type="character" w:styleId="ListLabel147" w:customStyle="1">
    <w:name w:val="ListLabel 147"/>
    <w:qFormat/>
    <w:rsid w:val="00ce3333"/>
    <w:rPr>
      <w:rFonts w:cs="Wingdings"/>
    </w:rPr>
  </w:style>
  <w:style w:type="character" w:styleId="ListLabel148" w:customStyle="1">
    <w:name w:val="ListLabel 148"/>
    <w:qFormat/>
    <w:rsid w:val="00ce3333"/>
    <w:rPr>
      <w:rFonts w:cs="Symbol"/>
    </w:rPr>
  </w:style>
  <w:style w:type="character" w:styleId="ListLabel149" w:customStyle="1">
    <w:name w:val="ListLabel 149"/>
    <w:qFormat/>
    <w:rsid w:val="00ce3333"/>
    <w:rPr>
      <w:rFonts w:cs="Courier New"/>
    </w:rPr>
  </w:style>
  <w:style w:type="character" w:styleId="ListLabel150" w:customStyle="1">
    <w:name w:val="ListLabel 150"/>
    <w:qFormat/>
    <w:rsid w:val="00ce3333"/>
    <w:rPr>
      <w:rFonts w:cs="Wingdings"/>
    </w:rPr>
  </w:style>
  <w:style w:type="character" w:styleId="ListLabel151" w:customStyle="1">
    <w:name w:val="ListLabel 151"/>
    <w:qFormat/>
    <w:rsid w:val="00ce3333"/>
    <w:rPr>
      <w:rFonts w:cs="Symbol"/>
    </w:rPr>
  </w:style>
  <w:style w:type="character" w:styleId="ListLabel152" w:customStyle="1">
    <w:name w:val="ListLabel 152"/>
    <w:qFormat/>
    <w:rsid w:val="00ce3333"/>
    <w:rPr>
      <w:rFonts w:cs="Courier New"/>
    </w:rPr>
  </w:style>
  <w:style w:type="character" w:styleId="ListLabel153" w:customStyle="1">
    <w:name w:val="ListLabel 153"/>
    <w:qFormat/>
    <w:rsid w:val="00ce3333"/>
    <w:rPr>
      <w:rFonts w:cs="Wingdings"/>
    </w:rPr>
  </w:style>
  <w:style w:type="character" w:styleId="ListLabel154" w:customStyle="1">
    <w:name w:val="ListLabel 154"/>
    <w:qFormat/>
    <w:rsid w:val="00ce3333"/>
    <w:rPr>
      <w:rFonts w:cs="Symbol"/>
      <w:sz w:val="16"/>
    </w:rPr>
  </w:style>
  <w:style w:type="character" w:styleId="ListLabel155" w:customStyle="1">
    <w:name w:val="ListLabel 155"/>
    <w:qFormat/>
    <w:rsid w:val="00ce3333"/>
    <w:rPr>
      <w:rFonts w:cs="Courier New"/>
    </w:rPr>
  </w:style>
  <w:style w:type="character" w:styleId="ListLabel156" w:customStyle="1">
    <w:name w:val="ListLabel 156"/>
    <w:qFormat/>
    <w:rsid w:val="00ce3333"/>
    <w:rPr>
      <w:rFonts w:cs="Wingdings"/>
    </w:rPr>
  </w:style>
  <w:style w:type="character" w:styleId="ListLabel157" w:customStyle="1">
    <w:name w:val="ListLabel 157"/>
    <w:qFormat/>
    <w:rsid w:val="00ce3333"/>
    <w:rPr>
      <w:rFonts w:cs="Symbol"/>
    </w:rPr>
  </w:style>
  <w:style w:type="character" w:styleId="ListLabel158" w:customStyle="1">
    <w:name w:val="ListLabel 158"/>
    <w:qFormat/>
    <w:rsid w:val="00ce3333"/>
    <w:rPr>
      <w:rFonts w:cs="Courier New"/>
    </w:rPr>
  </w:style>
  <w:style w:type="character" w:styleId="ListLabel159" w:customStyle="1">
    <w:name w:val="ListLabel 159"/>
    <w:qFormat/>
    <w:rsid w:val="00ce3333"/>
    <w:rPr>
      <w:rFonts w:cs="Wingdings"/>
    </w:rPr>
  </w:style>
  <w:style w:type="character" w:styleId="ListLabel160" w:customStyle="1">
    <w:name w:val="ListLabel 160"/>
    <w:qFormat/>
    <w:rsid w:val="00ce3333"/>
    <w:rPr>
      <w:rFonts w:cs="Symbol"/>
    </w:rPr>
  </w:style>
  <w:style w:type="character" w:styleId="ListLabel161" w:customStyle="1">
    <w:name w:val="ListLabel 161"/>
    <w:qFormat/>
    <w:rsid w:val="00ce3333"/>
    <w:rPr>
      <w:rFonts w:cs="Courier New"/>
    </w:rPr>
  </w:style>
  <w:style w:type="character" w:styleId="ListLabel162" w:customStyle="1">
    <w:name w:val="ListLabel 162"/>
    <w:qFormat/>
    <w:rsid w:val="00ce3333"/>
    <w:rPr>
      <w:rFonts w:cs="Wingdings"/>
    </w:rPr>
  </w:style>
  <w:style w:type="character" w:styleId="ListLabel163" w:customStyle="1">
    <w:name w:val="ListLabel 163"/>
    <w:qFormat/>
    <w:rsid w:val="00ce3333"/>
    <w:rPr>
      <w:rFonts w:cs="Arial"/>
      <w:b/>
      <w:bCs/>
      <w:i w:val="false"/>
      <w:iCs w:val="false"/>
      <w:sz w:val="24"/>
      <w:szCs w:val="24"/>
    </w:rPr>
  </w:style>
  <w:style w:type="character" w:styleId="ListLabel164" w:customStyle="1">
    <w:name w:val="ListLabel 164"/>
    <w:qFormat/>
    <w:rsid w:val="00ce3333"/>
    <w:rPr>
      <w:b/>
      <w:bCs/>
      <w:i w:val="false"/>
      <w:iCs w:val="false"/>
    </w:rPr>
  </w:style>
  <w:style w:type="character" w:styleId="ListLabel165" w:customStyle="1">
    <w:name w:val="ListLabel 165"/>
    <w:qFormat/>
    <w:rsid w:val="00ce3333"/>
    <w:rPr>
      <w:b w:val="false"/>
      <w:bCs w:val="false"/>
      <w:i w:val="false"/>
      <w:iCs w:val="false"/>
      <w:sz w:val="16"/>
    </w:rPr>
  </w:style>
  <w:style w:type="character" w:styleId="ListLabel166" w:customStyle="1">
    <w:name w:val="ListLabel 166"/>
    <w:qFormat/>
    <w:rsid w:val="00ce3333"/>
    <w:rPr>
      <w:b w:val="false"/>
      <w:bCs w:val="false"/>
      <w:i w:val="false"/>
      <w:iCs w:val="false"/>
      <w:sz w:val="18"/>
    </w:rPr>
  </w:style>
  <w:style w:type="character" w:styleId="ListLabel167" w:customStyle="1">
    <w:name w:val="ListLabel 167"/>
    <w:qFormat/>
    <w:rsid w:val="00ce3333"/>
    <w:rPr>
      <w:rFonts w:cs="Symbol"/>
      <w:b/>
      <w:sz w:val="16"/>
    </w:rPr>
  </w:style>
  <w:style w:type="character" w:styleId="ListLabel168" w:customStyle="1">
    <w:name w:val="ListLabel 168"/>
    <w:qFormat/>
    <w:rsid w:val="00ce3333"/>
    <w:rPr>
      <w:rFonts w:cs="Courier New"/>
    </w:rPr>
  </w:style>
  <w:style w:type="character" w:styleId="ListLabel169" w:customStyle="1">
    <w:name w:val="ListLabel 169"/>
    <w:qFormat/>
    <w:rsid w:val="00ce3333"/>
    <w:rPr>
      <w:rFonts w:cs="Wingdings"/>
    </w:rPr>
  </w:style>
  <w:style w:type="character" w:styleId="ListLabel170" w:customStyle="1">
    <w:name w:val="ListLabel 170"/>
    <w:qFormat/>
    <w:rsid w:val="00ce3333"/>
    <w:rPr>
      <w:rFonts w:cs="Symbol"/>
    </w:rPr>
  </w:style>
  <w:style w:type="character" w:styleId="ListLabel171" w:customStyle="1">
    <w:name w:val="ListLabel 171"/>
    <w:qFormat/>
    <w:rsid w:val="00ce3333"/>
    <w:rPr>
      <w:rFonts w:cs="Courier New"/>
    </w:rPr>
  </w:style>
  <w:style w:type="character" w:styleId="ListLabel172" w:customStyle="1">
    <w:name w:val="ListLabel 172"/>
    <w:qFormat/>
    <w:rsid w:val="00ce3333"/>
    <w:rPr>
      <w:rFonts w:cs="Wingdings"/>
    </w:rPr>
  </w:style>
  <w:style w:type="character" w:styleId="ListLabel173" w:customStyle="1">
    <w:name w:val="ListLabel 173"/>
    <w:qFormat/>
    <w:rsid w:val="00ce3333"/>
    <w:rPr>
      <w:rFonts w:cs="Symbol"/>
    </w:rPr>
  </w:style>
  <w:style w:type="character" w:styleId="ListLabel174" w:customStyle="1">
    <w:name w:val="ListLabel 174"/>
    <w:qFormat/>
    <w:rsid w:val="00ce3333"/>
    <w:rPr>
      <w:rFonts w:cs="Courier New"/>
    </w:rPr>
  </w:style>
  <w:style w:type="character" w:styleId="ListLabel175" w:customStyle="1">
    <w:name w:val="ListLabel 175"/>
    <w:qFormat/>
    <w:rsid w:val="00ce3333"/>
    <w:rPr>
      <w:rFonts w:cs="Wingdings"/>
    </w:rPr>
  </w:style>
  <w:style w:type="character" w:styleId="ListLabel176" w:customStyle="1">
    <w:name w:val="ListLabel 176"/>
    <w:qFormat/>
    <w:rsid w:val="00ce3333"/>
    <w:rPr>
      <w:rFonts w:cs="Symbol"/>
      <w:sz w:val="16"/>
    </w:rPr>
  </w:style>
  <w:style w:type="character" w:styleId="ListLabel177" w:customStyle="1">
    <w:name w:val="ListLabel 177"/>
    <w:qFormat/>
    <w:rsid w:val="00ce3333"/>
    <w:rPr>
      <w:rFonts w:cs="Courier New"/>
    </w:rPr>
  </w:style>
  <w:style w:type="character" w:styleId="ListLabel178" w:customStyle="1">
    <w:name w:val="ListLabel 178"/>
    <w:qFormat/>
    <w:rsid w:val="00ce3333"/>
    <w:rPr>
      <w:rFonts w:cs="Wingdings"/>
    </w:rPr>
  </w:style>
  <w:style w:type="character" w:styleId="ListLabel179" w:customStyle="1">
    <w:name w:val="ListLabel 179"/>
    <w:qFormat/>
    <w:rsid w:val="00ce3333"/>
    <w:rPr>
      <w:rFonts w:cs="Symbol"/>
    </w:rPr>
  </w:style>
  <w:style w:type="character" w:styleId="ListLabel180" w:customStyle="1">
    <w:name w:val="ListLabel 180"/>
    <w:qFormat/>
    <w:rsid w:val="00ce3333"/>
    <w:rPr>
      <w:rFonts w:cs="Courier New"/>
    </w:rPr>
  </w:style>
  <w:style w:type="character" w:styleId="ListLabel181" w:customStyle="1">
    <w:name w:val="ListLabel 181"/>
    <w:qFormat/>
    <w:rsid w:val="00ce3333"/>
    <w:rPr>
      <w:rFonts w:cs="Wingdings"/>
    </w:rPr>
  </w:style>
  <w:style w:type="character" w:styleId="ListLabel182" w:customStyle="1">
    <w:name w:val="ListLabel 182"/>
    <w:qFormat/>
    <w:rsid w:val="00ce3333"/>
    <w:rPr>
      <w:rFonts w:cs="Symbol"/>
    </w:rPr>
  </w:style>
  <w:style w:type="character" w:styleId="ListLabel183" w:customStyle="1">
    <w:name w:val="ListLabel 183"/>
    <w:qFormat/>
    <w:rsid w:val="00ce3333"/>
    <w:rPr>
      <w:rFonts w:cs="Courier New"/>
    </w:rPr>
  </w:style>
  <w:style w:type="character" w:styleId="ListLabel184" w:customStyle="1">
    <w:name w:val="ListLabel 184"/>
    <w:qFormat/>
    <w:rsid w:val="00ce3333"/>
    <w:rPr>
      <w:rFonts w:cs="Wingdings"/>
    </w:rPr>
  </w:style>
  <w:style w:type="character" w:styleId="ListLabel185" w:customStyle="1">
    <w:name w:val="ListLabel 185"/>
    <w:qFormat/>
    <w:rsid w:val="00ce3333"/>
    <w:rPr>
      <w:rFonts w:cs="Symbol"/>
      <w:sz w:val="16"/>
    </w:rPr>
  </w:style>
  <w:style w:type="character" w:styleId="ListLabel186" w:customStyle="1">
    <w:name w:val="ListLabel 186"/>
    <w:qFormat/>
    <w:rsid w:val="00ce3333"/>
    <w:rPr>
      <w:rFonts w:cs="Courier New"/>
    </w:rPr>
  </w:style>
  <w:style w:type="character" w:styleId="ListLabel187" w:customStyle="1">
    <w:name w:val="ListLabel 187"/>
    <w:qFormat/>
    <w:rsid w:val="00ce3333"/>
    <w:rPr>
      <w:rFonts w:cs="Wingdings"/>
    </w:rPr>
  </w:style>
  <w:style w:type="character" w:styleId="ListLabel188" w:customStyle="1">
    <w:name w:val="ListLabel 188"/>
    <w:qFormat/>
    <w:rsid w:val="00ce3333"/>
    <w:rPr>
      <w:rFonts w:cs="Symbol"/>
    </w:rPr>
  </w:style>
  <w:style w:type="character" w:styleId="ListLabel189" w:customStyle="1">
    <w:name w:val="ListLabel 189"/>
    <w:qFormat/>
    <w:rsid w:val="00ce3333"/>
    <w:rPr>
      <w:rFonts w:cs="Courier New"/>
    </w:rPr>
  </w:style>
  <w:style w:type="character" w:styleId="ListLabel190" w:customStyle="1">
    <w:name w:val="ListLabel 190"/>
    <w:qFormat/>
    <w:rsid w:val="00ce3333"/>
    <w:rPr>
      <w:rFonts w:cs="Wingdings"/>
    </w:rPr>
  </w:style>
  <w:style w:type="character" w:styleId="ListLabel191" w:customStyle="1">
    <w:name w:val="ListLabel 191"/>
    <w:qFormat/>
    <w:rsid w:val="00ce3333"/>
    <w:rPr>
      <w:rFonts w:cs="Symbol"/>
    </w:rPr>
  </w:style>
  <w:style w:type="character" w:styleId="ListLabel192" w:customStyle="1">
    <w:name w:val="ListLabel 192"/>
    <w:qFormat/>
    <w:rsid w:val="00ce3333"/>
    <w:rPr>
      <w:rFonts w:cs="Courier New"/>
    </w:rPr>
  </w:style>
  <w:style w:type="character" w:styleId="ListLabel193" w:customStyle="1">
    <w:name w:val="ListLabel 193"/>
    <w:qFormat/>
    <w:rsid w:val="00ce3333"/>
    <w:rPr>
      <w:rFonts w:cs="Wingdings"/>
    </w:rPr>
  </w:style>
  <w:style w:type="character" w:styleId="ZhlavChar1" w:customStyle="1">
    <w:name w:val="Záhlaví Char1"/>
    <w:basedOn w:val="DefaultParagraphFont"/>
    <w:link w:val="Zhlav"/>
    <w:uiPriority w:val="99"/>
    <w:semiHidden/>
    <w:qFormat/>
    <w:rsid w:val="00e54519"/>
    <w:rPr>
      <w:rFonts w:ascii="Arial Narrow" w:hAnsi="Arial Narrow" w:cs="Arial Narrow"/>
      <w:color w:val="00000A"/>
      <w:szCs w:val="20"/>
      <w:lang w:eastAsia="cs-CZ"/>
    </w:rPr>
  </w:style>
  <w:style w:type="character" w:styleId="ZpatChar1" w:customStyle="1">
    <w:name w:val="Zápatí Char1"/>
    <w:basedOn w:val="DefaultParagraphFont"/>
    <w:link w:val="Zpat"/>
    <w:uiPriority w:val="99"/>
    <w:semiHidden/>
    <w:qFormat/>
    <w:rsid w:val="00e54519"/>
    <w:rPr>
      <w:rFonts w:ascii="Arial Narrow" w:hAnsi="Arial Narrow" w:cs="Arial Narrow"/>
      <w:color w:val="00000A"/>
      <w:szCs w:val="20"/>
      <w:lang w:eastAsia="cs-CZ"/>
    </w:rPr>
  </w:style>
  <w:style w:type="character" w:styleId="ListLabel194">
    <w:name w:val="ListLabel 194"/>
    <w:qFormat/>
    <w:rPr>
      <w:rFonts w:cs="Arial"/>
      <w:b/>
      <w:bCs/>
      <w:i w:val="false"/>
      <w:iCs w:val="false"/>
      <w:sz w:val="24"/>
      <w:szCs w:val="24"/>
    </w:rPr>
  </w:style>
  <w:style w:type="character" w:styleId="ListLabel195">
    <w:name w:val="ListLabel 195"/>
    <w:qFormat/>
    <w:rPr>
      <w:b/>
      <w:bCs/>
      <w:i w:val="false"/>
      <w:iCs w:val="false"/>
    </w:rPr>
  </w:style>
  <w:style w:type="character" w:styleId="ListLabel196">
    <w:name w:val="ListLabel 196"/>
    <w:qFormat/>
    <w:rPr>
      <w:b w:val="false"/>
      <w:bCs w:val="false"/>
      <w:i w:val="false"/>
      <w:iCs w:val="false"/>
      <w:sz w:val="16"/>
    </w:rPr>
  </w:style>
  <w:style w:type="character" w:styleId="ListLabel197">
    <w:name w:val="ListLabel 197"/>
    <w:qFormat/>
    <w:rPr>
      <w:b w:val="false"/>
      <w:bCs w:val="false"/>
      <w:i w:val="false"/>
      <w:iCs w:val="false"/>
      <w:sz w:val="18"/>
    </w:rPr>
  </w:style>
  <w:style w:type="character" w:styleId="ListLabel198">
    <w:name w:val="ListLabel 198"/>
    <w:qFormat/>
    <w:rPr>
      <w:rFonts w:cs="Symbol"/>
      <w:b/>
      <w:sz w:val="16"/>
    </w:rPr>
  </w:style>
  <w:style w:type="character" w:styleId="ListLabel199">
    <w:name w:val="ListLabel 199"/>
    <w:qFormat/>
    <w:rPr>
      <w:rFonts w:cs="Courier New"/>
    </w:rPr>
  </w:style>
  <w:style w:type="character" w:styleId="ListLabel200">
    <w:name w:val="ListLabel 200"/>
    <w:qFormat/>
    <w:rPr>
      <w:rFonts w:cs="Wingdings"/>
    </w:rPr>
  </w:style>
  <w:style w:type="character" w:styleId="ListLabel201">
    <w:name w:val="ListLabel 201"/>
    <w:qFormat/>
    <w:rPr>
      <w:rFonts w:cs="Symbol"/>
    </w:rPr>
  </w:style>
  <w:style w:type="character" w:styleId="ListLabel202">
    <w:name w:val="ListLabel 202"/>
    <w:qFormat/>
    <w:rPr>
      <w:rFonts w:cs="Courier New"/>
    </w:rPr>
  </w:style>
  <w:style w:type="character" w:styleId="ListLabel203">
    <w:name w:val="ListLabel 203"/>
    <w:qFormat/>
    <w:rPr>
      <w:rFonts w:cs="Wingdings"/>
    </w:rPr>
  </w:style>
  <w:style w:type="character" w:styleId="ListLabel204">
    <w:name w:val="ListLabel 204"/>
    <w:qFormat/>
    <w:rPr>
      <w:rFonts w:cs="Symbol"/>
    </w:rPr>
  </w:style>
  <w:style w:type="character" w:styleId="ListLabel205">
    <w:name w:val="ListLabel 205"/>
    <w:qFormat/>
    <w:rPr>
      <w:rFonts w:cs="Courier New"/>
    </w:rPr>
  </w:style>
  <w:style w:type="character" w:styleId="ListLabel206">
    <w:name w:val="ListLabel 206"/>
    <w:qFormat/>
    <w:rPr>
      <w:rFonts w:cs="Wingdings"/>
    </w:rPr>
  </w:style>
  <w:style w:type="character" w:styleId="ListLabel207">
    <w:name w:val="ListLabel 207"/>
    <w:qFormat/>
    <w:rPr>
      <w:rFonts w:cs="Symbol"/>
      <w:sz w:val="16"/>
    </w:rPr>
  </w:style>
  <w:style w:type="character" w:styleId="ListLabel208">
    <w:name w:val="ListLabel 208"/>
    <w:qFormat/>
    <w:rPr>
      <w:rFonts w:cs="Courier New"/>
    </w:rPr>
  </w:style>
  <w:style w:type="character" w:styleId="ListLabel209">
    <w:name w:val="ListLabel 209"/>
    <w:qFormat/>
    <w:rPr>
      <w:rFonts w:cs="Wingdings"/>
    </w:rPr>
  </w:style>
  <w:style w:type="character" w:styleId="ListLabel210">
    <w:name w:val="ListLabel 210"/>
    <w:qFormat/>
    <w:rPr>
      <w:rFonts w:cs="Symbol"/>
    </w:rPr>
  </w:style>
  <w:style w:type="character" w:styleId="ListLabel211">
    <w:name w:val="ListLabel 211"/>
    <w:qFormat/>
    <w:rPr>
      <w:rFonts w:cs="Courier New"/>
    </w:rPr>
  </w:style>
  <w:style w:type="character" w:styleId="ListLabel212">
    <w:name w:val="ListLabel 212"/>
    <w:qFormat/>
    <w:rPr>
      <w:rFonts w:cs="Wingdings"/>
    </w:rPr>
  </w:style>
  <w:style w:type="character" w:styleId="ListLabel213">
    <w:name w:val="ListLabel 213"/>
    <w:qFormat/>
    <w:rPr>
      <w:rFonts w:cs="Symbol"/>
    </w:rPr>
  </w:style>
  <w:style w:type="character" w:styleId="ListLabel214">
    <w:name w:val="ListLabel 214"/>
    <w:qFormat/>
    <w:rPr>
      <w:rFonts w:cs="Courier New"/>
    </w:rPr>
  </w:style>
  <w:style w:type="character" w:styleId="ListLabel215">
    <w:name w:val="ListLabel 215"/>
    <w:qFormat/>
    <w:rPr>
      <w:rFonts w:cs="Wingdings"/>
    </w:rPr>
  </w:style>
  <w:style w:type="character" w:styleId="ListLabel216">
    <w:name w:val="ListLabel 216"/>
    <w:qFormat/>
    <w:rPr>
      <w:rFonts w:cs="Symbol"/>
      <w:sz w:val="16"/>
    </w:rPr>
  </w:style>
  <w:style w:type="character" w:styleId="ListLabel217">
    <w:name w:val="ListLabel 217"/>
    <w:qFormat/>
    <w:rPr>
      <w:rFonts w:cs="Courier New"/>
    </w:rPr>
  </w:style>
  <w:style w:type="character" w:styleId="ListLabel218">
    <w:name w:val="ListLabel 218"/>
    <w:qFormat/>
    <w:rPr>
      <w:rFonts w:cs="Wingdings"/>
    </w:rPr>
  </w:style>
  <w:style w:type="character" w:styleId="ListLabel219">
    <w:name w:val="ListLabel 219"/>
    <w:qFormat/>
    <w:rPr>
      <w:rFonts w:cs="Symbol"/>
    </w:rPr>
  </w:style>
  <w:style w:type="character" w:styleId="ListLabel220">
    <w:name w:val="ListLabel 220"/>
    <w:qFormat/>
    <w:rPr>
      <w:rFonts w:cs="Courier New"/>
    </w:rPr>
  </w:style>
  <w:style w:type="character" w:styleId="ListLabel221">
    <w:name w:val="ListLabel 221"/>
    <w:qFormat/>
    <w:rPr>
      <w:rFonts w:cs="Wingdings"/>
    </w:rPr>
  </w:style>
  <w:style w:type="character" w:styleId="ListLabel222">
    <w:name w:val="ListLabel 222"/>
    <w:qFormat/>
    <w:rPr>
      <w:rFonts w:cs="Symbol"/>
    </w:rPr>
  </w:style>
  <w:style w:type="character" w:styleId="ListLabel223">
    <w:name w:val="ListLabel 223"/>
    <w:qFormat/>
    <w:rPr>
      <w:rFonts w:cs="Courier New"/>
    </w:rPr>
  </w:style>
  <w:style w:type="character" w:styleId="ListLabel224">
    <w:name w:val="ListLabel 224"/>
    <w:qFormat/>
    <w:rPr>
      <w:rFonts w:cs="Wingdings"/>
    </w:rPr>
  </w:style>
  <w:style w:type="character" w:styleId="ListLabel225">
    <w:name w:val="ListLabel 225"/>
    <w:qFormat/>
    <w:rPr>
      <w:sz w:val="16"/>
      <w:szCs w:val="16"/>
    </w:rPr>
  </w:style>
  <w:style w:type="paragraph" w:styleId="Nadpis" w:customStyle="1">
    <w:name w:val="Nadpis"/>
    <w:basedOn w:val="Normal"/>
    <w:next w:val="Telotextu"/>
    <w:qFormat/>
    <w:rsid w:val="00ce3333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link w:val="ZkladntextChar"/>
    <w:uiPriority w:val="99"/>
    <w:rsid w:val="00497323"/>
    <w:pPr>
      <w:spacing w:lineRule="auto" w:line="240" w:before="0" w:after="0"/>
    </w:pPr>
    <w:rPr>
      <w:rFonts w:ascii="Arial" w:hAnsi="Arial" w:cs="Arial"/>
      <w:sz w:val="24"/>
      <w:szCs w:val="24"/>
      <w:lang w:val="de-DE"/>
    </w:rPr>
  </w:style>
  <w:style w:type="paragraph" w:styleId="Zoznam">
    <w:name w:val="List"/>
    <w:basedOn w:val="Telotextu"/>
    <w:rsid w:val="00ce3333"/>
    <w:pPr/>
    <w:rPr/>
  </w:style>
  <w:style w:type="paragraph" w:styleId="Popis" w:customStyle="1">
    <w:name w:val="Caption"/>
    <w:basedOn w:val="Normal"/>
    <w:qFormat/>
    <w:rsid w:val="00ce3333"/>
    <w:pPr>
      <w:suppressLineNumbers/>
    </w:pPr>
    <w:rPr>
      <w:rFonts w:cs="Arial"/>
      <w:i/>
      <w:iCs/>
      <w:sz w:val="24"/>
      <w:szCs w:val="24"/>
    </w:rPr>
  </w:style>
  <w:style w:type="paragraph" w:styleId="Index" w:customStyle="1">
    <w:name w:val="Index"/>
    <w:basedOn w:val="Normal"/>
    <w:qFormat/>
    <w:rsid w:val="00ce3333"/>
    <w:pPr>
      <w:suppressLineNumbers/>
    </w:pPr>
    <w:rPr>
      <w:rFonts w:cs="Arial"/>
    </w:rPr>
  </w:style>
  <w:style w:type="paragraph" w:styleId="Tl11ptTuniernaPodaokrajaVavo019cmRiadkova" w:customStyle="1">
    <w:name w:val="Štýl 11 pt Tučné Čierna Podľa okraja Vľavo:  019 cm Riadkova..."/>
    <w:uiPriority w:val="99"/>
    <w:qFormat/>
    <w:rsid w:val="00d71ffb"/>
    <w:pPr>
      <w:widowControl/>
      <w:bidi w:val="0"/>
      <w:spacing w:lineRule="auto" w:line="360"/>
      <w:jc w:val="both"/>
    </w:pPr>
    <w:rPr>
      <w:rFonts w:ascii="Arial" w:hAnsi="Arial" w:cs="Arial" w:eastAsia="Times New Roman"/>
      <w:color w:val="000000"/>
      <w:sz w:val="24"/>
      <w:szCs w:val="24"/>
      <w:lang w:eastAsia="cs-CZ" w:val="sk-SK" w:bidi="ar-SA"/>
    </w:rPr>
  </w:style>
  <w:style w:type="paragraph" w:styleId="TlPodaokrajaVavo019cmRiadkovanie15riadka" w:customStyle="1">
    <w:name w:val="Štýl Podľa okraja Vľavo:  019 cm Riadkovanie:  15 riadka"/>
    <w:basedOn w:val="Normal"/>
    <w:autoRedefine/>
    <w:uiPriority w:val="99"/>
    <w:qFormat/>
    <w:rsid w:val="00d71ffb"/>
    <w:pPr>
      <w:ind w:left="108" w:hanging="0"/>
    </w:pPr>
    <w:rPr/>
  </w:style>
  <w:style w:type="paragraph" w:styleId="Bododvodnenie" w:customStyle="1">
    <w:name w:val="Bod odôvodnenie"/>
    <w:uiPriority w:val="99"/>
    <w:qFormat/>
    <w:rsid w:val="00d440d5"/>
    <w:pPr>
      <w:widowControl/>
      <w:bidi w:val="0"/>
      <w:spacing w:before="120" w:after="120"/>
      <w:jc w:val="left"/>
    </w:pPr>
    <w:rPr>
      <w:rFonts w:ascii="Arial" w:hAnsi="Arial" w:cs="Arial" w:eastAsia="Times New Roman"/>
      <w:b/>
      <w:bCs/>
      <w:color w:val="00000A"/>
      <w:sz w:val="24"/>
      <w:szCs w:val="24"/>
      <w:lang w:eastAsia="cs-CZ" w:val="sk-SK" w:bidi="ar-SA"/>
    </w:rPr>
  </w:style>
  <w:style w:type="paragraph" w:styleId="TlArialPodaokraja" w:customStyle="1">
    <w:name w:val="Štýl Arial Podľa okraja"/>
    <w:autoRedefine/>
    <w:uiPriority w:val="99"/>
    <w:qFormat/>
    <w:rsid w:val="004337d2"/>
    <w:pPr>
      <w:widowControl/>
      <w:bidi w:val="0"/>
      <w:jc w:val="both"/>
    </w:pPr>
    <w:rPr>
      <w:rFonts w:ascii="Arial" w:hAnsi="Arial" w:cs="Arial" w:eastAsia="Times New Roman"/>
      <w:color w:val="00000A"/>
      <w:sz w:val="16"/>
      <w:szCs w:val="16"/>
      <w:lang w:eastAsia="cs-CZ" w:val="sk-SK" w:bidi="ar-SA"/>
    </w:rPr>
  </w:style>
  <w:style w:type="paragraph" w:styleId="Textpoznmky" w:customStyle="1">
    <w:name w:val="Text poznámky"/>
    <w:basedOn w:val="Normal"/>
    <w:autoRedefine/>
    <w:uiPriority w:val="99"/>
    <w:qFormat/>
    <w:rsid w:val="001f67e7"/>
    <w:pPr>
      <w:spacing w:lineRule="auto" w:line="240"/>
    </w:pPr>
    <w:rPr/>
  </w:style>
  <w:style w:type="paragraph" w:styleId="Pta">
    <w:name w:val="Footer"/>
    <w:basedOn w:val="Normal"/>
    <w:link w:val="ZpatChar1"/>
    <w:uiPriority w:val="99"/>
    <w:semiHidden/>
    <w:rsid w:val="00e54519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Normlny1" w:customStyle="1">
    <w:name w:val="Normálny1"/>
    <w:uiPriority w:val="99"/>
    <w:qFormat/>
    <w:rsid w:val="00a40be6"/>
    <w:pPr>
      <w:widowControl/>
      <w:bidi w:val="0"/>
      <w:spacing w:lineRule="auto" w:line="360" w:before="120" w:after="120"/>
      <w:ind w:firstLine="709"/>
      <w:jc w:val="both"/>
    </w:pPr>
    <w:rPr>
      <w:rFonts w:ascii="Arial" w:hAnsi="Arial" w:cs="Arial" w:eastAsia="Times New Roman"/>
      <w:color w:val="00000A"/>
      <w:sz w:val="24"/>
      <w:szCs w:val="24"/>
      <w:lang w:eastAsia="cs-CZ" w:val="sk-SK" w:bidi="ar-SA"/>
    </w:rPr>
  </w:style>
  <w:style w:type="paragraph" w:styleId="Textopatrenia" w:customStyle="1">
    <w:name w:val="Text opatrenia"/>
    <w:uiPriority w:val="99"/>
    <w:qFormat/>
    <w:rsid w:val="00503a66"/>
    <w:pPr>
      <w:widowControl/>
      <w:bidi w:val="0"/>
      <w:spacing w:before="120" w:after="120"/>
      <w:jc w:val="both"/>
    </w:pPr>
    <w:rPr>
      <w:rFonts w:ascii="Arial Narrow" w:hAnsi="Arial Narrow" w:cs="Arial Narrow" w:eastAsia="Times New Roman"/>
      <w:color w:val="00000A"/>
      <w:sz w:val="20"/>
      <w:szCs w:val="22"/>
      <w:lang w:eastAsia="cs-CZ" w:val="sk-SK" w:bidi="ar-SA"/>
    </w:rPr>
  </w:style>
  <w:style w:type="paragraph" w:styleId="TopHeader" w:customStyle="1">
    <w:name w:val="Top Header"/>
    <w:basedOn w:val="Normal"/>
    <w:uiPriority w:val="99"/>
    <w:qFormat/>
    <w:rsid w:val="00322d87"/>
    <w:pPr>
      <w:spacing w:lineRule="auto" w:line="240" w:before="0" w:after="0"/>
      <w:jc w:val="center"/>
    </w:pPr>
    <w:rPr>
      <w:b/>
      <w:bCs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497323"/>
    <w:pPr>
      <w:ind w:left="708" w:hanging="0"/>
    </w:pPr>
    <w:rPr/>
  </w:style>
  <w:style w:type="paragraph" w:styleId="Hlavika">
    <w:name w:val="Header"/>
    <w:basedOn w:val="Normal"/>
    <w:link w:val="ZhlavChar1"/>
    <w:uiPriority w:val="99"/>
    <w:semiHidden/>
    <w:rsid w:val="00e54519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xtbublinyChar"/>
    <w:uiPriority w:val="99"/>
    <w:semiHidden/>
    <w:qFormat/>
    <w:rsid w:val="001058f5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99"/>
    <w:rsid w:val="00db1285"/>
    <w:rPr>
      <w:szCs w:val="20"/>
    </w:r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Application>LibreOffice/5.3.3.2$Windows_X86_64 LibreOffice_project/3d9a8b4b4e538a85e0782bd6c2d430bafe583448</Application>
  <Pages>12</Pages>
  <Words>3517</Words>
  <Characters>20840</Characters>
  <CharactersWithSpaces>24086</CharactersWithSpaces>
  <Paragraphs>861</Paragraphs>
  <Company>MF-SR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2023-03-19T10:46:00Z</dcterms:created>
  <dc:creator>Vlaďka</dc:creator>
  <dc:description/>
  <dc:language>sk-SK</dc:language>
  <cp:lastModifiedBy/>
  <cp:lastPrinted>2022-03-15T10:32:00Z</cp:lastPrinted>
  <dcterms:modified xsi:type="dcterms:W3CDTF">2023-03-21T13:29:17Z</dcterms:modified>
  <cp:revision>9</cp:revision>
  <dc:subject/>
  <dc:title>Príloha č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MF-SR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