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2022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10045" w:type="dxa"/>
        <w:jc w:val="left"/>
        <w:tblInd w:w="-32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-5" w:type="dxa"/>
          <w:bottom w:w="0" w:type="dxa"/>
          <w:right w:w="0" w:type="dxa"/>
        </w:tblCellMar>
      </w:tblPr>
      <w:tblGrid>
        <w:gridCol w:w="2636"/>
        <w:gridCol w:w="7019"/>
        <w:gridCol w:w="50"/>
        <w:gridCol w:w="60"/>
        <w:gridCol w:w="60"/>
        <w:gridCol w:w="60"/>
        <w:gridCol w:w="60"/>
        <w:gridCol w:w="60"/>
        <w:gridCol w:w="4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NANA,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fill="auto" w:val="clear"/>
            <w:tcMar>
              <w:left w:w="-5" w:type="dxa"/>
            </w:tcMar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97701 Brezno, Švermova 7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fill="auto" w:val="clear"/>
            <w:tcMar>
              <w:left w:w="-5" w:type="dxa"/>
            </w:tcMar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fill="auto" w:val="clear"/>
            <w:tcMar>
              <w:left w:w="-5" w:type="dxa"/>
            </w:tcMar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409" w:type="dxa"/>
            <w:gridSpan w:val="7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05. 06. 2001 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409" w:type="dxa"/>
            <w:gridSpan w:val="7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Pohostinská činnosť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409" w:type="dxa"/>
            <w:gridSpan w:val="7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NANA, s.r.o.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409" w:type="dxa"/>
            <w:gridSpan w:val="7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2022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ind w:left="0" w:right="-425" w:hanging="0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788" w:type="dxa"/>
        <w:jc w:val="left"/>
        <w:tblInd w:w="-72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2197"/>
        <w:gridCol w:w="2835"/>
        <w:gridCol w:w="3260"/>
        <w:gridCol w:w="149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" w:ascii="Arial" w:hAnsi="Arial"/>
                <w:sz w:val="20"/>
                <w:szCs w:val="20"/>
              </w:rPr>
              <w:t>43214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44722</w:t>
            </w:r>
          </w:p>
        </w:tc>
        <w:tc>
          <w:tcPr>
            <w:tcW w:w="1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" w:ascii="Arial" w:hAnsi="Arial"/>
                <w:sz w:val="20"/>
                <w:szCs w:val="20"/>
              </w:rPr>
              <w:t>150889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129745</w:t>
            </w:r>
          </w:p>
        </w:tc>
        <w:tc>
          <w:tcPr>
            <w:tcW w:w="1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6</w:t>
            </w:r>
          </w:p>
        </w:tc>
        <w:tc>
          <w:tcPr>
            <w:tcW w:w="1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mikro účtovná jednotka. </w:t>
      </w:r>
      <w:r>
        <w:rPr>
          <w:rFonts w:cs="Arial Narrow" w:ascii="Arial Narrow" w:hAnsi="Arial Narrow"/>
          <w:sz w:val="22"/>
          <w:szCs w:val="22"/>
        </w:rPr>
        <w:t xml:space="preserve">V roku 2014 sa UJ rozhodla, že sa nebude považovať za mikro účtovnú jednotku, preto zostavuje účtovnú závierku podľa metodiky pre veľkostnú skupinu </w:t>
      </w:r>
      <w:r>
        <w:rPr>
          <w:rFonts w:cs="Arial Narrow" w:ascii="Arial Narrow" w:hAnsi="Arial Narrow"/>
          <w:b/>
          <w:bCs/>
          <w:sz w:val="22"/>
          <w:szCs w:val="22"/>
        </w:rPr>
        <w:t>malá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sz w:val="22"/>
          <w:szCs w:val="22"/>
        </w:rPr>
        <w:t>účtovná jednotka</w:t>
      </w:r>
      <w:r>
        <w:rPr>
          <w:rFonts w:cs="Arial Narrow" w:ascii="Arial Narrow" w:hAnsi="Arial Narrow"/>
          <w:sz w:val="22"/>
          <w:szCs w:val="22"/>
        </w:rPr>
        <w:t>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 </w:t>
      </w:r>
      <w:r>
        <w:rPr>
          <w:rFonts w:cs="Arial Narrow" w:ascii="Arial Narrow" w:hAnsi="Arial Narrow"/>
          <w:b/>
          <w:bCs/>
          <w:sz w:val="22"/>
          <w:szCs w:val="22"/>
        </w:rPr>
        <w:t>29. 03. 2022</w:t>
      </w:r>
    </w:p>
    <w:p>
      <w:pPr>
        <w:pStyle w:val="Normal"/>
        <w:spacing w:before="0" w:after="12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left="0"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</w:t>
      </w:r>
      <w:r>
        <w:rPr>
          <w:rFonts w:cs="Arial Narrow" w:ascii="Arial Narrow" w:hAnsi="Arial Narrow"/>
          <w:b/>
          <w:bCs/>
          <w:sz w:val="22"/>
          <w:szCs w:val="22"/>
        </w:rPr>
        <w:t>Riadna účtovná závierka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</w:t>
      </w:r>
      <w:r>
        <w:rPr>
          <w:rFonts w:cs="Arial Narrow" w:ascii="Arial Narrow" w:hAnsi="Arial Narrow"/>
          <w:sz w:val="22"/>
          <w:szCs w:val="22"/>
        </w:rPr>
        <w:t>s konsolidáciou:</w:t>
      </w:r>
      <w:r>
        <w:rPr>
          <w:rFonts w:cs="Arial Narrow" w:ascii="Arial Narrow" w:hAnsi="Arial Narrow"/>
          <w:bCs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sz w:val="22"/>
          <w:szCs w:val="22"/>
        </w:rPr>
        <w:t>NANA, s.r.o nie je</w:t>
      </w:r>
      <w:r>
        <w:rPr>
          <w:rFonts w:cs="Arial Narrow" w:ascii="Arial Narrow" w:hAnsi="Arial Narrow"/>
          <w:bCs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sz w:val="22"/>
          <w:szCs w:val="22"/>
        </w:rPr>
        <w:t>súčasťou konsolidovaného celku</w:t>
      </w:r>
    </w:p>
    <w:p>
      <w:pPr>
        <w:pStyle w:val="Normal"/>
        <w:ind w:left="360" w:right="0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>a) Obchodné meno a sídlo účtovnej jednotky, ktorá zostavuje konsolidovanú účtovnú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závierku za </w:t>
      </w:r>
      <w:r>
        <w:rPr>
          <w:rFonts w:cs="Arial Narrow" w:ascii="Arial Narrow" w:hAnsi="Arial Narrow"/>
          <w:sz w:val="22"/>
          <w:szCs w:val="22"/>
          <w:u w:val="single"/>
        </w:rPr>
        <w:t>najväčšiu skupinu</w:t>
      </w:r>
      <w:r>
        <w:rPr>
          <w:rFonts w:cs="Arial Narrow" w:ascii="Arial Narrow" w:hAnsi="Arial Narrow"/>
          <w:sz w:val="22"/>
          <w:szCs w:val="22"/>
        </w:rPr>
        <w:t>, ktorej súčasťou je účtovná jednotka ako dcérska účtovná jednotka (najvyšší stupeň konsolidácie):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>b) Obchodné meno a sídlo účtovnej jednotky, ktorá zostavuje konsolidovanú účtovnú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závierku za </w:t>
      </w:r>
      <w:r>
        <w:rPr>
          <w:rFonts w:cs="Arial Narrow" w:ascii="Arial Narrow" w:hAnsi="Arial Narrow"/>
          <w:sz w:val="22"/>
          <w:szCs w:val="22"/>
          <w:u w:val="single"/>
        </w:rPr>
        <w:t>najmenšiu skupinu</w:t>
      </w:r>
      <w:r>
        <w:rPr>
          <w:rFonts w:cs="Arial Narrow" w:ascii="Arial Narrow" w:hAnsi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c) Adresa, kde sa môže vyžiadať kópia vyššie uvedených konsolidovaných účtovných závierok: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Údaj, či účtovná jednotka je materskou účtovnou jednotkou a údaj, či je oslobodená od povinnosti zostaviť konsolidovanú účtovnú závierku a konsolidovanú výročnú správu podľa § 22 zákona o účtovníctve, pričom sa uvádzajú: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1. pri oslobodení podľa § 22 ods. 8 zákona o účtovníctve obchodné meno a sídlo materskej účtovnej jednotky zostavujúcej konsolidovanú účtovnú závierku podľa osobitných predpisov (IFRS/EÚ):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/>
        <w:t>:</w:t>
      </w:r>
    </w:p>
    <w:tbl>
      <w:tblPr>
        <w:tblW w:w="9967" w:type="dxa"/>
        <w:jc w:val="left"/>
        <w:tblInd w:w="-11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57"/>
        <w:gridCol w:w="2523"/>
        <w:gridCol w:w="258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ind w:left="0" w:right="459" w:hanging="0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5,5</w:t>
            </w:r>
          </w:p>
        </w:tc>
      </w:tr>
    </w:tbl>
    <w:p>
      <w:pPr>
        <w:pStyle w:val="Normal"/>
        <w:ind w:left="928" w:right="-468" w:hanging="0"/>
        <w:jc w:val="both"/>
        <w:rPr/>
      </w:pPr>
      <w:r>
        <w:rPr/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/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934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6312"/>
        <w:gridCol w:w="1701"/>
        <w:gridCol w:w="192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Bežné účtovné obdobie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konateľka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konateľka</w:t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Žiadne výhody ani príjmy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Žiadne výhody ani príjmy</w:t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left="0" w:right="-468" w:hanging="0"/>
        <w:jc w:val="both"/>
        <w:rPr/>
      </w:pPr>
      <w:r>
        <w:rPr/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141" w:hanging="0"/>
        <w:jc w:val="center"/>
        <w:rPr>
          <w:rFonts w:ascii="Arial Narrow" w:hAnsi="Arial Narrow" w:cs="Arial Narrow"/>
          <w:b/>
          <w:b/>
          <w:b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</w:r>
    </w:p>
    <w:p>
      <w:pPr>
        <w:pStyle w:val="Normal"/>
        <w:ind w:left="0"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Účtovná závierka je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 </w:t>
      </w:r>
    </w:p>
    <w:p>
      <w:pPr>
        <w:pStyle w:val="Normal"/>
        <w:ind w:left="0" w:right="-141" w:hanging="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2) Učtovné zásady a účtovné metódy boli aplikované v rámci platného zákona o účtovníctve. Počas účtovného obdobia nedošlo k ich zmenám.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3) V účtovnom období nedošlo v spoločnosti NANA, s.r.o. k transakciám, ktoré sa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>neuvádzajú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v súvahe    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left="0"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826" w:type="dxa"/>
        <w:jc w:val="left"/>
        <w:tblInd w:w="-11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706"/>
        <w:gridCol w:w="5300"/>
        <w:gridCol w:w="3820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hmotný ma</w:t>
            </w:r>
            <w:r>
              <w:rPr>
                <w:rFonts w:cs="Arial Narrow" w:ascii="Arial Narrow" w:hAnsi="Arial Narrow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Zásoby obst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r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kúpo</w:t>
            </w:r>
            <w:r>
              <w:rPr>
                <w:rFonts w:cs="Arial Narrow" w:ascii="Arial Narrow" w:hAnsi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soby </w:t>
            </w:r>
            <w:r>
              <w:rPr>
                <w:rFonts w:cs="Arial Narrow" w:ascii="Arial Narrow" w:hAnsi="Arial Narrow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cs="Arial Narrow" w:ascii="Arial Narrow" w:hAnsi="Arial Narrow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tvor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Nebolo účtované o ZV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en-AU" w:eastAsia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riv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en-AU" w:eastAsia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ty: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 xml:space="preserve">Majetok a záväzky zabezpečené derivátmi: 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Prenajatý majetok a majetok obstaraný na základe zmluvy o kúpe prenajatej veci: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b) Trvalé ani prechodné zníženie hodnoty majetku nebolo účtované. 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reálnou hodnotou: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NANA, s.r.o. neocenila majetok reálnou hodnotou, lebo nemala k tomu vecnú náplň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NANA, s.r.o. neúčtovala o cenných papieroch, akciách, dlhopisoch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Finančné nástroje</w:t>
      </w:r>
      <w:r>
        <w:rPr>
          <w:rFonts w:cs="Arial Narrow" w:ascii="Arial Narrow" w:hAnsi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listy)-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neúčtovala o finančných nástrojoch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Opravné položky</w:t>
      </w:r>
      <w:r>
        <w:rPr>
          <w:rFonts w:cs="Arial Narrow" w:ascii="Arial Narrow" w:hAnsi="Arial Narrow"/>
          <w:sz w:val="22"/>
          <w:szCs w:val="22"/>
        </w:rPr>
        <w:t xml:space="preserve"> k majetku -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netvorila OP k majetku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Opravnú položku k dlhodobej pohľadávke</w:t>
      </w:r>
      <w:r>
        <w:rPr>
          <w:rFonts w:cs="Arial Narrow" w:ascii="Arial Narrow" w:hAnsi="Arial Narrow"/>
          <w:sz w:val="22"/>
          <w:szCs w:val="22"/>
        </w:rPr>
        <w:t xml:space="preserve"> a opravnú položku k dlhodobej pôžičke -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netvorila OP k pohľadávkam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Rezervy –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ocenila kalkulačnou metódou kvalifikovaného odhadu ich menovitej hodnoty na pokrytie budúcich záväzkov.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cs="Arial Narrow" w:ascii="Arial Narrow" w:hAnsi="Arial Narrow"/>
          <w:sz w:val="22"/>
          <w:szCs w:val="22"/>
          <w:u w:val="single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 –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nemala k tomu vecnú náplň.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ÚJ používa pri oceňovaní úbytku rovnakého druhu zásob – </w:t>
      </w:r>
      <w:r>
        <w:rPr>
          <w:rFonts w:cs="Arial Narrow" w:ascii="Arial Narrow" w:hAnsi="Arial Narrow"/>
          <w:b/>
          <w:bCs/>
          <w:i/>
          <w:iCs/>
          <w:sz w:val="22"/>
          <w:szCs w:val="22"/>
          <w:u w:val="single"/>
        </w:rPr>
        <w:t>vážený aritmetický priemer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 xml:space="preserve"> (§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25/5 ZoU; § 22/1 PU).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tabs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g) Tvorba odpisového plánu</w:t>
      </w:r>
      <w:r>
        <w:rPr/>
        <w:t xml:space="preserve"> pre dlhodobý majetok, pričom sa uvádza doba odpisovania, sadzby odpisov a odpisové metódy pre účtovné odpisy:</w:t>
      </w:r>
    </w:p>
    <w:p>
      <w:pPr>
        <w:pStyle w:val="Normal"/>
        <w:tabs>
          <w:tab w:val="left" w:pos="1005" w:leader="none"/>
        </w:tabs>
        <w:jc w:val="both"/>
        <w:rPr/>
      </w:pPr>
      <w:r>
        <w:rPr/>
      </w:r>
    </w:p>
    <w:tbl>
      <w:tblPr>
        <w:tblW w:w="9826" w:type="dxa"/>
        <w:jc w:val="left"/>
        <w:tblInd w:w="-11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8"/>
        <w:gridCol w:w="1013"/>
        <w:gridCol w:w="2107"/>
        <w:gridCol w:w="248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Samost.hnuteľné veci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16,7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40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nezávisle na daňových odpisoch</w:t>
      </w:r>
      <w:r>
        <w:rPr>
          <w:rFonts w:cs="Arial Narrow" w:ascii="Arial Narrow" w:hAnsi="Arial Narrow"/>
          <w:sz w:val="22"/>
          <w:szCs w:val="22"/>
        </w:rPr>
        <w:t xml:space="preserve">. </w:t>
      </w:r>
      <w:r>
        <w:rPr>
          <w:rFonts w:cs="Arial Narrow" w:ascii="Arial Narrow" w:hAnsi="Arial Narrow"/>
          <w:b/>
          <w:bCs/>
          <w:sz w:val="22"/>
          <w:szCs w:val="22"/>
        </w:rPr>
        <w:t>Majetok sa začína odpisovať v mesiaci, kedy bo</w:t>
      </w:r>
      <w:r>
        <w:rPr>
          <w:rFonts w:cs="Arial Narrow" w:ascii="Arial Narrow" w:hAnsi="Arial Narrow"/>
          <w:sz w:val="22"/>
          <w:szCs w:val="22"/>
        </w:rPr>
        <w:t xml:space="preserve">l </w:t>
      </w:r>
      <w:r>
        <w:rPr>
          <w:rFonts w:cs="Arial Narrow" w:ascii="Arial Narrow" w:hAnsi="Arial Narrow"/>
          <w:b/>
          <w:bCs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  <w:r>
        <w:rPr>
          <w:rFonts w:cs="Arial Narrow" w:ascii="Arial Narrow" w:hAnsi="Arial Narrow"/>
          <w:sz w:val="22"/>
          <w:szCs w:val="22"/>
        </w:rPr>
        <w:t xml:space="preserve"> Účtovné odpisy vychádzajú z predpokladanej doby používania majetku. 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b/>
          <w:bCs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majetku. Podrobný účtovný odpisový plán po položkách sa vedie v podsystéme Majetok s podporou softvéru Pohoda (taktiež daňové odpisy podľa zákona o dani z príjmov).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odpisuje jednotlivé veci alebo relevantné </w:t>
      </w:r>
      <w:r>
        <w:rPr>
          <w:rFonts w:cs="Arial Narrow" w:ascii="Arial Narrow" w:hAnsi="Arial Narrow"/>
          <w:sz w:val="22"/>
          <w:szCs w:val="22"/>
          <w:u w:val="single"/>
        </w:rPr>
        <w:t>súbory hnuteľných vecí</w:t>
      </w:r>
      <w:r>
        <w:rPr>
          <w:rFonts w:cs="Arial Narrow" w:ascii="Arial Narrow" w:hAnsi="Arial Narrow"/>
          <w:sz w:val="22"/>
          <w:szCs w:val="22"/>
        </w:rPr>
        <w:t>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nepoužila </w:t>
      </w:r>
      <w:r>
        <w:rPr>
          <w:rFonts w:cs="Arial Narrow" w:ascii="Arial Narrow" w:hAnsi="Arial Narrow"/>
          <w:sz w:val="22"/>
          <w:szCs w:val="22"/>
          <w:u w:val="single"/>
        </w:rPr>
        <w:t>jednorazový odpis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ÚJ </w:t>
      </w:r>
      <w:r>
        <w:rPr>
          <w:rFonts w:cs="Arial Narrow"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cs="Arial Narrow"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ÚJ </w:t>
      </w:r>
      <w:r>
        <w:rPr>
          <w:rFonts w:cs="Arial Narrow" w:ascii="Arial Narrow" w:hAnsi="Arial Narrow"/>
          <w:b/>
          <w:bCs/>
          <w:sz w:val="22"/>
          <w:szCs w:val="22"/>
          <w:u w:val="single"/>
        </w:rPr>
        <w:t>používa kategóriu drobného dlhodobého hmotného majetku</w:t>
      </w:r>
      <w:r>
        <w:rPr>
          <w:rFonts w:cs="Arial Narrow"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ÚJ </w:t>
      </w:r>
      <w:r>
        <w:rPr>
          <w:rFonts w:cs="Arial Narrow" w:ascii="Arial Narrow" w:hAnsi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cs="Arial Narrow" w:ascii="Arial Narrow" w:hAnsi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ÚJ </w:t>
      </w:r>
      <w:r>
        <w:rPr>
          <w:rFonts w:cs="Arial Narrow" w:ascii="Arial Narrow" w:hAnsi="Arial Narrow"/>
          <w:sz w:val="22"/>
          <w:szCs w:val="22"/>
          <w:u w:val="single"/>
        </w:rPr>
        <w:t>nepoužíva dobrovoľnú kapitalizáciu úrokov</w:t>
      </w:r>
      <w:r>
        <w:rPr>
          <w:rFonts w:cs="Arial Narrow" w:ascii="Arial Narrow" w:hAnsi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o poskytnutých dotáciách a pri dotáciách na obstaranie majetku sa uvedú zložky majetku a ich ocenenie: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bol poskytnutý finančný príspevok v rámci Projektu Prvá pomoc z UPSVaR</w:t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>
      <w:pPr>
        <w:pStyle w:val="Normal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  <w:t>UJ neúčtovala o opravách významných chýb minulých období</w:t>
      </w:r>
    </w:p>
    <w:tbl>
      <w:tblPr>
        <w:tblW w:w="9821" w:type="dxa"/>
        <w:jc w:val="left"/>
        <w:tblInd w:w="-11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75"/>
        <w:gridCol w:w="1040"/>
        <w:gridCol w:w="1039"/>
        <w:gridCol w:w="1928"/>
        <w:gridCol w:w="273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</w:tbl>
    <w:p>
      <w:pPr>
        <w:pStyle w:val="Normal"/>
        <w:ind w:left="0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a)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neúčtovala o goodwille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  <w:u w:val="single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  <w:t>UJ neúčtovala o derivátoch, majetku a záväzkoch zabezpečených derivátmi</w:t>
      </w:r>
    </w:p>
    <w:tbl>
      <w:tblPr>
        <w:tblW w:w="9825" w:type="dxa"/>
        <w:jc w:val="left"/>
        <w:tblInd w:w="-11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655"/>
        <w:gridCol w:w="1135"/>
        <w:gridCol w:w="1135"/>
        <w:gridCol w:w="1844"/>
        <w:gridCol w:w="2056"/>
      </w:tblGrid>
      <w:tr>
        <w:trPr>
          <w:trHeight w:val="153" w:hRule="atLeast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imanie</w:t>
            </w:r>
          </w:p>
        </w:tc>
      </w:tr>
      <w:tr>
        <w:trPr>
          <w:trHeight w:val="62" w:hRule="atLeast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  <w:tr>
        <w:trPr>
          <w:trHeight w:val="109" w:hRule="atLeast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</w:tbl>
    <w:p>
      <w:pPr>
        <w:pStyle w:val="Normal"/>
        <w:spacing w:before="0" w:after="120"/>
        <w:ind w:left="0" w:right="-141" w:hanging="0"/>
        <w:jc w:val="both"/>
        <w:rPr/>
      </w:pPr>
      <w:r>
        <w:rPr/>
      </w:r>
    </w:p>
    <w:p>
      <w:pPr>
        <w:pStyle w:val="Normal"/>
        <w:spacing w:before="0" w:after="120"/>
        <w:ind w:left="0"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p>
      <w:pPr>
        <w:pStyle w:val="Normal"/>
        <w:spacing w:before="0" w:after="120"/>
        <w:ind w:left="0" w:right="-141" w:hanging="0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  <w:t>UJ neúčtovala o záväzkoch so zostatkovou dobou splatnosti dlhšou ako 5 rokov</w:t>
      </w:r>
    </w:p>
    <w:tbl>
      <w:tblPr>
        <w:tblW w:w="9934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785"/>
        <w:gridCol w:w="2553"/>
        <w:gridCol w:w="259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Bežné účtovné obdobie</w:t>
            </w:r>
          </w:p>
        </w:tc>
        <w:tc>
          <w:tcPr>
            <w:tcW w:w="2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spacing w:before="120" w:after="0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120" w:after="0"/>
        <w:ind w:left="0"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left="0"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p>
      <w:pPr>
        <w:pStyle w:val="Normal"/>
        <w:spacing w:before="0" w:after="120"/>
        <w:ind w:left="0" w:right="-141" w:hanging="0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  <w:t>UJ neúčtovala o zabezpečených záväzkoch</w:t>
      </w:r>
    </w:p>
    <w:tbl>
      <w:tblPr>
        <w:tblW w:w="9858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4396"/>
        <w:gridCol w:w="2831"/>
        <w:gridCol w:w="2631"/>
      </w:tblGrid>
      <w:tr>
        <w:trPr>
          <w:cantSplit w:val="true"/>
        </w:trPr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Zabezpečené záväzky</w:t>
            </w:r>
          </w:p>
        </w:tc>
        <w:tc>
          <w:tcPr>
            <w:tcW w:w="5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Bežné účtovné obdobie</w:t>
            </w:r>
          </w:p>
        </w:tc>
      </w:tr>
      <w:tr>
        <w:trPr>
          <w:cantSplit w:val="true"/>
        </w:trPr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jc w:val="both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left="0" w:right="-468" w:hanging="0"/>
        <w:jc w:val="both"/>
        <w:rPr/>
      </w:pPr>
      <w:r>
        <w:rPr/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neúčtovala o vlastných akciách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neúčtovala o výnimočných nákladoch ani výnosoch</w:t>
      </w:r>
    </w:p>
    <w:p>
      <w:pPr>
        <w:pStyle w:val="Normal"/>
        <w:spacing w:before="0" w:after="120"/>
        <w:ind w:left="0" w:right="-471" w:hanging="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  <w:u w:val="single"/>
        </w:rPr>
      </w:r>
    </w:p>
    <w:p>
      <w:pPr>
        <w:pStyle w:val="Normal"/>
        <w:spacing w:before="0" w:after="120"/>
        <w:ind w:left="0" w:right="-471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podmienený majetok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>
      <w:pPr>
        <w:pStyle w:val="Normal"/>
        <w:numPr>
          <w:ilvl w:val="0"/>
          <w:numId w:val="5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možná povinnosť, ktorá vznikla ako dôsledok minulej udalosti a ktorej existencia závisí od toho, či nastane lebo nenastane jedna alebo viac neistých udalostí v budúcnosti, ktorých vznik nezávisí od účtovnej jednotky: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podmienené záväzky</w:t>
      </w:r>
    </w:p>
    <w:p>
      <w:pPr>
        <w:pStyle w:val="Normal"/>
        <w:numPr>
          <w:ilvl w:val="0"/>
          <w:numId w:val="5"/>
        </w:numPr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povinnosť, ktorá vznikla ako dôsledok minulej udalosti, ale ktorá sa nevykazuje v súvahe, pretože nie je pravdepodobné, že na splnenie tejto povinnosti bude potrebný úbytok ekonomických úžitkov, alebo výška tejto povinnosti sa nedá spoľahlivo oceniť: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podmienené záväzky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také finančné povinnosti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nesleduje položky na podsúvahových účtoch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tbl>
      <w:tblPr>
        <w:tblW w:w="9825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6311"/>
        <w:gridCol w:w="1701"/>
        <w:gridCol w:w="1813"/>
      </w:tblGrid>
      <w:tr>
        <w:trPr>
          <w:trHeight w:val="780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Bežné účtovné obdobie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44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Po závierkovom dni nenastali významné udalosti, ktoré nie sú zohľadnené vo výkazoch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a) </w:t>
      </w:r>
      <w:r>
        <w:rPr>
          <w:rFonts w:cs="Arial Narrow" w:ascii="Arial Narrow" w:hAnsi="Arial Narrow"/>
          <w:sz w:val="22"/>
          <w:szCs w:val="22"/>
          <w:u w:val="single"/>
        </w:rPr>
        <w:t>Pokles alebo zvýšenie trhovej ceny finančného majetku</w:t>
      </w:r>
      <w:r>
        <w:rPr>
          <w:rFonts w:cs="Arial Narrow" w:ascii="Arial Narrow" w:hAnsi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o finančom majetku neúčtovala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b) </w:t>
      </w:r>
      <w:r>
        <w:rPr>
          <w:rFonts w:cs="Arial Narrow" w:ascii="Arial Narrow" w:hAnsi="Arial Narrow"/>
          <w:sz w:val="22"/>
          <w:szCs w:val="22"/>
          <w:u w:val="single"/>
        </w:rPr>
        <w:t>Dôvody pre zmenu výšky rezerv a opravných položiek</w:t>
      </w:r>
      <w:r>
        <w:rPr>
          <w:rFonts w:cs="Arial Narrow" w:ascii="Arial Narrow" w:hAnsi="Arial Narrow"/>
          <w:sz w:val="22"/>
          <w:szCs w:val="22"/>
        </w:rPr>
        <w:t xml:space="preserve">, ktoré nastali v dôsledku udalostí po dni, ku ktorému sa zostavuje účtovná závierka do dňa zostavenia účtovnej závierky: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Nenastali také udalosti, ktoré by spôsobili zmenu výšky rezerv a OP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Zmena spoločníkov účtovnej jednotky: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Spoločníci sa v UJ nezmenili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Prijaté rozhodnutia o predaji účtovnej jednotky alebo jej časti: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neprijala rozhodnutia o predaji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Zmeny významných položiek dlhodobého finančného majetku: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neúčtuje o dlhodobom finančnom majetku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neprerušila svoju činnosť a pokračuje v nej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g) Vydané dlhopisy a iné cenné papiere: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nevydala dlhopisy ani CP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h) Zlúčenie, splynutie, rozdelenie a zmena právnej formy účtovnej jednotky: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sa nezlúčila, nesplynula ani nezmenila právnu formu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i) Mimoriadne udalosti, ak majú vplyv na hospodárenie účtovnej jednotky, napr. živelná pohroma: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Nenastali také mimoriadne udalosti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j) Získanie alebo odobratie licencií alebo iných povolení významných pre činnosť účtovnej jednotky: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nezískala nové licencie, ani jej neboli odobraté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left="0"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výlučné právo poskytovať služby vo verejnom záujme</w:t>
      </w:r>
    </w:p>
    <w:p>
      <w:pPr>
        <w:pStyle w:val="Normal"/>
        <w:spacing w:before="0" w:after="120"/>
        <w:ind w:left="0"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nie je zaradená do osobitnej kategórie priemyselnej výroby</w:t>
      </w:r>
    </w:p>
    <w:p>
      <w:pPr>
        <w:pStyle w:val="Normal"/>
        <w:spacing w:before="0" w:after="120"/>
        <w:ind w:left="0"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finančné vzťahy s orgánmi verejnej moci</w:t>
      </w:r>
    </w:p>
    <w:sectPr>
      <w:headerReference w:type="default" r:id="rId2"/>
      <w:footerReference w:type="default" r:id="rId3"/>
      <w:type w:val="nextPage"/>
      <w:pgSz w:w="11906" w:h="16838"/>
      <w:pgMar w:left="1417" w:right="992" w:header="567" w:top="1417" w:footer="567" w:bottom="1417" w:gutter="0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ee"/>
    <w:family w:val="swiss"/>
    <w:pitch w:val="variable"/>
  </w:font>
  <w:font w:name="Courier New">
    <w:charset w:val="ee"/>
    <w:family w:val="modern"/>
    <w:pitch w:val="default"/>
  </w:font>
  <w:font w:name="Symbol">
    <w:charset w:val="01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swiss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36048721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2020084913</w:t>
    </w:r>
  </w:p>
  <w:p>
    <w:pPr>
      <w:pStyle w:val="Hlavika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hanging="-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sz w:val="22"/>
        <w:szCs w:val="22"/>
        <w:rFonts w:cs="Wingdings"/>
      </w:rPr>
    </w:lvl>
  </w:abstractNum>
  <w:abstractNum w:abstractNumId="3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sz w:val="22"/>
        <w:szCs w:val="22"/>
        <w:rFonts w:cs="Wingdings"/>
      </w:rPr>
    </w:lvl>
  </w:abstractNum>
  <w:abstractNum w:abstractNumId="4">
    <w:lvl w:ilvl="0">
      <w:start w:val="6"/>
      <w:numFmt w:val="bullet"/>
      <w:lvlText w:val="-"/>
      <w:lvlJc w:val="left"/>
      <w:pPr>
        <w:ind w:left="720" w:hanging="360"/>
      </w:pPr>
      <w:rPr>
        <w:rFonts w:ascii="Arial Narrow" w:hAnsi="Arial Narrow" w:cs="Arial Narrow" w:hint="default"/>
        <w:rFonts w:cs="Arial Narrow"/>
      </w:rPr>
    </w:lvl>
  </w:abstractNum>
  <w:abstractNum w:abstractNumId="5">
    <w:lvl w:ilvl="0">
      <w:start w:val="1"/>
      <w:numFmt w:val="decimal"/>
      <w:lvlText w:val="%1."/>
      <w:lvlJc w:val="left"/>
      <w:pPr>
        <w:ind w:left="360" w:hanging="360"/>
      </w:pPr>
      <w:rPr>
        <w:sz w:val="22"/>
        <w:i/>
        <w:b/>
        <w:szCs w:val="22"/>
        <w:iCs/>
        <w:bCs/>
        <w:rFonts w:ascii="Arial Narrow" w:hAnsi="Arial Narrow" w:cs="Arial Narrow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isplayBackgroundShape/>
  <w:defaultTabStop w:val="113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bidi w:val="0"/>
    </w:pPr>
    <w:rPr>
      <w:rFonts w:ascii="Times New Roman" w:hAnsi="Times New Roman" w:eastAsia="Times New Roman" w:cs="Times New Roman"/>
      <w:color w:val="auto"/>
      <w:sz w:val="24"/>
      <w:szCs w:val="24"/>
      <w:lang w:val="sk-SK" w:eastAsia="zh-CN" w:bidi="ar-SA"/>
    </w:rPr>
  </w:style>
  <w:style w:type="paragraph" w:styleId="Nadpis1">
    <w:name w:val="Heading 1"/>
    <w:basedOn w:val="Normal"/>
    <w:next w:val="Nadpis2"/>
    <w:qFormat/>
    <w:pPr>
      <w:keepNext/>
      <w:numPr>
        <w:ilvl w:val="0"/>
        <w:numId w:val="1"/>
      </w:numPr>
      <w:tabs>
        <w:tab w:val="left" w:pos="5220" w:leader="none"/>
      </w:tabs>
      <w:spacing w:before="240" w:after="60"/>
      <w:ind w:left="4500" w:right="0" w:firstLine="360"/>
      <w:jc w:val="center"/>
      <w:outlineLvl w:val="0"/>
      <w:outlineLvl w:val="0"/>
    </w:pPr>
    <w:rPr>
      <w:b/>
      <w:bCs/>
    </w:rPr>
  </w:style>
  <w:style w:type="paragraph" w:styleId="Nadpis2">
    <w:name w:val="Heading 2"/>
    <w:basedOn w:val="Normal"/>
    <w:next w:val="Normal"/>
    <w:qFormat/>
    <w:pPr>
      <w:keepNext/>
      <w:spacing w:before="0" w:after="120"/>
      <w:jc w:val="center"/>
      <w:outlineLvl w:val="1"/>
    </w:pPr>
    <w:rPr>
      <w:b/>
      <w:bCs/>
    </w:rPr>
  </w:style>
  <w:style w:type="character" w:styleId="WW8Num1z0">
    <w:name w:val="WW8Num1z0"/>
    <w:qFormat/>
    <w:rPr>
      <w:rFonts w:cs="Times New Roman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Wingdings" w:hAnsi="Wingdings" w:cs="Wingdings"/>
      <w:sz w:val="22"/>
      <w:szCs w:val="22"/>
    </w:rPr>
  </w:style>
  <w:style w:type="character" w:styleId="WW8Num3z0">
    <w:name w:val="WW8Num3z0"/>
    <w:qFormat/>
    <w:rPr>
      <w:rFonts w:ascii="Wingdings" w:hAnsi="Wingdings" w:cs="Wingdings"/>
      <w:sz w:val="22"/>
      <w:szCs w:val="22"/>
    </w:rPr>
  </w:style>
  <w:style w:type="character" w:styleId="WW8Num4z0">
    <w:name w:val="WW8Num4z0"/>
    <w:qFormat/>
    <w:rPr>
      <w:rFonts w:ascii="Arial Narrow" w:hAnsi="Arial Narrow" w:cs="Arial Narrow"/>
    </w:rPr>
  </w:style>
  <w:style w:type="character" w:styleId="WW8Num5z0">
    <w:name w:val="WW8Num5z0"/>
    <w:qFormat/>
    <w:rPr>
      <w:rFonts w:ascii="Arial Narrow" w:hAnsi="Arial Narrow" w:cs="Arial Narrow"/>
      <w:b/>
      <w:bCs/>
      <w:i/>
      <w:iCs/>
      <w:sz w:val="22"/>
      <w:szCs w:val="22"/>
    </w:rPr>
  </w:style>
  <w:style w:type="character" w:styleId="Predvolenpsmoodseku">
    <w:name w:val="Predvolené písmo odseku"/>
    <w:qFormat/>
    <w:rPr/>
  </w:style>
  <w:style w:type="character" w:styleId="AbsatzStandardschriftart">
    <w:name w:val="Absatz-Standardschriftart"/>
    <w:qFormat/>
    <w:rPr/>
  </w:style>
  <w:style w:type="character" w:styleId="WWAbsatzStandardschriftart">
    <w:name w:val="WW-Absatz-Standardschriftart"/>
    <w:qFormat/>
    <w:rPr/>
  </w:style>
  <w:style w:type="character" w:styleId="WWAbsatzStandardschriftart1">
    <w:name w:val="WW-Absatz-Standardschriftart1"/>
    <w:qFormat/>
    <w:rPr/>
  </w:style>
  <w:style w:type="character" w:styleId="WWAbsatzStandardschriftart11">
    <w:name w:val="WW-Absatz-Standardschriftart11"/>
    <w:qFormat/>
    <w:rPr/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Wingdings" w:hAnsi="Wingdings" w:cs="Wingdings"/>
    </w:rPr>
  </w:style>
  <w:style w:type="character" w:styleId="WW8Num6z1">
    <w:name w:val="WW8Num6z1"/>
    <w:qFormat/>
    <w:rPr>
      <w:rFonts w:ascii="Courier New" w:hAnsi="Courier New" w:cs="Courier New"/>
    </w:rPr>
  </w:style>
  <w:style w:type="character" w:styleId="WW8Num6z3">
    <w:name w:val="WW8Num6z3"/>
    <w:qFormat/>
    <w:rPr>
      <w:rFonts w:ascii="Symbol" w:hAnsi="Symbol" w:cs="Symbol"/>
    </w:rPr>
  </w:style>
  <w:style w:type="character" w:styleId="WW8Num7z0">
    <w:name w:val="WW8Num7z0"/>
    <w:qFormat/>
    <w:rPr>
      <w:rFonts w:ascii="Wingdings" w:hAnsi="Wingdings" w:cs="Wingdings"/>
    </w:rPr>
  </w:style>
  <w:style w:type="character" w:styleId="WW8Num7z1">
    <w:name w:val="WW8Num7z1"/>
    <w:qFormat/>
    <w:rPr>
      <w:rFonts w:ascii="Courier New" w:hAnsi="Courier New" w:cs="Courier New"/>
    </w:rPr>
  </w:style>
  <w:style w:type="character" w:styleId="WW8Num7z3">
    <w:name w:val="WW8Num7z3"/>
    <w:qFormat/>
    <w:rPr>
      <w:rFonts w:ascii="Symbol" w:hAnsi="Symbol" w:cs="Symbol"/>
    </w:rPr>
  </w:style>
  <w:style w:type="character" w:styleId="WW8Num10z0">
    <w:name w:val="WW8Num10z0"/>
    <w:qFormat/>
    <w:rPr>
      <w:rFonts w:ascii="Arial Narrow" w:hAnsi="Arial Narrow" w:eastAsia="Times New Roman" w:cs="Arial Narrow"/>
    </w:rPr>
  </w:style>
  <w:style w:type="character" w:styleId="WW8Num10z1">
    <w:name w:val="WW8Num10z1"/>
    <w:qFormat/>
    <w:rPr>
      <w:rFonts w:ascii="Courier New" w:hAnsi="Courier New" w:cs="Courier New"/>
    </w:rPr>
  </w:style>
  <w:style w:type="character" w:styleId="WW8Num10z2">
    <w:name w:val="WW8Num10z2"/>
    <w:qFormat/>
    <w:rPr>
      <w:rFonts w:ascii="Wingdings" w:hAnsi="Wingdings" w:cs="Wingdings"/>
    </w:rPr>
  </w:style>
  <w:style w:type="character" w:styleId="WW8Num10z3">
    <w:name w:val="WW8Num10z3"/>
    <w:qFormat/>
    <w:rPr>
      <w:rFonts w:ascii="Symbol" w:hAnsi="Symbol" w:cs="Symbol"/>
    </w:rPr>
  </w:style>
  <w:style w:type="character" w:styleId="WW8Num11z0">
    <w:name w:val="WW8Num11z0"/>
    <w:qFormat/>
    <w:rPr>
      <w:rFonts w:ascii="Wingdings" w:hAnsi="Wingdings" w:cs="Wingdings"/>
    </w:rPr>
  </w:style>
  <w:style w:type="character" w:styleId="WW8Num11z1">
    <w:name w:val="WW8Num11z1"/>
    <w:qFormat/>
    <w:rPr>
      <w:rFonts w:ascii="Courier New" w:hAnsi="Courier New" w:cs="Courier New"/>
    </w:rPr>
  </w:style>
  <w:style w:type="character" w:styleId="WW8Num11z3">
    <w:name w:val="WW8Num11z3"/>
    <w:qFormat/>
    <w:rPr>
      <w:rFonts w:ascii="Symbol" w:hAnsi="Symbol" w:cs="Symbol"/>
    </w:rPr>
  </w:style>
  <w:style w:type="character" w:styleId="WW8Num12z0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shadow w:val="false"/>
      <w:vanish w:val="false"/>
      <w:color w:val="000000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WW8Num14z0">
    <w:name w:val="WW8Num14z0"/>
    <w:qFormat/>
    <w:rPr>
      <w:rFonts w:ascii="Wingdings" w:hAnsi="Wingdings" w:cs="Wingdings"/>
    </w:rPr>
  </w:style>
  <w:style w:type="character" w:styleId="WW8Num14z1">
    <w:name w:val="WW8Num14z1"/>
    <w:qFormat/>
    <w:rPr>
      <w:rFonts w:ascii="Courier New" w:hAnsi="Courier New" w:cs="Courier New"/>
    </w:rPr>
  </w:style>
  <w:style w:type="character" w:styleId="WW8Num14z3">
    <w:name w:val="WW8Num14z3"/>
    <w:qFormat/>
    <w:rPr>
      <w:rFonts w:ascii="Symbol" w:hAnsi="Symbol" w:cs="Symbol"/>
    </w:rPr>
  </w:style>
  <w:style w:type="character" w:styleId="WW8Num16z0">
    <w:name w:val="WW8Num16z0"/>
    <w:qFormat/>
    <w:rPr>
      <w:rFonts w:ascii="Wingdings" w:hAnsi="Wingdings" w:cs="Wingdings"/>
    </w:rPr>
  </w:style>
  <w:style w:type="character" w:styleId="WW8Num16z1">
    <w:name w:val="WW8Num16z1"/>
    <w:qFormat/>
    <w:rPr>
      <w:rFonts w:ascii="Courier New" w:hAnsi="Courier New" w:cs="Courier New"/>
    </w:rPr>
  </w:style>
  <w:style w:type="character" w:styleId="WW8Num16z3">
    <w:name w:val="WW8Num16z3"/>
    <w:qFormat/>
    <w:rPr>
      <w:rFonts w:ascii="Symbol" w:hAnsi="Symbol" w:cs="Symbol"/>
    </w:rPr>
  </w:style>
  <w:style w:type="character" w:styleId="Predvolenpsmoodseku1">
    <w:name w:val="Predvolené písmo odseku1"/>
    <w:qFormat/>
    <w:rPr/>
  </w:style>
  <w:style w:type="character" w:styleId="Nadpis1Char">
    <w:name w:val="Nadpis 1 Char"/>
    <w:qFormat/>
    <w:rPr>
      <w:b/>
      <w:bCs/>
      <w:sz w:val="24"/>
      <w:szCs w:val="24"/>
      <w:lang w:val="sk-SK"/>
    </w:rPr>
  </w:style>
  <w:style w:type="character" w:styleId="Nadpis2Char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>
    <w:name w:val="Text poznámky pod čiarou Char"/>
    <w:qFormat/>
    <w:rPr>
      <w:sz w:val="20"/>
      <w:szCs w:val="20"/>
    </w:rPr>
  </w:style>
  <w:style w:type="character" w:styleId="Znakyprepoznmkupodiarou">
    <w:name w:val="Znaky pre poznámku pod čiarou"/>
    <w:qFormat/>
    <w:rPr>
      <w:vertAlign w:val="superscript"/>
    </w:rPr>
  </w:style>
  <w:style w:type="character" w:styleId="PtaChar">
    <w:name w:val="Päta Char"/>
    <w:qFormat/>
    <w:rPr>
      <w:sz w:val="24"/>
      <w:szCs w:val="24"/>
    </w:rPr>
  </w:style>
  <w:style w:type="character" w:styleId="Slostrany">
    <w:name w:val="Číslo strany"/>
    <w:basedOn w:val="Predvolenpsmoodseku1"/>
    <w:rPr/>
  </w:style>
  <w:style w:type="character" w:styleId="NzovChar">
    <w:name w:val="Názov Char"/>
    <w:qFormat/>
    <w:rPr>
      <w:rFonts w:ascii="Arial Narrow" w:hAnsi="Arial Narrow" w:cs="Arial Narrow"/>
      <w:b/>
      <w:bCs/>
      <w:sz w:val="32"/>
      <w:szCs w:val="32"/>
      <w:lang w:val="sk-SK"/>
    </w:rPr>
  </w:style>
  <w:style w:type="character" w:styleId="HlavikaChar">
    <w:name w:val="Hlavička Char"/>
    <w:qFormat/>
    <w:rPr>
      <w:sz w:val="24"/>
      <w:szCs w:val="24"/>
      <w:lang w:val="sk-SK"/>
    </w:rPr>
  </w:style>
  <w:style w:type="character" w:styleId="ZkladntextChar">
    <w:name w:val="Základný text Char"/>
    <w:qFormat/>
    <w:rPr>
      <w:sz w:val="24"/>
      <w:szCs w:val="24"/>
      <w:lang w:val="en-US"/>
    </w:rPr>
  </w:style>
  <w:style w:type="character" w:styleId="Symbolypreslovanie">
    <w:name w:val="Symboly pre číslovanie"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Arial" w:hAnsi="Arial" w:eastAsia="SimSun;宋体" w:cs="Mangal"/>
      <w:sz w:val="28"/>
      <w:szCs w:val="28"/>
    </w:rPr>
  </w:style>
  <w:style w:type="paragraph" w:styleId="Telotextu">
    <w:name w:val="Body Text"/>
    <w:basedOn w:val="Normal"/>
    <w:pPr>
      <w:widowControl w:val="false"/>
      <w:ind w:left="668" w:right="0" w:hanging="567"/>
    </w:pPr>
    <w:rPr>
      <w:rFonts w:cs="Times New Roman"/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Popisok">
    <w:name w:val="Popisok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Zkladntext">
    <w:name w:val="Základní text"/>
    <w:qFormat/>
    <w:pPr>
      <w:widowControl/>
      <w:suppressAutoHyphens w:val="true"/>
      <w:spacing w:before="0" w:after="240"/>
      <w:jc w:val="both"/>
    </w:pPr>
    <w:rPr>
      <w:rFonts w:ascii="Times New Roman" w:hAnsi="Times New Roman" w:eastAsia="Arial" w:cs="Times New Roman"/>
      <w:color w:val="000000"/>
      <w:sz w:val="24"/>
      <w:szCs w:val="24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Pta">
    <w:name w:val="Footer"/>
    <w:basedOn w:val="Normal"/>
    <w:pPr>
      <w:tabs>
        <w:tab w:val="center" w:pos="4536" w:leader="none"/>
        <w:tab w:val="right" w:pos="9072" w:leader="none"/>
      </w:tabs>
    </w:pPr>
    <w:rPr/>
  </w:style>
  <w:style w:type="paragraph" w:styleId="WWNadpis">
    <w:name w:val="WW-Nadpis"/>
    <w:basedOn w:val="Normal"/>
    <w:next w:val="Normal"/>
    <w:qFormat/>
    <w:pPr>
      <w:keepNext/>
      <w:spacing w:before="280" w:after="220"/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Podnzov">
    <w:name w:val="Subtitle"/>
    <w:basedOn w:val="Nadpis"/>
    <w:next w:val="Telotextu"/>
    <w:qFormat/>
    <w:pPr>
      <w:jc w:val="center"/>
    </w:pPr>
    <w:rPr>
      <w:i/>
      <w:iCs/>
      <w:sz w:val="28"/>
      <w:szCs w:val="28"/>
    </w:rPr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al"/>
    <w:pPr>
      <w:tabs>
        <w:tab w:val="center" w:pos="4703" w:leader="none"/>
        <w:tab w:val="right" w:pos="9406" w:leader="none"/>
      </w:tabs>
    </w:pPr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Application>LibreOffice/5.2.3.3$Windows_X86_64 LibreOffice_project/d54a8868f08a7b39642414cf2c8ef2f228f780cf</Application>
  <Pages>7</Pages>
  <Words>2226</Words>
  <Characters>13562</Characters>
  <CharactersWithSpaces>15638</CharactersWithSpaces>
  <Paragraphs>266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2017-03-24T19:08:00Z</dcterms:created>
  <dc:creator>user</dc:creator>
  <dc:description/>
  <dc:language>sk-SK</dc:language>
  <cp:lastModifiedBy/>
  <cp:lastPrinted>2023-03-18T11:44:00Z</cp:lastPrinted>
  <dcterms:modified xsi:type="dcterms:W3CDTF">2023-03-18T11:43:39Z</dcterms:modified>
  <cp:revision>13</cp:revision>
  <dc:subject/>
  <dc:title>Návrh</dc:title>
</cp:coreProperties>
</file>