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F1F20" w:rsidRDefault="00E30C31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color w:val="000000"/>
          <w:sz w:val="20"/>
          <w:szCs w:val="20"/>
        </w:rPr>
        <w:t xml:space="preserve">Poznámky Úč MÚJ 3-01                                 IČO : 43915183     DIČ :     2022521908    </w:t>
      </w:r>
    </w:p>
    <w:p w:rsidR="003F1F20" w:rsidRDefault="00E30C31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   </w:t>
      </w:r>
    </w:p>
    <w:p w:rsidR="003F1F20" w:rsidRDefault="00E30C31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Čl. I Všeobecné údaje o účtovnej jednotke</w:t>
      </w:r>
    </w:p>
    <w:p w:rsidR="003F1F20" w:rsidRDefault="003F1F20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</w:p>
    <w:p w:rsidR="003F1F20" w:rsidRDefault="003F1F20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Čl. I (1) , (3) Všeobecné údaje</w:t>
      </w:r>
    </w:p>
    <w:p w:rsidR="003F1F20" w:rsidRDefault="003F1F20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P Čl. I (1) Obchodné meno účtovnej jednotky:   </w:t>
      </w: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HRV s.r.o.   Bratislavská 2078/27,   Trenčín 911 01 </w:t>
      </w:r>
    </w:p>
    <w:p w:rsidR="003F1F20" w:rsidRDefault="003F1F20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</w:p>
    <w:p w:rsidR="003F1F20" w:rsidRDefault="003F1F20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 (3) Priemerný </w:t>
      </w:r>
      <w:r w:rsidR="008246B7">
        <w:rPr>
          <w:rFonts w:ascii="Times New Roman" w:hAnsi="Times New Roman" w:cs="Times New Roman"/>
          <w:color w:val="000000"/>
          <w:sz w:val="20"/>
          <w:szCs w:val="20"/>
        </w:rPr>
        <w:t>počet zamestnancov :     5</w:t>
      </w:r>
      <w:r w:rsidR="00183841">
        <w:rPr>
          <w:rFonts w:ascii="Times New Roman" w:hAnsi="Times New Roman" w:cs="Times New Roman"/>
          <w:color w:val="000000"/>
          <w:sz w:val="20"/>
          <w:szCs w:val="20"/>
        </w:rPr>
        <w:t xml:space="preserve">      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   </w:t>
      </w:r>
    </w:p>
    <w:p w:rsidR="003F1F20" w:rsidRDefault="00E30C31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         </w:t>
      </w:r>
    </w:p>
    <w:p w:rsidR="003F1F20" w:rsidRDefault="00E30C31">
      <w:pPr>
        <w:keepNext/>
        <w:keepLines/>
        <w:widowControl w:val="0"/>
        <w:tabs>
          <w:tab w:val="left" w:pos="2947"/>
        </w:tabs>
        <w:autoSpaceDE w:val="0"/>
        <w:autoSpaceDN w:val="0"/>
        <w:adjustRightInd w:val="0"/>
        <w:spacing w:after="95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Čl. II Informácie o prijatých postupoch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0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Východiská pre zostavenie účtovnej závierky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0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Účtovná závierka Spoločnosti bola zostavená za predpokladu nepretržitého trvania jej činnosti v súlade so zákonom o účtovníctve platným v Slovenskej republike a nadväzujúcimi postupmi účtovania.</w:t>
      </w:r>
    </w:p>
    <w:p w:rsidR="003F1F20" w:rsidRDefault="00E30C31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Účtovné metódy a všeobecné účtovné zásady Spoločnosť aplikovala konzistentne s predchádzajúcim účtovným obdobím.</w:t>
      </w:r>
    </w:p>
    <w:p w:rsidR="003F1F20" w:rsidRDefault="003F1F20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Čl. II (1) Nepretržité pokračovanie účtovnej jednotky</w:t>
      </w:r>
    </w:p>
    <w:p w:rsidR="003F1F20" w:rsidRDefault="003F1F20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311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Čl. II (1) Účtovná uzávierka je zostavená za splnenie predpokladu, že účtovná jednotka bude nepretržite pokračovať vo svojej činnosti:</w:t>
      </w:r>
      <w:r>
        <w:rPr>
          <w:rFonts w:ascii="Times New Roman" w:hAnsi="Times New Roman" w:cs="Times New Roman"/>
          <w:color w:val="000000"/>
          <w:sz w:val="20"/>
          <w:szCs w:val="20"/>
        </w:rPr>
        <w:tab/>
        <w:t xml:space="preserve"> X Áno</w:t>
      </w:r>
      <w:r>
        <w:rPr>
          <w:rFonts w:ascii="Times New Roman" w:hAnsi="Times New Roman" w:cs="Times New Roman"/>
          <w:color w:val="000000"/>
          <w:sz w:val="20"/>
          <w:szCs w:val="20"/>
        </w:rPr>
        <w:tab/>
        <w:t xml:space="preserve">            Nie</w:t>
      </w:r>
    </w:p>
    <w:p w:rsidR="003F1F20" w:rsidRDefault="00E30C31">
      <w:pPr>
        <w:keepNext/>
        <w:keepLines/>
        <w:widowControl w:val="0"/>
        <w:tabs>
          <w:tab w:val="left" w:pos="2947"/>
        </w:tabs>
        <w:autoSpaceDE w:val="0"/>
        <w:autoSpaceDN w:val="0"/>
        <w:adjustRightInd w:val="0"/>
        <w:spacing w:after="282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Čl. II (2) Spôsob oceňovania jednotlivých položiek majetku a záväzkov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173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Čl. II (2) Spôsob oceňovania jednotlivých položiek majetku a záväzkov</w:t>
      </w:r>
    </w:p>
    <w:tbl>
      <w:tblPr>
        <w:tblW w:w="0" w:type="auto"/>
        <w:tblInd w:w="7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11"/>
        <w:gridCol w:w="2819"/>
        <w:gridCol w:w="2318"/>
      </w:tblGrid>
      <w:tr w:rsidR="003F1F20">
        <w:tc>
          <w:tcPr>
            <w:tcW w:w="3711" w:type="dxa"/>
            <w:tcBorders>
              <w:top w:val="single" w:sz="6" w:space="0" w:color="000001"/>
              <w:left w:val="single" w:sz="6" w:space="0" w:color="000001"/>
              <w:bottom w:val="single" w:sz="8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Popis položky</w:t>
            </w:r>
          </w:p>
        </w:tc>
        <w:tc>
          <w:tcPr>
            <w:tcW w:w="2819" w:type="dxa"/>
            <w:tcBorders>
              <w:top w:val="single" w:sz="6" w:space="0" w:color="000001"/>
              <w:left w:val="single" w:sz="6" w:space="0" w:color="000001"/>
              <w:bottom w:val="single" w:sz="8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Ocenenie majetku a záväzkov</w:t>
            </w:r>
          </w:p>
        </w:tc>
        <w:tc>
          <w:tcPr>
            <w:tcW w:w="2318" w:type="dxa"/>
            <w:tcBorders>
              <w:top w:val="single" w:sz="6" w:space="0" w:color="000001"/>
              <w:left w:val="single" w:sz="6" w:space="0" w:color="000001"/>
              <w:bottom w:val="single" w:sz="8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Poznámka k oceneniu</w:t>
            </w:r>
          </w:p>
        </w:tc>
      </w:tr>
      <w:tr w:rsidR="003F1F20">
        <w:tc>
          <w:tcPr>
            <w:tcW w:w="3711" w:type="dxa"/>
            <w:tcBorders>
              <w:top w:val="single" w:sz="8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Dlhodobý nehmotný majetok</w:t>
            </w:r>
          </w:p>
        </w:tc>
        <w:tc>
          <w:tcPr>
            <w:tcW w:w="2819" w:type="dxa"/>
            <w:tcBorders>
              <w:top w:val="single" w:sz="8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obstarávacou cenou</w:t>
            </w:r>
          </w:p>
        </w:tc>
        <w:tc>
          <w:tcPr>
            <w:tcW w:w="2318" w:type="dxa"/>
            <w:tcBorders>
              <w:top w:val="single" w:sz="8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3F1F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1F20">
        <w:tc>
          <w:tcPr>
            <w:tcW w:w="371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Dlhodobý hmotný majetok</w:t>
            </w:r>
          </w:p>
        </w:tc>
        <w:tc>
          <w:tcPr>
            <w:tcW w:w="281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obstarávacou cenou</w:t>
            </w:r>
          </w:p>
        </w:tc>
        <w:tc>
          <w:tcPr>
            <w:tcW w:w="23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3F1F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1F20">
        <w:tc>
          <w:tcPr>
            <w:tcW w:w="371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Dlhodobý finančný majetok</w:t>
            </w:r>
          </w:p>
        </w:tc>
        <w:tc>
          <w:tcPr>
            <w:tcW w:w="281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menovitou hodnotou</w:t>
            </w:r>
          </w:p>
        </w:tc>
        <w:tc>
          <w:tcPr>
            <w:tcW w:w="23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3F1F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1F20">
        <w:tc>
          <w:tcPr>
            <w:tcW w:w="371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Zásoby</w:t>
            </w:r>
          </w:p>
        </w:tc>
        <w:tc>
          <w:tcPr>
            <w:tcW w:w="281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obstarávacou cenou</w:t>
            </w:r>
          </w:p>
        </w:tc>
        <w:tc>
          <w:tcPr>
            <w:tcW w:w="23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3F1F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1F20">
        <w:tc>
          <w:tcPr>
            <w:tcW w:w="371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Pohľadávky</w:t>
            </w:r>
          </w:p>
        </w:tc>
        <w:tc>
          <w:tcPr>
            <w:tcW w:w="281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menovitou hodnotou</w:t>
            </w:r>
          </w:p>
        </w:tc>
        <w:tc>
          <w:tcPr>
            <w:tcW w:w="23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3F1F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1F20">
        <w:tc>
          <w:tcPr>
            <w:tcW w:w="371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Krátkodobý finančný majetok</w:t>
            </w:r>
          </w:p>
        </w:tc>
        <w:tc>
          <w:tcPr>
            <w:tcW w:w="281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menovitou hodnotou</w:t>
            </w:r>
          </w:p>
        </w:tc>
        <w:tc>
          <w:tcPr>
            <w:tcW w:w="23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3F1F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1F20">
        <w:tc>
          <w:tcPr>
            <w:tcW w:w="371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Záväzky vrátane rezerv, dlhopisov, pôžičiek, úverov</w:t>
            </w:r>
          </w:p>
        </w:tc>
        <w:tc>
          <w:tcPr>
            <w:tcW w:w="281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menovitou hodnotou</w:t>
            </w:r>
          </w:p>
        </w:tc>
        <w:tc>
          <w:tcPr>
            <w:tcW w:w="23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3F1F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1F20">
        <w:tc>
          <w:tcPr>
            <w:tcW w:w="371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Derivátové operácie</w:t>
            </w:r>
          </w:p>
        </w:tc>
        <w:tc>
          <w:tcPr>
            <w:tcW w:w="281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3F1F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3F1F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1F20" w:rsidRDefault="003F1F20">
      <w:pPr>
        <w:keepNext/>
        <w:keepLines/>
        <w:widowControl w:val="0"/>
        <w:tabs>
          <w:tab w:val="left" w:pos="2947"/>
        </w:tabs>
        <w:autoSpaceDE w:val="0"/>
        <w:autoSpaceDN w:val="0"/>
        <w:adjustRightInd w:val="0"/>
        <w:spacing w:after="282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keepNext/>
        <w:keepLines/>
        <w:widowControl w:val="0"/>
        <w:tabs>
          <w:tab w:val="left" w:pos="2947"/>
        </w:tabs>
        <w:autoSpaceDE w:val="0"/>
        <w:autoSpaceDN w:val="0"/>
        <w:adjustRightInd w:val="0"/>
        <w:spacing w:after="282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Čl. II (2) Spôsob oceňovania jednotlivých položiek majetku a záväzkov (účtovanie a úbytok zásob)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401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Čl. II (2) Spôsob oceňovania jednotlivých položiek majetku a záväzkov (účtovanie a úbytok zásob)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359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Pri účtovaní zásob postupovala účtovná jednotka podľa § 43 postupov účtovania v PÚ:</w:t>
      </w:r>
    </w:p>
    <w:p w:rsidR="007F5FFD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359" w:line="100" w:lineRule="atLeast"/>
        <w:ind w:left="82" w:hanging="82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              spôsobom A účtovania zásob     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359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   X     </w:t>
      </w:r>
      <w:r w:rsidR="007F5FFD">
        <w:rPr>
          <w:rFonts w:ascii="Times New Roman" w:hAnsi="Times New Roman" w:cs="Times New Roman"/>
          <w:color w:val="000000"/>
          <w:sz w:val="20"/>
          <w:szCs w:val="20"/>
        </w:rPr>
        <w:t xml:space="preserve">    </w:t>
      </w:r>
      <w:r>
        <w:rPr>
          <w:rFonts w:ascii="Times New Roman" w:hAnsi="Times New Roman" w:cs="Times New Roman"/>
          <w:color w:val="000000"/>
          <w:sz w:val="20"/>
          <w:szCs w:val="20"/>
        </w:rPr>
        <w:t>spôsobom B účtovania zásob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402" w:line="100" w:lineRule="atLeast"/>
        <w:ind w:left="82" w:hanging="82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lastRenderedPageBreak/>
        <w:t xml:space="preserve">Poznámky Úč MÚJ 3-01                      IČO : 43915183     DIČ :     2022521908             </w:t>
      </w:r>
    </w:p>
    <w:p w:rsidR="007F5FFD" w:rsidRDefault="007F5FFD">
      <w:pPr>
        <w:widowControl w:val="0"/>
        <w:tabs>
          <w:tab w:val="left" w:pos="2947"/>
        </w:tabs>
        <w:autoSpaceDE w:val="0"/>
        <w:autoSpaceDN w:val="0"/>
        <w:adjustRightInd w:val="0"/>
        <w:spacing w:after="402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402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Úbytok zásob rovnakého druhu účtovná jednotka oceňovala: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111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X    váženým aritmetickým priemerom z obstarávacích cien alebo vlastných nákladov 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111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       metódou FIFO (1. cena na ocenenie prírastku zásob sa použila ako 1. cena na ocenenie úbytku zásob) iným spôsobom:</w:t>
      </w:r>
    </w:p>
    <w:p w:rsidR="003F1F20" w:rsidRDefault="003F1F20">
      <w:pPr>
        <w:widowControl w:val="0"/>
        <w:tabs>
          <w:tab w:val="left" w:pos="2947"/>
        </w:tabs>
        <w:autoSpaceDE w:val="0"/>
        <w:autoSpaceDN w:val="0"/>
        <w:adjustRightInd w:val="0"/>
        <w:spacing w:after="111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keepNext/>
        <w:keepLines/>
        <w:widowControl w:val="0"/>
        <w:tabs>
          <w:tab w:val="left" w:pos="2947"/>
        </w:tabs>
        <w:autoSpaceDE w:val="0"/>
        <w:autoSpaceDN w:val="0"/>
        <w:adjustRightInd w:val="0"/>
        <w:spacing w:after="282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Čl. II (3) Spôsob zostavenia odpisového plánu pre jednotlivé druhy dlhodobého majetku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199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Čl. II (3) Spôsob zostavenia odpisového plánu pre jednotlivé druhy dlhodobého majetku</w:t>
      </w:r>
    </w:p>
    <w:p w:rsidR="003F1F20" w:rsidRDefault="003F1F20">
      <w:pPr>
        <w:widowControl w:val="0"/>
        <w:tabs>
          <w:tab w:val="left" w:pos="2947"/>
        </w:tabs>
        <w:autoSpaceDE w:val="0"/>
        <w:autoSpaceDN w:val="0"/>
        <w:adjustRightInd w:val="0"/>
        <w:spacing w:after="199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209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    X      Dlhodobý nehmotný majetok</w:t>
      </w:r>
      <w:r>
        <w:rPr>
          <w:rFonts w:ascii="Times New Roman" w:hAnsi="Times New Roman" w:cs="Times New Roman"/>
          <w:color w:val="000000"/>
          <w:sz w:val="20"/>
          <w:szCs w:val="20"/>
        </w:rPr>
        <w:t>:</w:t>
      </w:r>
      <w:r>
        <w:rPr>
          <w:rFonts w:ascii="Times New Roman" w:hAnsi="Times New Roman" w:cs="Times New Roman"/>
          <w:color w:val="000000"/>
          <w:sz w:val="20"/>
          <w:szCs w:val="20"/>
        </w:rPr>
        <w:tab/>
        <w:t>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</w:r>
    </w:p>
    <w:p w:rsidR="003F1F20" w:rsidRDefault="00E30C31">
      <w:pPr>
        <w:keepNext/>
        <w:keepLines/>
        <w:widowControl w:val="0"/>
        <w:tabs>
          <w:tab w:val="left" w:pos="2947"/>
        </w:tabs>
        <w:autoSpaceDE w:val="0"/>
        <w:autoSpaceDN w:val="0"/>
        <w:adjustRightInd w:val="0"/>
        <w:spacing w:after="0" w:line="264" w:lineRule="auto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ab/>
        <w:t xml:space="preserve">       </w:t>
      </w: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Dlhodobý hmotný majetok:</w:t>
      </w: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z w:val="20"/>
          <w:szCs w:val="20"/>
        </w:rPr>
        <w:t>odpisový plán účtovných odpisov sa zostavil interným predpisom, v ktorom sa vychádzalo z predpokladaného opotrebenia zaraďovaného majetku zodpovedajúceho bežným podmienkam jeho používania. Účtovné a daňové odpisy sa nerovnajú.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198" w:line="252" w:lineRule="auto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   X         Dlhodobý hmotný majetok:</w:t>
      </w: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z w:val="20"/>
          <w:szCs w:val="20"/>
        </w:rPr>
        <w:t>odpisový plán účtovných odpisov sa zostavil interným predpisom, v ktorom sa vychádzalo z metód používaných pri vyčíslovaní daňových odpisov. Účtovné a daňové odpisy sa rovnajú.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272" w:line="252" w:lineRule="auto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Odpisový plán bol ovplyvnený týmito skutočnosťami:</w:t>
      </w:r>
    </w:p>
    <w:p w:rsidR="003F1F20" w:rsidRDefault="003F1F20">
      <w:pPr>
        <w:widowControl w:val="0"/>
        <w:tabs>
          <w:tab w:val="left" w:pos="2947"/>
        </w:tabs>
        <w:autoSpaceDE w:val="0"/>
        <w:autoSpaceDN w:val="0"/>
        <w:adjustRightInd w:val="0"/>
        <w:spacing w:after="272" w:line="252" w:lineRule="auto"/>
        <w:ind w:left="82" w:hanging="82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0" w:line="252" w:lineRule="auto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Spôsob zostavenia odpisového plánu pre jednotlivé druhy dlhodobého nehmotného a hmotného majetku</w:t>
      </w:r>
    </w:p>
    <w:tbl>
      <w:tblPr>
        <w:tblW w:w="0" w:type="auto"/>
        <w:tblInd w:w="11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91"/>
        <w:gridCol w:w="2021"/>
        <w:gridCol w:w="1909"/>
        <w:gridCol w:w="1956"/>
      </w:tblGrid>
      <w:tr w:rsidR="003F1F20">
        <w:tc>
          <w:tcPr>
            <w:tcW w:w="289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Druh majetku</w:t>
            </w:r>
          </w:p>
        </w:tc>
        <w:tc>
          <w:tcPr>
            <w:tcW w:w="202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Doba odpisovania</w:t>
            </w:r>
          </w:p>
        </w:tc>
        <w:tc>
          <w:tcPr>
            <w:tcW w:w="19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Sadzba odpisov</w:t>
            </w:r>
          </w:p>
        </w:tc>
        <w:tc>
          <w:tcPr>
            <w:tcW w:w="19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Odpisová metóda</w:t>
            </w:r>
          </w:p>
        </w:tc>
      </w:tr>
    </w:tbl>
    <w:p w:rsidR="003F1F20" w:rsidRDefault="00E30C31">
      <w:pPr>
        <w:keepNext/>
        <w:keepLines/>
        <w:widowControl w:val="0"/>
        <w:tabs>
          <w:tab w:val="left" w:pos="2947"/>
        </w:tabs>
        <w:autoSpaceDE w:val="0"/>
        <w:autoSpaceDN w:val="0"/>
        <w:adjustRightInd w:val="0"/>
        <w:spacing w:after="282" w:line="264" w:lineRule="auto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Miesto pre ďalšie záznamy</w:t>
      </w:r>
    </w:p>
    <w:p w:rsidR="003F1F20" w:rsidRDefault="003F1F20">
      <w:pPr>
        <w:widowControl w:val="0"/>
        <w:tabs>
          <w:tab w:val="left" w:pos="2947"/>
        </w:tabs>
        <w:autoSpaceDE w:val="0"/>
        <w:autoSpaceDN w:val="0"/>
        <w:adjustRightInd w:val="0"/>
        <w:spacing w:after="8362" w:line="252" w:lineRule="auto"/>
        <w:ind w:left="82" w:hanging="82"/>
        <w:rPr>
          <w:rFonts w:ascii="Times New Roman" w:hAnsi="Times New Roman" w:cs="Times New Roman"/>
          <w:sz w:val="24"/>
          <w:szCs w:val="24"/>
        </w:rPr>
      </w:pPr>
    </w:p>
    <w:p w:rsidR="00E30C31" w:rsidRDefault="00E30C31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sk"/>
        </w:rPr>
      </w:pPr>
    </w:p>
    <w:sectPr w:rsidR="00E30C31" w:rsidSect="007F5FFD">
      <w:pgSz w:w="12240" w:h="15840"/>
      <w:pgMar w:top="1440" w:right="1440" w:bottom="1134" w:left="1440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5FFD"/>
    <w:rsid w:val="00183841"/>
    <w:rsid w:val="003F1F20"/>
    <w:rsid w:val="004E1F7F"/>
    <w:rsid w:val="007F5FFD"/>
    <w:rsid w:val="008246B7"/>
    <w:rsid w:val="00B339E7"/>
    <w:rsid w:val="00BB5FBD"/>
    <w:rsid w:val="00E30C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B1C6E2E3-6A9B-4C58-A0E9-723BFDAAFC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513</Words>
  <Characters>2927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uctovnik</dc:creator>
  <cp:lastModifiedBy>uctovnik</cp:lastModifiedBy>
  <cp:revision>2</cp:revision>
  <dcterms:created xsi:type="dcterms:W3CDTF">2023-03-20T12:54:00Z</dcterms:created>
  <dcterms:modified xsi:type="dcterms:W3CDTF">2023-03-20T12:54:00Z</dcterms:modified>
</cp:coreProperties>
</file>