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97255F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 xml:space="preserve">Poznámky  Úč  POD  </w:t>
            </w:r>
          </w:p>
        </w:tc>
      </w:tr>
    </w:tbl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>IČO:</w:t>
      </w:r>
      <w:r w:rsidR="00F14365">
        <w:rPr>
          <w:rFonts w:cs="Times New Roman"/>
          <w:sz w:val="24"/>
          <w:szCs w:val="24"/>
        </w:rPr>
        <w:t>5</w:t>
      </w:r>
      <w:r w:rsidR="004748A8">
        <w:rPr>
          <w:rFonts w:cs="Times New Roman"/>
          <w:sz w:val="24"/>
          <w:szCs w:val="24"/>
        </w:rPr>
        <w:t>0</w:t>
      </w:r>
      <w:r w:rsidR="00F14365">
        <w:rPr>
          <w:rFonts w:cs="Times New Roman"/>
          <w:sz w:val="24"/>
          <w:szCs w:val="24"/>
        </w:rPr>
        <w:t>42</w:t>
      </w:r>
      <w:r w:rsidR="004748A8">
        <w:rPr>
          <w:rFonts w:cs="Times New Roman"/>
          <w:sz w:val="24"/>
          <w:szCs w:val="24"/>
        </w:rPr>
        <w:t>7784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</w:t>
      </w:r>
      <w:r w:rsidR="004748A8">
        <w:rPr>
          <w:rFonts w:cs="Times New Roman"/>
          <w:sz w:val="24"/>
          <w:szCs w:val="24"/>
        </w:rPr>
        <w:t>1</w:t>
      </w:r>
      <w:r>
        <w:rPr>
          <w:rFonts w:cs="Times New Roman"/>
          <w:sz w:val="24"/>
          <w:szCs w:val="24"/>
        </w:rPr>
        <w:t>2</w:t>
      </w:r>
      <w:r w:rsidR="00F14365">
        <w:rPr>
          <w:rFonts w:cs="Times New Roman"/>
          <w:sz w:val="24"/>
          <w:szCs w:val="24"/>
        </w:rPr>
        <w:t>0</w:t>
      </w:r>
      <w:r w:rsidR="004748A8">
        <w:rPr>
          <w:rFonts w:cs="Times New Roman"/>
          <w:sz w:val="24"/>
          <w:szCs w:val="24"/>
        </w:rPr>
        <w:t>331565</w:t>
      </w:r>
    </w:p>
    <w:p w:rsidR="00F14365" w:rsidRDefault="00F14365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</w:t>
      </w:r>
      <w:r w:rsidR="00881CEB">
        <w:rPr>
          <w:rFonts w:ascii="Arial Narrow" w:hAnsi="Arial Narrow"/>
          <w:b/>
        </w:rPr>
        <w:t>2</w:t>
      </w:r>
      <w:r w:rsidR="0097255F">
        <w:rPr>
          <w:rFonts w:ascii="Arial Narrow" w:hAnsi="Arial Narrow"/>
          <w:b/>
        </w:rPr>
        <w:t>2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>pre malé účtovné jednotky</w:t>
      </w:r>
      <w:r>
        <w:rPr>
          <w:rFonts w:ascii="Arial Narrow" w:hAnsi="Arial Narrow"/>
        </w:rPr>
        <w:t xml:space="preserve"> </w:t>
      </w:r>
    </w:p>
    <w:p w:rsidR="002F2BCC" w:rsidRDefault="002F2BCC" w:rsidP="002F2BCC">
      <w:pPr>
        <w:rPr>
          <w:rFonts w:ascii="Arial Narrow" w:hAnsi="Arial Narrow"/>
        </w:rPr>
      </w:pP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C64869" w:rsidRDefault="00C64869" w:rsidP="00C64869">
      <w:pPr>
        <w:rPr>
          <w:rFonts w:ascii="Arial Narrow" w:hAnsi="Arial Narrow"/>
        </w:rPr>
      </w:pPr>
    </w:p>
    <w:p w:rsidR="00C64869" w:rsidRDefault="00C64869" w:rsidP="00C64869">
      <w:pPr>
        <w:rPr>
          <w:rFonts w:ascii="Arial Narrow" w:hAnsi="Arial Narrow"/>
        </w:rPr>
      </w:pPr>
      <w:r>
        <w:rPr>
          <w:rFonts w:ascii="Arial Narrow" w:hAnsi="Arial Narrow" w:cs="Arial Narrow"/>
        </w:rPr>
        <w:t xml:space="preserve">1) </w:t>
      </w:r>
      <w:r>
        <w:rPr>
          <w:rFonts w:ascii="Arial Narrow" w:hAnsi="Arial Narrow" w:cs="Arial Narrow"/>
          <w:u w:val="single"/>
        </w:rPr>
        <w:t>Základné informácie o účtovnej jednotke</w:t>
      </w:r>
      <w:r>
        <w:rPr>
          <w:rFonts w:ascii="Arial Narrow" w:hAnsi="Arial Narrow" w:cs="Arial Narrow"/>
        </w:rPr>
        <w:t>:</w:t>
      </w:r>
    </w:p>
    <w:tbl>
      <w:tblPr>
        <w:tblW w:w="4900" w:type="pct"/>
        <w:tblLook w:val="00A0"/>
      </w:tblPr>
      <w:tblGrid>
        <w:gridCol w:w="2872"/>
        <w:gridCol w:w="7596"/>
      </w:tblGrid>
      <w:tr w:rsidR="00C64869" w:rsidTr="00C64869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 w:rsidP="004748A8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 </w:t>
            </w:r>
            <w:r w:rsidR="004748A8">
              <w:rPr>
                <w:rFonts w:ascii="Arial Narrow" w:hAnsi="Arial Narrow" w:cs="Arial Narrow"/>
                <w:b/>
              </w:rPr>
              <w:t>HALÁS KOVOOBRÁBANIE</w:t>
            </w:r>
            <w:r>
              <w:rPr>
                <w:rFonts w:ascii="Arial Narrow" w:hAnsi="Arial Narrow" w:cs="Arial Narrow"/>
                <w:b/>
              </w:rPr>
              <w:t>, s.r.o.</w:t>
            </w:r>
          </w:p>
        </w:tc>
      </w:tr>
      <w:tr w:rsidR="00C64869" w:rsidTr="00C64869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 w:rsidP="004748A8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94</w:t>
            </w:r>
            <w:r w:rsidR="004748A8">
              <w:rPr>
                <w:rFonts w:ascii="Arial Narrow" w:hAnsi="Arial Narrow" w:cs="Arial Narrow"/>
              </w:rPr>
              <w:t>2</w:t>
            </w:r>
            <w:r w:rsidR="00F14365">
              <w:rPr>
                <w:rFonts w:ascii="Arial Narrow" w:hAnsi="Arial Narrow" w:cs="Arial Narrow"/>
              </w:rPr>
              <w:t xml:space="preserve"> 0</w:t>
            </w:r>
            <w:r w:rsidR="004748A8">
              <w:rPr>
                <w:rFonts w:ascii="Arial Narrow" w:hAnsi="Arial Narrow" w:cs="Arial Narrow"/>
              </w:rPr>
              <w:t>1</w:t>
            </w:r>
            <w:r w:rsidR="00F14365">
              <w:rPr>
                <w:rFonts w:ascii="Arial Narrow" w:hAnsi="Arial Narrow" w:cs="Arial Narrow"/>
              </w:rPr>
              <w:t xml:space="preserve"> </w:t>
            </w:r>
            <w:r w:rsidR="004748A8">
              <w:rPr>
                <w:rFonts w:ascii="Arial Narrow" w:hAnsi="Arial Narrow" w:cs="Arial Narrow"/>
              </w:rPr>
              <w:t>Šurany</w:t>
            </w:r>
            <w:r w:rsidR="00F14365">
              <w:rPr>
                <w:rFonts w:ascii="Arial Narrow" w:hAnsi="Arial Narrow" w:cs="Arial Narrow"/>
              </w:rPr>
              <w:t>,</w:t>
            </w:r>
            <w:r w:rsidR="004748A8">
              <w:rPr>
                <w:rFonts w:ascii="Arial Narrow" w:hAnsi="Arial Narrow" w:cs="Arial Narrow"/>
              </w:rPr>
              <w:t>Slovenská 54</w:t>
            </w:r>
          </w:p>
        </w:tc>
      </w:tr>
      <w:tr w:rsidR="00C64869" w:rsidTr="00C64869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Spoločnosť s ručením obmedzeným</w:t>
            </w:r>
          </w:p>
        </w:tc>
      </w:tr>
      <w:tr w:rsidR="00C64869" w:rsidTr="00C64869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4748A8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Zápis do obchodného registra: </w:t>
            </w:r>
            <w:r w:rsidR="001E285C">
              <w:rPr>
                <w:rFonts w:ascii="Arial Narrow" w:hAnsi="Arial Narrow" w:cs="Arial Narrow"/>
              </w:rPr>
              <w:t>0</w:t>
            </w:r>
            <w:r w:rsidR="004748A8">
              <w:rPr>
                <w:rFonts w:ascii="Arial Narrow" w:hAnsi="Arial Narrow" w:cs="Arial Narrow"/>
              </w:rPr>
              <w:t>5</w:t>
            </w:r>
            <w:r>
              <w:rPr>
                <w:rFonts w:ascii="Arial Narrow" w:hAnsi="Arial Narrow" w:cs="Arial Narrow"/>
              </w:rPr>
              <w:t>.</w:t>
            </w:r>
            <w:r w:rsidR="001E285C">
              <w:rPr>
                <w:rFonts w:ascii="Arial Narrow" w:hAnsi="Arial Narrow" w:cs="Arial Narrow"/>
              </w:rPr>
              <w:t>0</w:t>
            </w:r>
            <w:r w:rsidR="004748A8">
              <w:rPr>
                <w:rFonts w:ascii="Arial Narrow" w:hAnsi="Arial Narrow" w:cs="Arial Narrow"/>
              </w:rPr>
              <w:t>8</w:t>
            </w:r>
            <w:r>
              <w:rPr>
                <w:rFonts w:ascii="Arial Narrow" w:hAnsi="Arial Narrow" w:cs="Arial Narrow"/>
              </w:rPr>
              <w:t>.20</w:t>
            </w:r>
            <w:r w:rsidR="001E285C">
              <w:rPr>
                <w:rFonts w:ascii="Arial Narrow" w:hAnsi="Arial Narrow" w:cs="Arial Narrow"/>
              </w:rPr>
              <w:t>1</w:t>
            </w:r>
            <w:r w:rsidR="004748A8">
              <w:rPr>
                <w:rFonts w:ascii="Arial Narrow" w:hAnsi="Arial Narrow" w:cs="Arial Narrow"/>
              </w:rPr>
              <w:t>6</w:t>
            </w:r>
            <w:r>
              <w:rPr>
                <w:rFonts w:ascii="Arial Narrow" w:hAnsi="Arial Narrow" w:cs="Arial Narrow"/>
              </w:rPr>
              <w:t xml:space="preserve"> </w:t>
            </w:r>
          </w:p>
        </w:tc>
      </w:tr>
      <w:tr w:rsidR="00C64869" w:rsidTr="00C64869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4748A8" w:rsidP="00911DC7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Kovoobrábanie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4748A8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Spoločnosť </w:t>
            </w:r>
            <w:r w:rsidR="004748A8">
              <w:rPr>
                <w:rFonts w:ascii="Arial Narrow" w:hAnsi="Arial Narrow" w:cs="Arial Narrow"/>
              </w:rPr>
              <w:t>HALÁS KOVOOBRÁBANIE</w:t>
            </w:r>
            <w:r>
              <w:rPr>
                <w:rFonts w:ascii="Arial Narrow" w:hAnsi="Arial Narrow" w:cs="Arial Narrow"/>
              </w:rPr>
              <w:t xml:space="preserve"> s.r.o. nie je subjektom verejného záujmu (§ 2/14 ZoU).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97255F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Kalendárny rok 20</w:t>
            </w:r>
            <w:r w:rsidR="00D35A5C">
              <w:rPr>
                <w:rFonts w:ascii="Arial Narrow" w:hAnsi="Arial Narrow" w:cs="Arial Narrow"/>
              </w:rPr>
              <w:t>2</w:t>
            </w:r>
            <w:r w:rsidR="0097255F">
              <w:rPr>
                <w:rFonts w:ascii="Arial Narrow" w:hAnsi="Arial Narrow" w:cs="Arial Narrow"/>
              </w:rPr>
              <w:t>2</w:t>
            </w: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C64869" w:rsidP="00C64869">
      <w:pPr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 xml:space="preserve"> </w:t>
      </w:r>
      <w:r w:rsidR="001E285C">
        <w:rPr>
          <w:rFonts w:ascii="Arial Narrow" w:hAnsi="Arial Narrow" w:cs="Arial Narrow"/>
          <w:bCs/>
        </w:rPr>
        <w:t>Informácia o netto Aktívach a Čistom obrate:</w:t>
      </w:r>
    </w:p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97255F">
            <w:pPr>
              <w:jc w:val="both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1761465</w:t>
            </w: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97255F" w:rsidP="0097255F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2112170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rPr>
                <w:sz w:val="24"/>
                <w:szCs w:val="24"/>
              </w:rPr>
            </w:pPr>
          </w:p>
        </w:tc>
      </w:tr>
      <w:tr w:rsidR="00C64869" w:rsidTr="00C64869">
        <w:trPr>
          <w:trHeight w:val="430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97255F" w:rsidP="0006406D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2700410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06406D" w:rsidP="0097255F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</w:t>
            </w:r>
            <w:r w:rsidR="0097255F">
              <w:rPr>
                <w:rFonts w:ascii="Arial Narrow" w:hAnsi="Arial Narrow" w:cs="Arial Narrow"/>
                <w:b/>
                <w:bCs/>
              </w:rPr>
              <w:t>2507272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772365">
            <w:pPr>
              <w:jc w:val="both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4</w:t>
            </w:r>
            <w:r w:rsidR="0006406D">
              <w:rPr>
                <w:rFonts w:ascii="Arial Narrow" w:eastAsia="Times New Roman" w:hAnsi="Arial Narrow" w:cs="Arial Narrow"/>
                <w:b/>
                <w:bCs/>
              </w:rPr>
              <w:t>5</w:t>
            </w: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D35A5C" w:rsidP="0097255F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</w:t>
            </w:r>
            <w:r w:rsidR="0097255F">
              <w:rPr>
                <w:rFonts w:ascii="Arial Narrow" w:hAnsi="Arial Narrow" w:cs="Arial Narrow"/>
                <w:b/>
                <w:bCs/>
              </w:rPr>
              <w:t>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97255F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 xml:space="preserve">Poznámky  Úč  POD  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 w:rsidR="00F857B4">
        <w:rPr>
          <w:rFonts w:cs="Times New Roman"/>
          <w:sz w:val="24"/>
          <w:szCs w:val="24"/>
        </w:rPr>
        <w:t>5</w:t>
      </w:r>
      <w:r w:rsidR="004748A8">
        <w:rPr>
          <w:rFonts w:cs="Times New Roman"/>
          <w:sz w:val="24"/>
          <w:szCs w:val="24"/>
        </w:rPr>
        <w:t>0427784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</w:t>
      </w:r>
      <w:r w:rsidR="004748A8">
        <w:rPr>
          <w:rFonts w:cs="Times New Roman"/>
          <w:sz w:val="24"/>
          <w:szCs w:val="24"/>
        </w:rPr>
        <w:t>120331565</w:t>
      </w:r>
    </w:p>
    <w:p w:rsidR="0075608D" w:rsidRDefault="0075608D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C64869" w:rsidP="00C64869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u w:val="single"/>
        </w:rPr>
        <w:t>Komentár:</w:t>
      </w:r>
      <w:r>
        <w:rPr>
          <w:rFonts w:ascii="Arial Narrow" w:hAnsi="Arial Narrow" w:cs="Arial Narrow"/>
        </w:rPr>
        <w:t xml:space="preserve"> UJ </w:t>
      </w:r>
      <w:r w:rsidR="001E285C">
        <w:rPr>
          <w:rFonts w:ascii="Arial Narrow" w:hAnsi="Arial Narrow" w:cs="Arial Narrow"/>
        </w:rPr>
        <w:t>aj keď nespĺňa ve</w:t>
      </w:r>
      <w:r>
        <w:rPr>
          <w:rFonts w:ascii="Arial Narrow" w:hAnsi="Arial Narrow" w:cs="Arial Narrow"/>
        </w:rPr>
        <w:t>ľkostn</w:t>
      </w:r>
      <w:r w:rsidR="001E285C">
        <w:rPr>
          <w:rFonts w:ascii="Arial Narrow" w:hAnsi="Arial Narrow" w:cs="Arial Narrow"/>
        </w:rPr>
        <w:t>e</w:t>
      </w:r>
      <w:r>
        <w:rPr>
          <w:rFonts w:ascii="Arial Narrow" w:hAnsi="Arial Narrow" w:cs="Arial Narrow"/>
        </w:rPr>
        <w:t xml:space="preserve"> podmienky na zatriedenie do veľkostnej skupiny – </w:t>
      </w:r>
      <w:r>
        <w:rPr>
          <w:rFonts w:ascii="Arial Narrow" w:hAnsi="Arial Narrow" w:cs="Arial Narrow"/>
          <w:b/>
        </w:rPr>
        <w:t xml:space="preserve">malá účtovná jednotka, </w:t>
      </w:r>
      <w:r w:rsidR="001E285C">
        <w:rPr>
          <w:rFonts w:ascii="Arial Narrow" w:hAnsi="Arial Narrow" w:cs="Arial Narrow"/>
        </w:rPr>
        <w:t xml:space="preserve">rozhodla sa </w:t>
      </w:r>
      <w:r w:rsidR="001E285C">
        <w:rPr>
          <w:rFonts w:ascii="Arial Narrow" w:hAnsi="Arial Narrow" w:cs="Arial Narrow"/>
          <w:b/>
        </w:rPr>
        <w:t xml:space="preserve"> </w:t>
      </w:r>
      <w:r>
        <w:rPr>
          <w:rFonts w:ascii="Arial Narrow" w:hAnsi="Arial Narrow" w:cs="Arial Narrow"/>
        </w:rPr>
        <w:t>pre</w:t>
      </w:r>
      <w:r w:rsidR="001E285C">
        <w:rPr>
          <w:rFonts w:ascii="Arial Narrow" w:hAnsi="Arial Narrow" w:cs="Arial Narrow"/>
        </w:rPr>
        <w:t xml:space="preserve"> </w:t>
      </w:r>
      <w:r>
        <w:rPr>
          <w:rFonts w:ascii="Arial Narrow" w:hAnsi="Arial Narrow" w:cs="Arial Narrow"/>
        </w:rPr>
        <w:t xml:space="preserve"> zosta</w:t>
      </w:r>
      <w:r w:rsidR="001E285C">
        <w:rPr>
          <w:rFonts w:ascii="Arial Narrow" w:hAnsi="Arial Narrow" w:cs="Arial Narrow"/>
        </w:rPr>
        <w:t>venie</w:t>
      </w:r>
      <w:r>
        <w:rPr>
          <w:rFonts w:ascii="Arial Narrow" w:hAnsi="Arial Narrow" w:cs="Arial Narrow"/>
        </w:rPr>
        <w:t xml:space="preserve"> účtovn</w:t>
      </w:r>
      <w:r w:rsidR="001E285C">
        <w:rPr>
          <w:rFonts w:ascii="Arial Narrow" w:hAnsi="Arial Narrow" w:cs="Arial Narrow"/>
        </w:rPr>
        <w:t>ej</w:t>
      </w:r>
      <w:r>
        <w:rPr>
          <w:rFonts w:ascii="Arial Narrow" w:hAnsi="Arial Narrow" w:cs="Arial Narrow"/>
        </w:rPr>
        <w:t xml:space="preserve"> závierk</w:t>
      </w:r>
      <w:r w:rsidR="001E285C">
        <w:rPr>
          <w:rFonts w:ascii="Arial Narrow" w:hAnsi="Arial Narrow" w:cs="Arial Narrow"/>
        </w:rPr>
        <w:t>y</w:t>
      </w:r>
      <w:r>
        <w:rPr>
          <w:rFonts w:ascii="Arial Narrow" w:hAnsi="Arial Narrow" w:cs="Arial Narrow"/>
        </w:rPr>
        <w:t xml:space="preserve"> podľa metodiky pre túto veľkostnú skupinu (</w:t>
      </w:r>
      <w:r>
        <w:rPr>
          <w:rFonts w:ascii="Arial Narrow" w:hAnsi="Arial Narrow"/>
        </w:rPr>
        <w:t>Opatrenie č.MF/23378/2014-74)</w:t>
      </w:r>
      <w:r>
        <w:rPr>
          <w:rFonts w:ascii="Arial Narrow" w:hAnsi="Arial Narrow" w:cs="Arial Narrow"/>
        </w:rPr>
        <w:t>.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C64869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Dátum s</w:t>
      </w:r>
      <w:r w:rsidR="00DA53A1" w:rsidRPr="00567C75">
        <w:rPr>
          <w:rFonts w:cs="Times New Roman"/>
        </w:rPr>
        <w:t>chválenia účtovnej závierky za bezprostredne predchádzajúce účtovné obdobie príslušným orgánom spoločnosti</w:t>
      </w:r>
      <w:r w:rsidR="004748A8">
        <w:rPr>
          <w:rFonts w:cs="Times New Roman"/>
        </w:rPr>
        <w:t xml:space="preserve">: </w:t>
      </w:r>
      <w:r w:rsidR="002C09A5">
        <w:rPr>
          <w:rFonts w:cs="Times New Roman"/>
        </w:rPr>
        <w:t xml:space="preserve"> účtovná  závierka za rok 20</w:t>
      </w:r>
      <w:r w:rsidR="0006406D">
        <w:rPr>
          <w:rFonts w:cs="Times New Roman"/>
        </w:rPr>
        <w:t>2</w:t>
      </w:r>
      <w:r w:rsidR="0097255F">
        <w:rPr>
          <w:rFonts w:cs="Times New Roman"/>
        </w:rPr>
        <w:t>1</w:t>
      </w:r>
      <w:r w:rsidR="002C09A5">
        <w:rPr>
          <w:rFonts w:cs="Times New Roman"/>
        </w:rPr>
        <w:t xml:space="preserve"> bola schválená </w:t>
      </w:r>
      <w:r w:rsidR="0006406D">
        <w:rPr>
          <w:rFonts w:cs="Times New Roman"/>
        </w:rPr>
        <w:t>2</w:t>
      </w:r>
      <w:r w:rsidR="0097255F">
        <w:rPr>
          <w:rFonts w:cs="Times New Roman"/>
        </w:rPr>
        <w:t>5</w:t>
      </w:r>
      <w:r w:rsidR="002C09A5">
        <w:rPr>
          <w:rFonts w:cs="Times New Roman"/>
        </w:rPr>
        <w:t>.</w:t>
      </w:r>
      <w:r w:rsidR="0006406D">
        <w:rPr>
          <w:rFonts w:cs="Times New Roman"/>
        </w:rPr>
        <w:t>03</w:t>
      </w:r>
      <w:r w:rsidR="002C09A5">
        <w:rPr>
          <w:rFonts w:cs="Times New Roman"/>
        </w:rPr>
        <w:t>.20</w:t>
      </w:r>
      <w:r w:rsidR="00D35A5C">
        <w:rPr>
          <w:rFonts w:cs="Times New Roman"/>
        </w:rPr>
        <w:t>2</w:t>
      </w:r>
      <w:r w:rsidR="0097255F">
        <w:rPr>
          <w:rFonts w:cs="Times New Roman"/>
        </w:rPr>
        <w:t>2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</w:t>
      </w:r>
      <w:r w:rsidR="00D35A5C">
        <w:rPr>
          <w:rFonts w:cs="Times New Roman"/>
        </w:rPr>
        <w:t>2</w:t>
      </w:r>
      <w:r w:rsidR="0097255F">
        <w:rPr>
          <w:rFonts w:cs="Times New Roman"/>
        </w:rPr>
        <w:t>2</w:t>
      </w:r>
      <w:r w:rsidRPr="00567C75">
        <w:rPr>
          <w:rFonts w:cs="Times New Roman"/>
        </w:rPr>
        <w:t xml:space="preserve"> je účtovná závierka zostavená ako riadna účtovná závierka za účtovné obdobie od </w:t>
      </w:r>
      <w:r w:rsidR="002C09A5">
        <w:rPr>
          <w:rFonts w:cs="Times New Roman"/>
        </w:rPr>
        <w:t>1</w:t>
      </w:r>
      <w:r w:rsidRPr="00567C75">
        <w:rPr>
          <w:rFonts w:cs="Times New Roman"/>
        </w:rPr>
        <w:t>.</w:t>
      </w:r>
      <w:r w:rsidR="002C09A5">
        <w:rPr>
          <w:rFonts w:cs="Times New Roman"/>
        </w:rPr>
        <w:t>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</w:t>
      </w:r>
      <w:r w:rsidR="00D35A5C">
        <w:rPr>
          <w:rFonts w:cs="Times New Roman"/>
        </w:rPr>
        <w:t>2</w:t>
      </w:r>
      <w:r w:rsidR="0097255F">
        <w:rPr>
          <w:rFonts w:cs="Times New Roman"/>
        </w:rPr>
        <w:t>2</w:t>
      </w:r>
      <w:r w:rsidRPr="00567C75">
        <w:rPr>
          <w:rFonts w:cs="Times New Roman"/>
        </w:rPr>
        <w:t xml:space="preserve"> do 31.12.20</w:t>
      </w:r>
      <w:r w:rsidR="00D35A5C">
        <w:rPr>
          <w:rFonts w:cs="Times New Roman"/>
        </w:rPr>
        <w:t>2</w:t>
      </w:r>
      <w:r w:rsidR="0097255F">
        <w:rPr>
          <w:rFonts w:cs="Times New Roman"/>
        </w:rPr>
        <w:t>2</w:t>
      </w:r>
    </w:p>
    <w:p w:rsid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C64869">
        <w:rPr>
          <w:rFonts w:cs="Times New Roman"/>
        </w:rPr>
        <w:t>Údaje o skupine účtovných jednotiek: spoločnosť nie je súčasťou žiadnej skupiny</w:t>
      </w:r>
    </w:p>
    <w:p w:rsidR="0075608D" w:rsidRPr="0075608D" w:rsidRDefault="0075608D" w:rsidP="0075608D">
      <w:pPr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individ.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9F3BED" w:rsidRDefault="009F3BED" w:rsidP="003C458B">
      <w:pPr>
        <w:pStyle w:val="Odsekzoznamu"/>
        <w:rPr>
          <w:rFonts w:cs="Times New Roman"/>
        </w:rPr>
      </w:pP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odhad rezerv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zistenie a vykázanie podmienených záväzkov a majetku</w:t>
      </w:r>
    </w:p>
    <w:p w:rsidR="0075608D" w:rsidRDefault="0075608D" w:rsidP="0075608D">
      <w:pPr>
        <w:rPr>
          <w:rFonts w:cs="Times New Roman"/>
        </w:rPr>
      </w:pPr>
    </w:p>
    <w:p w:rsidR="00F857B4" w:rsidRDefault="00F857B4" w:rsidP="0075608D">
      <w:pPr>
        <w:rPr>
          <w:rFonts w:cs="Times New Roman"/>
        </w:rPr>
      </w:pPr>
    </w:p>
    <w:p w:rsidR="0075608D" w:rsidRDefault="0075608D" w:rsidP="0075608D">
      <w:pPr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97255F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 xml:space="preserve">Poznámky  Úč  POD  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 w:rsidR="003D7E53">
        <w:rPr>
          <w:rFonts w:cs="Times New Roman"/>
          <w:sz w:val="24"/>
          <w:szCs w:val="24"/>
        </w:rPr>
        <w:t>47</w:t>
      </w:r>
      <w:r w:rsidR="00F14365">
        <w:rPr>
          <w:rFonts w:cs="Times New Roman"/>
          <w:sz w:val="24"/>
          <w:szCs w:val="24"/>
        </w:rPr>
        <w:t>541342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F14365">
        <w:rPr>
          <w:rFonts w:cs="Times New Roman"/>
          <w:sz w:val="24"/>
          <w:szCs w:val="24"/>
        </w:rPr>
        <w:t>4026345</w:t>
      </w:r>
    </w:p>
    <w:p w:rsidR="004748A8" w:rsidRDefault="004748A8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4748A8" w:rsidRDefault="004748A8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4748A8" w:rsidRDefault="004748A8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4748A8" w:rsidRDefault="004748A8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4748A8" w:rsidRDefault="004748A8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4748A8" w:rsidRDefault="004748A8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75608D" w:rsidRDefault="0075608D" w:rsidP="004C25A1">
      <w:pPr>
        <w:pStyle w:val="Odsekzoznamu"/>
        <w:rPr>
          <w:rFonts w:cs="Times New Roman"/>
        </w:rPr>
      </w:pPr>
    </w:p>
    <w:p w:rsidR="00C97A55" w:rsidRPr="002C09A5" w:rsidRDefault="004C25A1" w:rsidP="002C09A5">
      <w:pPr>
        <w:ind w:left="720"/>
        <w:rPr>
          <w:rFonts w:cs="Times New Roman"/>
          <w:b/>
        </w:rPr>
      </w:pPr>
      <w:r w:rsidRPr="002C09A5">
        <w:rPr>
          <w:rFonts w:cs="Times New Roman"/>
        </w:rPr>
        <w:t>Spôsob ocenenia jednotlivých zložiek majetku</w:t>
      </w:r>
    </w:p>
    <w:p w:rsidR="00A86F47" w:rsidRDefault="00D00469" w:rsidP="00A86F47">
      <w:pPr>
        <w:pStyle w:val="Odsekzoznamu"/>
        <w:numPr>
          <w:ilvl w:val="0"/>
          <w:numId w:val="14"/>
        </w:numPr>
        <w:rPr>
          <w:rFonts w:cs="Times New Roman"/>
          <w:b/>
        </w:rPr>
      </w:pPr>
      <w:r>
        <w:rPr>
          <w:rFonts w:cs="Times New Roman"/>
          <w:b/>
        </w:rPr>
        <w:t xml:space="preserve">   </w:t>
      </w:r>
      <w:r w:rsidR="00A86F47">
        <w:rPr>
          <w:rFonts w:cs="Times New Roman"/>
          <w:b/>
        </w:rPr>
        <w:t xml:space="preserve">Dlhodobý nehmotný a dlhodobý hmotný majetok </w:t>
      </w:r>
    </w:p>
    <w:p w:rsidR="00A86F47" w:rsidRDefault="00A86F47" w:rsidP="00A86F4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Ocenenie pri obstaraní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Dlhodobý nehmotný a hmotný majetok sa vykazuje v obstarávacích cenách . Obstarávacia cena zahrňuje cenu obstarania a náklady súvisiace s obstarávaním (clo, dovozná prirážku, prepravu, montáž a pod.). Súčasťou obstarávacej ceny nie sú úroky z úverov.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vedie kategóriu dlhodobého nehmotného majetku, ktorého obstarávacia cena je 2400,- Eur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a viac. Dlhodobý hmotný majetok ktorého obstarávacia cena je viac ako 1700,- Eur .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 vedie kategóriu drobného dlhodobého hmotného majetku (ocenenie rovné alebo nižšie ako 1 700 €. Prípadný hmotný majetok, ktorého obstarávacia cena bude 1 700 € a menej, sa pri obstaraní bude účtovať do dlhodobého majetku na základe individuálneho posúdenia.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</w:p>
    <w:p w:rsidR="00A86F47" w:rsidRDefault="00A86F47" w:rsidP="00A86F4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Tvorba odpisového plánu</w:t>
      </w:r>
    </w:p>
    <w:p w:rsidR="00A86F47" w:rsidRDefault="00A86F47" w:rsidP="00A86F47">
      <w:pPr>
        <w:pStyle w:val="Odsekzoznamu"/>
        <w:ind w:left="1080"/>
        <w:rPr>
          <w:rFonts w:cs="Times New Roman"/>
          <w:b/>
        </w:rPr>
      </w:pPr>
    </w:p>
    <w:p w:rsidR="00A86F47" w:rsidRDefault="00A86F47" w:rsidP="00A86F47">
      <w:pPr>
        <w:pStyle w:val="Odsekzoznamu"/>
        <w:numPr>
          <w:ilvl w:val="0"/>
          <w:numId w:val="16"/>
        </w:numPr>
        <w:rPr>
          <w:rFonts w:cs="Times New Roman"/>
          <w:b/>
        </w:rPr>
      </w:pPr>
      <w:r>
        <w:rPr>
          <w:rFonts w:cs="Times New Roman"/>
          <w:b/>
        </w:rPr>
        <w:t>Dlhodobý nehmotný majetok:</w:t>
      </w:r>
    </w:p>
    <w:p w:rsidR="00A86F47" w:rsidRDefault="00A86F47" w:rsidP="00A86F47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nehmotného majetku sú stanovené vychádzajúc z predpokladu doby jeho používania. Odpisovať sa začína počnúc mesiacom zaradenia do používania. Predpokladaná doba používania je 4-roky.</w:t>
      </w:r>
    </w:p>
    <w:p w:rsidR="00A86F47" w:rsidRDefault="00A86F47" w:rsidP="00A86F47">
      <w:pPr>
        <w:pStyle w:val="Odsekzoznamu"/>
        <w:ind w:left="1440"/>
        <w:rPr>
          <w:rFonts w:cs="Times New Roman"/>
        </w:rPr>
      </w:pPr>
    </w:p>
    <w:p w:rsidR="00A86F47" w:rsidRDefault="00A86F47" w:rsidP="00A86F47">
      <w:pPr>
        <w:pStyle w:val="Odsekzoznamu"/>
        <w:numPr>
          <w:ilvl w:val="0"/>
          <w:numId w:val="16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A86F47" w:rsidRDefault="00A86F47" w:rsidP="00A86F47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:rsidR="00A86F47" w:rsidRDefault="00A86F47" w:rsidP="00A86F47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dlhodobého majetku do používania. </w:t>
      </w:r>
    </w:p>
    <w:p w:rsidR="00A86F47" w:rsidRDefault="00A86F47" w:rsidP="00A86F47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:rsidR="00A86F47" w:rsidRDefault="00A86F47" w:rsidP="00A86F47">
      <w:pPr>
        <w:pStyle w:val="Odsekzoznamu"/>
        <w:ind w:left="1440"/>
        <w:rPr>
          <w:rFonts w:cs="Times New Roman"/>
        </w:rPr>
      </w:pPr>
    </w:p>
    <w:p w:rsidR="00A86F47" w:rsidRDefault="00A86F47" w:rsidP="00A86F47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A86F47" w:rsidRDefault="00A86F47" w:rsidP="00A86F47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 DHM</w:t>
      </w:r>
    </w:p>
    <w:p w:rsidR="00A86F47" w:rsidRDefault="00A86F47" w:rsidP="00A86F47">
      <w:pPr>
        <w:pStyle w:val="Odsekzoznamu"/>
        <w:ind w:left="1440"/>
        <w:rPr>
          <w:rFonts w:cs="Times New Roman"/>
        </w:rPr>
      </w:pPr>
    </w:p>
    <w:p w:rsidR="00A86F47" w:rsidRDefault="00A86F47" w:rsidP="00A86F47">
      <w:pPr>
        <w:pStyle w:val="Odsekzoznamu"/>
        <w:ind w:left="144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A86F47" w:rsidRPr="00004E55" w:rsidTr="00107378">
        <w:trPr>
          <w:trHeight w:val="360"/>
        </w:trPr>
        <w:tc>
          <w:tcPr>
            <w:tcW w:w="3152" w:type="dxa"/>
          </w:tcPr>
          <w:p w:rsidR="00A86F47" w:rsidRPr="00004E55" w:rsidRDefault="00A86F47" w:rsidP="0097255F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Poznámky Úč POD </w:t>
            </w:r>
          </w:p>
        </w:tc>
      </w:tr>
    </w:tbl>
    <w:p w:rsidR="00A86F47" w:rsidRDefault="00A86F47" w:rsidP="00A86F47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>
        <w:rPr>
          <w:rFonts w:cs="Times New Roman"/>
          <w:sz w:val="24"/>
          <w:szCs w:val="24"/>
        </w:rPr>
        <w:t xml:space="preserve">50427784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2120331565</w:t>
      </w:r>
    </w:p>
    <w:p w:rsidR="00A86F47" w:rsidRDefault="00A86F47" w:rsidP="00A86F47">
      <w:pPr>
        <w:pStyle w:val="Odsekzoznamu"/>
        <w:ind w:left="1440"/>
        <w:rPr>
          <w:rFonts w:cs="Times New Roman"/>
        </w:rPr>
      </w:pPr>
    </w:p>
    <w:p w:rsidR="00A86F47" w:rsidRDefault="00A86F47" w:rsidP="00A86F47">
      <w:pPr>
        <w:pStyle w:val="Odsekzoznamu"/>
        <w:ind w:left="1440"/>
        <w:rPr>
          <w:rFonts w:cs="Times New Roman"/>
        </w:rPr>
      </w:pPr>
    </w:p>
    <w:p w:rsidR="00A86F47" w:rsidRDefault="00A86F47" w:rsidP="00A86F47">
      <w:pPr>
        <w:pStyle w:val="Odsekzoznamu"/>
        <w:ind w:left="1440"/>
        <w:rPr>
          <w:rFonts w:cs="Times New Roman"/>
        </w:rPr>
      </w:pPr>
    </w:p>
    <w:p w:rsidR="00004E55" w:rsidRDefault="00004E55" w:rsidP="00A86F47">
      <w:pPr>
        <w:ind w:left="720"/>
        <w:rPr>
          <w:rFonts w:cs="Times New Roman"/>
        </w:rPr>
      </w:pPr>
      <w:r>
        <w:rPr>
          <w:rFonts w:cs="Times New Roman"/>
          <w:b/>
        </w:rPr>
        <w:t>Zásoby</w:t>
      </w:r>
    </w:p>
    <w:p w:rsidR="003D7E53" w:rsidRDefault="003D7E53" w:rsidP="0097224F">
      <w:pPr>
        <w:pStyle w:val="Odsekzoznamu"/>
        <w:ind w:left="1080"/>
        <w:rPr>
          <w:rFonts w:cs="Times New Roman"/>
        </w:rPr>
      </w:pPr>
    </w:p>
    <w:p w:rsidR="00A86F47" w:rsidRDefault="000554C6" w:rsidP="003D7E53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Pri účtovaní zásob sa uplatňovala metóda </w:t>
      </w:r>
      <w:r w:rsidR="004748A8">
        <w:rPr>
          <w:rFonts w:cs="Times New Roman"/>
        </w:rPr>
        <w:t>A</w:t>
      </w:r>
      <w:r>
        <w:rPr>
          <w:rFonts w:cs="Times New Roman"/>
        </w:rPr>
        <w:t xml:space="preserve"> účtovania zásob. Nakupované zásoby sa oceňovali obstarávacou cenou</w:t>
      </w:r>
      <w:r w:rsidR="00A86F47">
        <w:rPr>
          <w:rFonts w:cs="Times New Roman"/>
        </w:rPr>
        <w:t xml:space="preserve"> a náklady súvisiace s ich obstaraním boli účtované na analyt. účte , ktoré sa po</w:t>
      </w:r>
    </w:p>
    <w:p w:rsidR="003D7E53" w:rsidRDefault="00A86F47" w:rsidP="003D7E53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Vyskladnení zásob rozpustí /prepočtom koef./ do nákladov</w:t>
      </w:r>
      <w:r w:rsidR="000554C6">
        <w:rPr>
          <w:rFonts w:cs="Times New Roman"/>
        </w:rPr>
        <w:t>. Opravné položky k zásobám sa v roku 20</w:t>
      </w:r>
      <w:r w:rsidR="00D35A5C">
        <w:rPr>
          <w:rFonts w:cs="Times New Roman"/>
        </w:rPr>
        <w:t>2</w:t>
      </w:r>
      <w:r w:rsidR="0097255F">
        <w:rPr>
          <w:rFonts w:cs="Times New Roman"/>
        </w:rPr>
        <w:t>2</w:t>
      </w:r>
      <w:r w:rsidR="000554C6">
        <w:rPr>
          <w:rFonts w:cs="Times New Roman"/>
        </w:rPr>
        <w:t xml:space="preserve"> netvorili.</w:t>
      </w:r>
    </w:p>
    <w:p w:rsidR="003D7E53" w:rsidRDefault="003D7E53" w:rsidP="003D7E53">
      <w:pPr>
        <w:pStyle w:val="Odsekzoznamu"/>
        <w:ind w:left="1080"/>
        <w:rPr>
          <w:rFonts w:cs="Times New Roman"/>
        </w:rPr>
      </w:pPr>
    </w:p>
    <w:p w:rsidR="003D7E53" w:rsidRPr="00A86F47" w:rsidRDefault="003D7E53" w:rsidP="00A86F47">
      <w:pPr>
        <w:ind w:left="720"/>
        <w:rPr>
          <w:rFonts w:cs="Times New Roman"/>
        </w:rPr>
      </w:pPr>
      <w:r w:rsidRPr="00A86F47">
        <w:rPr>
          <w:rFonts w:cs="Times New Roman"/>
          <w:b/>
        </w:rPr>
        <w:t>Pohľadávky</w:t>
      </w:r>
    </w:p>
    <w:p w:rsidR="003D7E53" w:rsidRDefault="003D7E53" w:rsidP="003D7E53">
      <w:pPr>
        <w:pStyle w:val="Odsekzoznamu"/>
        <w:ind w:left="1080"/>
        <w:rPr>
          <w:rFonts w:cs="Times New Roman"/>
        </w:rPr>
      </w:pPr>
    </w:p>
    <w:p w:rsidR="00D3457D" w:rsidRDefault="003D7E53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306609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4748A8" w:rsidRDefault="004748A8" w:rsidP="0097224F">
      <w:pPr>
        <w:pStyle w:val="Odsekzoznamu"/>
        <w:ind w:left="1080"/>
        <w:rPr>
          <w:rFonts w:cs="Times New Roman"/>
        </w:rPr>
      </w:pPr>
    </w:p>
    <w:p w:rsidR="00A86F47" w:rsidRPr="00A86F47" w:rsidRDefault="00A86F47" w:rsidP="00A86F47">
      <w:pPr>
        <w:ind w:left="720"/>
        <w:rPr>
          <w:rFonts w:cs="Times New Roman"/>
          <w:b/>
        </w:rPr>
      </w:pPr>
      <w:r w:rsidRPr="00A86F47">
        <w:rPr>
          <w:rFonts w:cs="Times New Roman"/>
          <w:b/>
        </w:rPr>
        <w:t>Peňažné prostriedky a ceniny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</w:p>
    <w:p w:rsidR="00A86F47" w:rsidRPr="00A86F47" w:rsidRDefault="00A86F47" w:rsidP="00A86F47">
      <w:pPr>
        <w:ind w:left="720"/>
        <w:rPr>
          <w:rFonts w:cs="Times New Roman"/>
        </w:rPr>
      </w:pPr>
      <w:r>
        <w:rPr>
          <w:rFonts w:cs="Times New Roman"/>
          <w:b/>
        </w:rPr>
        <w:t>N</w:t>
      </w:r>
      <w:r w:rsidRPr="00A86F47">
        <w:rPr>
          <w:rFonts w:cs="Times New Roman"/>
          <w:b/>
        </w:rPr>
        <w:t>áklady budúcich období, príjmy budúcich období , výdavky budúcich období a výnosy budúcich období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 Účtovná jednotka účtovala  o nákladoch budúcich období .</w:t>
      </w:r>
    </w:p>
    <w:p w:rsidR="004748A8" w:rsidRDefault="004748A8" w:rsidP="0097224F">
      <w:pPr>
        <w:pStyle w:val="Odsekzoznamu"/>
        <w:ind w:left="1080"/>
        <w:rPr>
          <w:rFonts w:cs="Times New Roman"/>
        </w:rPr>
      </w:pPr>
    </w:p>
    <w:p w:rsidR="004748A8" w:rsidRDefault="004748A8" w:rsidP="0097224F">
      <w:pPr>
        <w:pStyle w:val="Odsekzoznamu"/>
        <w:ind w:left="1080"/>
        <w:rPr>
          <w:rFonts w:cs="Times New Roman"/>
        </w:rPr>
      </w:pPr>
    </w:p>
    <w:p w:rsidR="00A86F47" w:rsidRPr="00A86F47" w:rsidRDefault="00A86F47" w:rsidP="00A86F47">
      <w:pPr>
        <w:ind w:left="709"/>
        <w:rPr>
          <w:rFonts w:cs="Times New Roman"/>
        </w:rPr>
      </w:pPr>
      <w:r w:rsidRPr="00A86F47">
        <w:rPr>
          <w:rFonts w:cs="Times New Roman"/>
          <w:b/>
        </w:rPr>
        <w:t>Rezervy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Krátkodobé rezervy sa tvoria ku dňu, ku ktorému sa zostavuje účtovná závierka vo výške potrebnej na plnenie záväzku v nasledujúcom účtovnom období. Účtovná jednotka tvorila krátkodobé rezervy ku dňu zostavenia účtovnej závierky za nevyčerpanú dovolenku.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</w:p>
    <w:p w:rsidR="00A86F47" w:rsidRPr="00A86F47" w:rsidRDefault="00A86F47" w:rsidP="00A86F47">
      <w:pPr>
        <w:ind w:left="709"/>
        <w:rPr>
          <w:rFonts w:cs="Times New Roman"/>
        </w:rPr>
      </w:pPr>
      <w:r w:rsidRPr="00A86F47">
        <w:rPr>
          <w:rFonts w:cs="Times New Roman"/>
          <w:b/>
        </w:rPr>
        <w:t>Záväzky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Záväzky pri ich vzniku sa oceňujú menovitou hodnotou. Záväzky nadobudnuté prevzatím sa nerealizovali.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</w:p>
    <w:p w:rsidR="00A86F47" w:rsidRPr="00F64274" w:rsidRDefault="00A86F47" w:rsidP="00F64274">
      <w:pPr>
        <w:ind w:left="567"/>
        <w:rPr>
          <w:rFonts w:cs="Times New Roman"/>
        </w:rPr>
      </w:pPr>
      <w:r w:rsidRPr="00F64274">
        <w:rPr>
          <w:rFonts w:cs="Times New Roman"/>
          <w:b/>
        </w:rPr>
        <w:t>Daň z príjmov</w:t>
      </w:r>
    </w:p>
    <w:p w:rsidR="00A86F47" w:rsidRDefault="00A86F47" w:rsidP="00A86F4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dane. O odloženej dani spoločnosť neúčtuje. Splatná daň z príjmov vo výške 2</w:t>
      </w:r>
      <w:r w:rsidR="00390A42">
        <w:rPr>
          <w:rFonts w:cs="Times New Roman"/>
        </w:rPr>
        <w:t>1</w:t>
      </w:r>
      <w:r>
        <w:rPr>
          <w:rFonts w:cs="Times New Roman"/>
        </w:rPr>
        <w:t>% daňového základu sa vypočítala po úprave účtovného výsledku hospodárenia upraveného o položky zvyšujúce a znižujúce základ dane.</w:t>
      </w:r>
      <w:r w:rsidR="0006406D">
        <w:rPr>
          <w:rFonts w:cs="Times New Roman"/>
        </w:rPr>
        <w:t xml:space="preserve"> UJ za rok 202</w:t>
      </w:r>
      <w:r w:rsidR="0097255F">
        <w:rPr>
          <w:rFonts w:cs="Times New Roman"/>
        </w:rPr>
        <w:t>2</w:t>
      </w:r>
      <w:r w:rsidR="0006406D">
        <w:rPr>
          <w:rFonts w:cs="Times New Roman"/>
        </w:rPr>
        <w:t xml:space="preserve"> vykazuje stratu.</w:t>
      </w:r>
    </w:p>
    <w:p w:rsidR="004748A8" w:rsidRDefault="004748A8" w:rsidP="0097224F">
      <w:pPr>
        <w:pStyle w:val="Odsekzoznamu"/>
        <w:ind w:left="1080"/>
        <w:rPr>
          <w:rFonts w:cs="Times New Roman"/>
        </w:rPr>
      </w:pPr>
    </w:p>
    <w:p w:rsidR="00F64274" w:rsidRDefault="00F64274" w:rsidP="0097224F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D00469" w:rsidRPr="00004E55" w:rsidTr="00DD24EB">
        <w:trPr>
          <w:trHeight w:val="360"/>
        </w:trPr>
        <w:tc>
          <w:tcPr>
            <w:tcW w:w="3152" w:type="dxa"/>
          </w:tcPr>
          <w:p w:rsidR="00D00469" w:rsidRPr="00004E55" w:rsidRDefault="00D00469" w:rsidP="0097255F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Poznámky Úč POD   </w:t>
            </w:r>
          </w:p>
        </w:tc>
      </w:tr>
    </w:tbl>
    <w:p w:rsidR="00D00469" w:rsidRDefault="00D00469" w:rsidP="00D00469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 w:rsidR="00D03119">
        <w:rPr>
          <w:rFonts w:cs="Times New Roman"/>
          <w:sz w:val="24"/>
          <w:szCs w:val="24"/>
        </w:rPr>
        <w:t>50427784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</w:t>
      </w:r>
      <w:r w:rsidR="00D03119">
        <w:rPr>
          <w:rFonts w:cs="Times New Roman"/>
          <w:sz w:val="24"/>
          <w:szCs w:val="24"/>
        </w:rPr>
        <w:t>12</w:t>
      </w:r>
      <w:r>
        <w:rPr>
          <w:rFonts w:cs="Times New Roman"/>
          <w:sz w:val="24"/>
          <w:szCs w:val="24"/>
        </w:rPr>
        <w:t>0</w:t>
      </w:r>
      <w:r w:rsidR="00D03119">
        <w:rPr>
          <w:rFonts w:cs="Times New Roman"/>
          <w:sz w:val="24"/>
          <w:szCs w:val="24"/>
        </w:rPr>
        <w:t>331565</w:t>
      </w:r>
    </w:p>
    <w:p w:rsidR="00D00469" w:rsidRDefault="00D00469" w:rsidP="0097224F">
      <w:pPr>
        <w:pStyle w:val="Odsekzoznamu"/>
        <w:ind w:left="1080"/>
        <w:rPr>
          <w:rFonts w:cs="Times New Roman"/>
        </w:rPr>
      </w:pP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D00469" w:rsidRPr="004C25A1" w:rsidRDefault="00D00469" w:rsidP="004C25A1">
      <w:pPr>
        <w:pStyle w:val="Odsekzoznamu"/>
        <w:ind w:left="1080"/>
        <w:rPr>
          <w:rFonts w:cs="Times New Roman"/>
        </w:rPr>
      </w:pP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D00469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 xml:space="preserve">poločnosť nevykazuje záväzky </w:t>
      </w:r>
      <w:r w:rsidR="001F0D16">
        <w:rPr>
          <w:rFonts w:cs="Times New Roman"/>
        </w:rPr>
        <w:t>z</w:t>
      </w:r>
      <w:r w:rsidR="00816E87">
        <w:rPr>
          <w:rFonts w:cs="Times New Roman"/>
        </w:rPr>
        <w:t>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B07B17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</w:t>
      </w:r>
      <w:r w:rsidR="00D35A5C">
        <w:rPr>
          <w:rFonts w:cs="Times New Roman"/>
        </w:rPr>
        <w:t>2</w:t>
      </w:r>
      <w:r w:rsidR="0097255F">
        <w:rPr>
          <w:rFonts w:cs="Times New Roman"/>
        </w:rPr>
        <w:t>2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</w:t>
      </w:r>
      <w:r w:rsidR="0032519D">
        <w:rPr>
          <w:rFonts w:cs="Times New Roman"/>
        </w:rPr>
        <w:t>2</w:t>
      </w:r>
      <w:r w:rsidR="0097255F">
        <w:rPr>
          <w:rFonts w:cs="Times New Roman"/>
        </w:rPr>
        <w:t>2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</w:t>
      </w:r>
      <w:r w:rsidR="00D03119">
        <w:rPr>
          <w:rFonts w:cs="Times New Roman"/>
        </w:rPr>
        <w:t>V Šuranoch</w:t>
      </w:r>
      <w:r w:rsidR="00B95766">
        <w:rPr>
          <w:rFonts w:cs="Times New Roman"/>
        </w:rPr>
        <w:t xml:space="preserve"> dň</w:t>
      </w:r>
      <w:r>
        <w:rPr>
          <w:rFonts w:cs="Times New Roman"/>
        </w:rPr>
        <w:t xml:space="preserve">a: </w:t>
      </w:r>
      <w:r w:rsidR="000554C6">
        <w:rPr>
          <w:rFonts w:cs="Times New Roman"/>
        </w:rPr>
        <w:t xml:space="preserve"> </w:t>
      </w:r>
      <w:r w:rsidR="001F0D16">
        <w:rPr>
          <w:rFonts w:cs="Times New Roman"/>
        </w:rPr>
        <w:t>23</w:t>
      </w:r>
      <w:r>
        <w:rPr>
          <w:rFonts w:cs="Times New Roman"/>
        </w:rPr>
        <w:t>.</w:t>
      </w:r>
      <w:r w:rsidR="00390A42">
        <w:rPr>
          <w:rFonts w:cs="Times New Roman"/>
        </w:rPr>
        <w:t>0</w:t>
      </w:r>
      <w:r w:rsidR="00E06308">
        <w:rPr>
          <w:rFonts w:cs="Times New Roman"/>
        </w:rPr>
        <w:t>3</w:t>
      </w:r>
      <w:r>
        <w:rPr>
          <w:rFonts w:cs="Times New Roman"/>
        </w:rPr>
        <w:t>.20</w:t>
      </w:r>
      <w:r w:rsidR="00772365">
        <w:rPr>
          <w:rFonts w:cs="Times New Roman"/>
        </w:rPr>
        <w:t>2</w:t>
      </w:r>
      <w:r w:rsidR="0097255F">
        <w:rPr>
          <w:rFonts w:cs="Times New Roman"/>
        </w:rPr>
        <w:t>3</w:t>
      </w: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Štatutárny orgán – konateľ</w:t>
      </w:r>
    </w:p>
    <w:p w:rsidR="00991CB3" w:rsidRP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    </w:t>
      </w:r>
      <w:r w:rsidR="00D03119">
        <w:rPr>
          <w:rFonts w:cs="Times New Roman"/>
        </w:rPr>
        <w:t>František Halás</w:t>
      </w:r>
      <w:r>
        <w:rPr>
          <w:rFonts w:cs="Times New Roman"/>
        </w:rPr>
        <w:t xml:space="preserve">  </w:t>
      </w:r>
    </w:p>
    <w:sectPr w:rsidR="00991CB3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D79C4" w:rsidRDefault="001D79C4" w:rsidP="009F539F">
      <w:pPr>
        <w:spacing w:after="0" w:line="240" w:lineRule="auto"/>
      </w:pPr>
      <w:r>
        <w:separator/>
      </w:r>
    </w:p>
  </w:endnote>
  <w:endnote w:type="continuationSeparator" w:id="1">
    <w:p w:rsidR="001D79C4" w:rsidRDefault="001D79C4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D79C4" w:rsidRDefault="001D79C4" w:rsidP="009F539F">
      <w:pPr>
        <w:spacing w:after="0" w:line="240" w:lineRule="auto"/>
      </w:pPr>
      <w:r>
        <w:separator/>
      </w:r>
    </w:p>
  </w:footnote>
  <w:footnote w:type="continuationSeparator" w:id="1">
    <w:p w:rsidR="001D79C4" w:rsidRDefault="001D79C4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1CDD02DC"/>
    <w:multiLevelType w:val="hybridMultilevel"/>
    <w:tmpl w:val="8D4AC544"/>
    <w:lvl w:ilvl="0" w:tplc="041B0017">
      <w:start w:val="1"/>
      <w:numFmt w:val="lowerLetter"/>
      <w:lvlText w:val="%1)"/>
      <w:lvlJc w:val="left"/>
      <w:pPr>
        <w:ind w:left="1834" w:hanging="360"/>
      </w:pPr>
    </w:lvl>
    <w:lvl w:ilvl="1" w:tplc="041B0019" w:tentative="1">
      <w:start w:val="1"/>
      <w:numFmt w:val="lowerLetter"/>
      <w:lvlText w:val="%2."/>
      <w:lvlJc w:val="left"/>
      <w:pPr>
        <w:ind w:left="2554" w:hanging="360"/>
      </w:pPr>
    </w:lvl>
    <w:lvl w:ilvl="2" w:tplc="041B001B" w:tentative="1">
      <w:start w:val="1"/>
      <w:numFmt w:val="lowerRoman"/>
      <w:lvlText w:val="%3."/>
      <w:lvlJc w:val="right"/>
      <w:pPr>
        <w:ind w:left="3274" w:hanging="180"/>
      </w:pPr>
    </w:lvl>
    <w:lvl w:ilvl="3" w:tplc="041B000F" w:tentative="1">
      <w:start w:val="1"/>
      <w:numFmt w:val="decimal"/>
      <w:lvlText w:val="%4."/>
      <w:lvlJc w:val="left"/>
      <w:pPr>
        <w:ind w:left="3994" w:hanging="360"/>
      </w:pPr>
    </w:lvl>
    <w:lvl w:ilvl="4" w:tplc="041B0019" w:tentative="1">
      <w:start w:val="1"/>
      <w:numFmt w:val="lowerLetter"/>
      <w:lvlText w:val="%5."/>
      <w:lvlJc w:val="left"/>
      <w:pPr>
        <w:ind w:left="4714" w:hanging="360"/>
      </w:pPr>
    </w:lvl>
    <w:lvl w:ilvl="5" w:tplc="041B001B" w:tentative="1">
      <w:start w:val="1"/>
      <w:numFmt w:val="lowerRoman"/>
      <w:lvlText w:val="%6."/>
      <w:lvlJc w:val="right"/>
      <w:pPr>
        <w:ind w:left="5434" w:hanging="180"/>
      </w:pPr>
    </w:lvl>
    <w:lvl w:ilvl="6" w:tplc="041B000F" w:tentative="1">
      <w:start w:val="1"/>
      <w:numFmt w:val="decimal"/>
      <w:lvlText w:val="%7."/>
      <w:lvlJc w:val="left"/>
      <w:pPr>
        <w:ind w:left="6154" w:hanging="360"/>
      </w:pPr>
    </w:lvl>
    <w:lvl w:ilvl="7" w:tplc="041B0019" w:tentative="1">
      <w:start w:val="1"/>
      <w:numFmt w:val="lowerLetter"/>
      <w:lvlText w:val="%8."/>
      <w:lvlJc w:val="left"/>
      <w:pPr>
        <w:ind w:left="6874" w:hanging="360"/>
      </w:pPr>
    </w:lvl>
    <w:lvl w:ilvl="8" w:tplc="041B001B" w:tentative="1">
      <w:start w:val="1"/>
      <w:numFmt w:val="lowerRoman"/>
      <w:lvlText w:val="%9."/>
      <w:lvlJc w:val="right"/>
      <w:pPr>
        <w:ind w:left="7594" w:hanging="180"/>
      </w:pPr>
    </w:lvl>
  </w:abstractNum>
  <w:abstractNum w:abstractNumId="3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36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7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8BF64FE"/>
    <w:multiLevelType w:val="hybridMultilevel"/>
    <w:tmpl w:val="E242B70E"/>
    <w:lvl w:ilvl="0" w:tplc="041B0017">
      <w:start w:val="1"/>
      <w:numFmt w:val="lowerLetter"/>
      <w:lvlText w:val="%1)"/>
      <w:lvlJc w:val="left"/>
      <w:pPr>
        <w:ind w:left="92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7"/>
  </w:num>
  <w:num w:numId="3">
    <w:abstractNumId w:val="12"/>
  </w:num>
  <w:num w:numId="4">
    <w:abstractNumId w:val="11"/>
  </w:num>
  <w:num w:numId="5">
    <w:abstractNumId w:val="4"/>
  </w:num>
  <w:num w:numId="6">
    <w:abstractNumId w:val="6"/>
  </w:num>
  <w:num w:numId="7">
    <w:abstractNumId w:val="0"/>
  </w:num>
  <w:num w:numId="8">
    <w:abstractNumId w:val="5"/>
  </w:num>
  <w:num w:numId="9">
    <w:abstractNumId w:val="9"/>
  </w:num>
  <w:num w:numId="10">
    <w:abstractNumId w:val="10"/>
  </w:num>
  <w:num w:numId="11">
    <w:abstractNumId w:val="1"/>
  </w:num>
  <w:num w:numId="12">
    <w:abstractNumId w:val="8"/>
  </w:num>
  <w:num w:numId="13">
    <w:abstractNumId w:val="2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E0865"/>
    <w:rsid w:val="00004E55"/>
    <w:rsid w:val="00013C69"/>
    <w:rsid w:val="00016205"/>
    <w:rsid w:val="00020F41"/>
    <w:rsid w:val="000317E9"/>
    <w:rsid w:val="000434C0"/>
    <w:rsid w:val="000530EA"/>
    <w:rsid w:val="000554C6"/>
    <w:rsid w:val="0006406D"/>
    <w:rsid w:val="000768CD"/>
    <w:rsid w:val="00083833"/>
    <w:rsid w:val="000C62EE"/>
    <w:rsid w:val="000F0AC7"/>
    <w:rsid w:val="000F402F"/>
    <w:rsid w:val="00173273"/>
    <w:rsid w:val="00181C41"/>
    <w:rsid w:val="001B50BD"/>
    <w:rsid w:val="001D4DC5"/>
    <w:rsid w:val="001D79C4"/>
    <w:rsid w:val="001E285C"/>
    <w:rsid w:val="001F0D16"/>
    <w:rsid w:val="001F203A"/>
    <w:rsid w:val="002030C6"/>
    <w:rsid w:val="0020440E"/>
    <w:rsid w:val="00224B7F"/>
    <w:rsid w:val="00270C87"/>
    <w:rsid w:val="002A6FEC"/>
    <w:rsid w:val="002B5278"/>
    <w:rsid w:val="002C09A5"/>
    <w:rsid w:val="002C3707"/>
    <w:rsid w:val="002F2BCC"/>
    <w:rsid w:val="002F6D68"/>
    <w:rsid w:val="00301763"/>
    <w:rsid w:val="00306609"/>
    <w:rsid w:val="00306FCF"/>
    <w:rsid w:val="0032519D"/>
    <w:rsid w:val="003452FF"/>
    <w:rsid w:val="00355876"/>
    <w:rsid w:val="00355F64"/>
    <w:rsid w:val="00376A3D"/>
    <w:rsid w:val="00383B5D"/>
    <w:rsid w:val="00387DD2"/>
    <w:rsid w:val="00390A42"/>
    <w:rsid w:val="003A542C"/>
    <w:rsid w:val="003C458B"/>
    <w:rsid w:val="003D7E53"/>
    <w:rsid w:val="003E2319"/>
    <w:rsid w:val="003E5A50"/>
    <w:rsid w:val="00431AD0"/>
    <w:rsid w:val="004355FB"/>
    <w:rsid w:val="00450BCB"/>
    <w:rsid w:val="004748A8"/>
    <w:rsid w:val="004B332A"/>
    <w:rsid w:val="004C25A1"/>
    <w:rsid w:val="004D243B"/>
    <w:rsid w:val="00500277"/>
    <w:rsid w:val="00521A99"/>
    <w:rsid w:val="00532275"/>
    <w:rsid w:val="005627BC"/>
    <w:rsid w:val="00567C75"/>
    <w:rsid w:val="00570913"/>
    <w:rsid w:val="00574030"/>
    <w:rsid w:val="00574031"/>
    <w:rsid w:val="00587366"/>
    <w:rsid w:val="005B52B3"/>
    <w:rsid w:val="005C150C"/>
    <w:rsid w:val="005D2E9B"/>
    <w:rsid w:val="005F235D"/>
    <w:rsid w:val="005F5183"/>
    <w:rsid w:val="005F6815"/>
    <w:rsid w:val="006110AF"/>
    <w:rsid w:val="00625C69"/>
    <w:rsid w:val="0062794C"/>
    <w:rsid w:val="00647C2A"/>
    <w:rsid w:val="00687872"/>
    <w:rsid w:val="006A1A23"/>
    <w:rsid w:val="006D21A4"/>
    <w:rsid w:val="006D237F"/>
    <w:rsid w:val="006F49D5"/>
    <w:rsid w:val="00702EAA"/>
    <w:rsid w:val="00721178"/>
    <w:rsid w:val="0075608D"/>
    <w:rsid w:val="00760DBB"/>
    <w:rsid w:val="00772365"/>
    <w:rsid w:val="007822B5"/>
    <w:rsid w:val="007976CE"/>
    <w:rsid w:val="007C1B45"/>
    <w:rsid w:val="00816E87"/>
    <w:rsid w:val="00817706"/>
    <w:rsid w:val="00847BBA"/>
    <w:rsid w:val="00881245"/>
    <w:rsid w:val="00881CEB"/>
    <w:rsid w:val="008B2ED6"/>
    <w:rsid w:val="008C50AE"/>
    <w:rsid w:val="008E3155"/>
    <w:rsid w:val="008E4681"/>
    <w:rsid w:val="008F7C6A"/>
    <w:rsid w:val="00902C91"/>
    <w:rsid w:val="0090430A"/>
    <w:rsid w:val="00911DC7"/>
    <w:rsid w:val="00913880"/>
    <w:rsid w:val="00923AB7"/>
    <w:rsid w:val="009319EE"/>
    <w:rsid w:val="009439AA"/>
    <w:rsid w:val="009608F7"/>
    <w:rsid w:val="00962C6A"/>
    <w:rsid w:val="009649DF"/>
    <w:rsid w:val="0097224F"/>
    <w:rsid w:val="0097255F"/>
    <w:rsid w:val="00991CB3"/>
    <w:rsid w:val="009B147A"/>
    <w:rsid w:val="009E0F1E"/>
    <w:rsid w:val="009F3BED"/>
    <w:rsid w:val="009F539F"/>
    <w:rsid w:val="009F62BF"/>
    <w:rsid w:val="00A331BC"/>
    <w:rsid w:val="00A62651"/>
    <w:rsid w:val="00A86174"/>
    <w:rsid w:val="00A86F47"/>
    <w:rsid w:val="00AA7EF7"/>
    <w:rsid w:val="00AB5B6F"/>
    <w:rsid w:val="00AD3CD7"/>
    <w:rsid w:val="00AE7ACD"/>
    <w:rsid w:val="00AF2283"/>
    <w:rsid w:val="00AF7C0D"/>
    <w:rsid w:val="00B07B17"/>
    <w:rsid w:val="00B4215E"/>
    <w:rsid w:val="00B54876"/>
    <w:rsid w:val="00B95766"/>
    <w:rsid w:val="00BF6926"/>
    <w:rsid w:val="00C43C50"/>
    <w:rsid w:val="00C4469C"/>
    <w:rsid w:val="00C64869"/>
    <w:rsid w:val="00C741C3"/>
    <w:rsid w:val="00C77ABD"/>
    <w:rsid w:val="00C84280"/>
    <w:rsid w:val="00C859F7"/>
    <w:rsid w:val="00C85C1F"/>
    <w:rsid w:val="00C9299F"/>
    <w:rsid w:val="00C9644A"/>
    <w:rsid w:val="00C97A55"/>
    <w:rsid w:val="00CA7D53"/>
    <w:rsid w:val="00D00469"/>
    <w:rsid w:val="00D03119"/>
    <w:rsid w:val="00D21759"/>
    <w:rsid w:val="00D3457D"/>
    <w:rsid w:val="00D35A5C"/>
    <w:rsid w:val="00D425FE"/>
    <w:rsid w:val="00D82739"/>
    <w:rsid w:val="00DA53A1"/>
    <w:rsid w:val="00DD6EDF"/>
    <w:rsid w:val="00DE0865"/>
    <w:rsid w:val="00DE42AE"/>
    <w:rsid w:val="00E06308"/>
    <w:rsid w:val="00E17D17"/>
    <w:rsid w:val="00E37A13"/>
    <w:rsid w:val="00E53877"/>
    <w:rsid w:val="00E5496D"/>
    <w:rsid w:val="00E8483E"/>
    <w:rsid w:val="00E856B8"/>
    <w:rsid w:val="00ED1BCC"/>
    <w:rsid w:val="00ED4B74"/>
    <w:rsid w:val="00F14365"/>
    <w:rsid w:val="00F20575"/>
    <w:rsid w:val="00F604D2"/>
    <w:rsid w:val="00F6100E"/>
    <w:rsid w:val="00F64274"/>
    <w:rsid w:val="00F71BE4"/>
    <w:rsid w:val="00F857B4"/>
    <w:rsid w:val="00F86076"/>
    <w:rsid w:val="00FC3D8F"/>
    <w:rsid w:val="00FE3DA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60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4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13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5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1E69C93-223F-46BF-B8BE-1A62E4A167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1474</Words>
  <Characters>8402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Marika</cp:lastModifiedBy>
  <cp:revision>3</cp:revision>
  <cp:lastPrinted>2021-03-08T14:19:00Z</cp:lastPrinted>
  <dcterms:created xsi:type="dcterms:W3CDTF">2023-03-07T12:26:00Z</dcterms:created>
  <dcterms:modified xsi:type="dcterms:W3CDTF">2023-03-21T14:19:00Z</dcterms:modified>
</cp:coreProperties>
</file>