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Meno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hint="default" w:eastAsia="Times New Roman"/>
                <w:bCs/>
                <w:lang w:val="sk-SK"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  <w:r>
              <w:rPr>
                <w:sz w:val="22"/>
                <w:lang w:val="sk-SK"/>
              </w:rPr>
              <w:t>STAVO-Reall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hint="default" w:eastAsia="Times New Roman"/>
                <w:lang w:val="sk-SK"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sz w:val="22"/>
                <w:lang w:val="sk-SK"/>
              </w:rPr>
              <w:t>Ondrej nad Hronom, 411, 97662, Brusno</w:t>
            </w:r>
          </w:p>
        </w:tc>
      </w:tr>
    </w:tbl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7"/>
        <w:spacing w:after="27"/>
        <w:jc w:val="both"/>
        <w:rPr>
          <w:color w:val="auto"/>
          <w:sz w:val="23"/>
          <w:szCs w:val="23"/>
        </w:rPr>
      </w:pPr>
    </w:p>
    <w:p>
      <w:pPr>
        <w:pStyle w:val="7"/>
        <w:spacing w:after="27"/>
        <w:jc w:val="both"/>
        <w:rPr>
          <w:color w:val="auto"/>
          <w:sz w:val="23"/>
          <w:szCs w:val="23"/>
        </w:rPr>
      </w:pPr>
    </w:p>
    <w:p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7"/>
        <w:spacing w:after="27"/>
        <w:jc w:val="both"/>
        <w:rPr>
          <w:color w:val="auto"/>
          <w:sz w:val="23"/>
          <w:szCs w:val="23"/>
        </w:rPr>
      </w:pPr>
    </w:p>
    <w:p>
      <w:pPr>
        <w:pStyle w:val="7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>
      <w:pPr>
        <w:pStyle w:val="7"/>
        <w:spacing w:after="27"/>
        <w:jc w:val="both"/>
        <w:rPr>
          <w:color w:val="auto"/>
          <w:sz w:val="16"/>
          <w:szCs w:val="16"/>
        </w:rPr>
      </w:pPr>
    </w:p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7"/>
        <w:jc w:val="both"/>
        <w:rPr>
          <w:sz w:val="23"/>
          <w:szCs w:val="23"/>
        </w:rPr>
      </w:pPr>
    </w:p>
    <w:p>
      <w:pPr>
        <w:pStyle w:val="7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>
      <w:pPr>
        <w:pStyle w:val="7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7"/>
        <w:jc w:val="both"/>
        <w:rPr>
          <w:sz w:val="23"/>
          <w:szCs w:val="23"/>
        </w:rPr>
      </w:pPr>
    </w:p>
    <w:p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87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5"/>
        <w:gridCol w:w="4365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 w:eastAsia="Times New Roman"/>
                <w:bCs/>
                <w:lang w:val="en-US" w:eastAsia="sk-SK"/>
              </w:rPr>
            </w:pPr>
            <w:r>
              <w:rPr>
                <w:rFonts w:hint="default" w:eastAsia="Times New Roman"/>
                <w:bCs/>
                <w:lang w:val="en-US" w:eastAsia="sk-SK"/>
              </w:rPr>
              <w:t>5</w:t>
            </w:r>
          </w:p>
        </w:tc>
      </w:tr>
    </w:tbl>
    <w:p>
      <w:pPr>
        <w:pStyle w:val="7"/>
        <w:jc w:val="both"/>
        <w:rPr>
          <w:color w:val="auto"/>
          <w:sz w:val="23"/>
          <w:szCs w:val="23"/>
        </w:rPr>
      </w:pPr>
    </w:p>
    <w:p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x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x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Obstarávacou cenou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Obstarávacou cenou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x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x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x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1500" w:firstLineChars="750"/>
              <w:jc w:val="both"/>
              <w:rPr>
                <w:rFonts w:hint="default" w:eastAsia="Times New Roman"/>
                <w:sz w:val="20"/>
                <w:szCs w:val="20"/>
                <w:lang w:val="en-US"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x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 w:eastAsia="Times New Roman"/>
                <w:sz w:val="20"/>
                <w:szCs w:val="20"/>
                <w:lang w:val="en-US"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x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x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 w:eastAsia="Times New Roman"/>
                <w:sz w:val="20"/>
                <w:szCs w:val="20"/>
                <w:lang w:val="en-US"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Obstarávacou cenou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 w:eastAsia="Times New Roman"/>
                <w:sz w:val="20"/>
                <w:szCs w:val="20"/>
                <w:lang w:val="en-US"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Obstarávacou cenou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 xml:space="preserve">Obstarávacou cenou 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Obstarávacou cenou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 xml:space="preserve">Obstarávacou cenou 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Obstarávacou cenou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x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x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 odpisov.</w:t>
      </w:r>
      <w:r>
        <w:rPr>
          <w:rFonts w:hint="default"/>
          <w:color w:val="auto"/>
          <w:sz w:val="23"/>
          <w:szCs w:val="23"/>
          <w:lang w:val="sk-SK"/>
        </w:rPr>
        <w:t>: v roku 2022  sa neúčtovalo o žiadnych odpisoch</w:t>
      </w:r>
    </w:p>
    <w:p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Zmeny účtovných zásad a zmeny účtovných metód s uvedením dôvodu týchto zmien a vyčíslením ich vplyvu na finančnú hodnotu majetku, záväzkov, základného imania a výsledku hospodárenia účtovnej jednotky</w:t>
      </w:r>
    </w:p>
    <w:p>
      <w:pPr>
        <w:pStyle w:val="7"/>
        <w:numPr>
          <w:numId w:val="0"/>
        </w:numPr>
        <w:jc w:val="both"/>
        <w:rPr>
          <w:color w:val="auto"/>
          <w:sz w:val="23"/>
          <w:szCs w:val="23"/>
        </w:rPr>
      </w:pPr>
      <w:r>
        <w:rPr>
          <w:rFonts w:hint="default"/>
          <w:color w:val="auto"/>
          <w:sz w:val="23"/>
          <w:szCs w:val="23"/>
          <w:lang w:val="sk-SK"/>
        </w:rPr>
        <w:t>Takéto zmeny v účtovnom období nenastali.</w:t>
      </w:r>
      <w:r>
        <w:rPr>
          <w:color w:val="auto"/>
          <w:sz w:val="23"/>
          <w:szCs w:val="23"/>
        </w:rPr>
        <w:t xml:space="preserve"> </w:t>
      </w:r>
    </w:p>
    <w:p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>
      <w:pPr>
        <w:pStyle w:val="7"/>
        <w:jc w:val="both"/>
        <w:rPr>
          <w:color w:val="auto"/>
          <w:sz w:val="22"/>
          <w:szCs w:val="22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hint="default" w:eastAsia="Times New Roman"/>
                <w:bCs/>
                <w:sz w:val="22"/>
                <w:lang w:val="en-US" w:eastAsia="sk-SK"/>
              </w:rPr>
            </w:pPr>
            <w:r>
              <w:rPr>
                <w:rFonts w:hint="default" w:eastAsia="Times New Roman"/>
                <w:bCs/>
                <w:sz w:val="22"/>
                <w:lang w:val="en-US" w:eastAsia="sk-SK"/>
              </w:rPr>
              <w:t xml:space="preserve">  UP SV a rodiny,Prvá pomoc, covid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hint="default" w:eastAsia="Times New Roman"/>
                <w:sz w:val="22"/>
                <w:lang w:val="en-US" w:eastAsia="sk-SK"/>
              </w:rPr>
            </w:pPr>
            <w:r>
              <w:rPr>
                <w:rFonts w:hint="default" w:eastAsia="Times New Roman"/>
                <w:sz w:val="22"/>
                <w:lang w:val="en-US" w:eastAsia="sk-SK"/>
              </w:rPr>
              <w:t>Obstarávacia cena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hint="default" w:eastAsia="Times New Roman"/>
                <w:lang w:val="en-US" w:eastAsia="sk-SK"/>
              </w:rPr>
            </w:pPr>
            <w:r>
              <w:rPr>
                <w:rFonts w:hint="default" w:eastAsia="Times New Roman"/>
                <w:lang w:val="en-US" w:eastAsia="sk-SK"/>
              </w:rPr>
              <w:t>2275,75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hint="default" w:eastAsia="Times New Roman"/>
                <w:bCs/>
                <w:sz w:val="22"/>
                <w:lang w:val="sk-SK" w:eastAsia="sk-SK"/>
              </w:rPr>
            </w:pP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hint="default" w:eastAsia="Times New Roman"/>
                <w:sz w:val="22"/>
                <w:lang w:val="sk-SK" w:eastAsia="sk-SK"/>
              </w:rPr>
            </w:pP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hint="default" w:eastAsia="Times New Roman"/>
                <w:lang w:val="sk-SK"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7"/>
        <w:jc w:val="both"/>
        <w:rPr>
          <w:color w:val="auto"/>
          <w:sz w:val="22"/>
          <w:szCs w:val="22"/>
        </w:rPr>
      </w:pPr>
    </w:p>
    <w:p>
      <w:pPr>
        <w:pStyle w:val="7"/>
        <w:jc w:val="both"/>
        <w:rPr>
          <w:color w:val="auto"/>
          <w:sz w:val="22"/>
          <w:szCs w:val="22"/>
        </w:rPr>
      </w:pPr>
    </w:p>
    <w:p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>
      <w:pPr>
        <w:pStyle w:val="7"/>
        <w:keepNext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>
        <w:rPr>
          <w:rFonts w:hint="default"/>
          <w:color w:val="auto"/>
          <w:sz w:val="23"/>
          <w:szCs w:val="23"/>
          <w:lang w:val="sk-SK"/>
        </w:rPr>
        <w:t>Takéto udalosti nenastali.</w:t>
      </w:r>
    </w:p>
    <w:p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hint="default" w:eastAsia="Times New Roman"/>
                <w:b/>
                <w:bCs/>
                <w:lang w:val="sk-SK" w:eastAsia="sk-SK"/>
              </w:rPr>
            </w:pPr>
            <w:r>
              <w:rPr>
                <w:rFonts w:hint="default"/>
                <w:sz w:val="22"/>
                <w:lang w:val="sk-SK"/>
              </w:rPr>
              <w:t>1448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hint="default" w:eastAsia="Times New Roman"/>
                <w:sz w:val="22"/>
                <w:lang w:val="en-US" w:eastAsia="sk-SK"/>
              </w:rPr>
              <w:t>1448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hint="default" w:eastAsia="Times New Roman"/>
                <w:b/>
                <w:bCs/>
                <w:lang w:val="sk-SK" w:eastAsia="sk-SK"/>
              </w:rPr>
            </w:pPr>
            <w:r>
              <w:rPr>
                <w:rFonts w:hint="default"/>
                <w:sz w:val="22"/>
                <w:lang w:val="sk-SK"/>
              </w:rPr>
              <w:t>33973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hint="default" w:eastAsia="Times New Roman"/>
                <w:sz w:val="22"/>
                <w:lang w:val="en-US" w:eastAsia="sk-SK"/>
              </w:rPr>
              <w:t>33973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hint="default" w:eastAsia="Times New Roman"/>
                <w:sz w:val="22"/>
                <w:lang w:val="en-US" w:eastAsia="sk-SK"/>
              </w:rPr>
              <w:t>0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7"/>
        <w:spacing w:after="27"/>
        <w:jc w:val="both"/>
        <w:rPr>
          <w:color w:val="auto"/>
          <w:sz w:val="23"/>
          <w:szCs w:val="23"/>
        </w:rPr>
      </w:pPr>
    </w:p>
    <w:p>
      <w:pPr>
        <w:pStyle w:val="7"/>
        <w:keepNext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>
        <w:rPr>
          <w:rFonts w:hint="default"/>
          <w:color w:val="auto"/>
          <w:sz w:val="23"/>
          <w:szCs w:val="23"/>
          <w:lang w:val="sk-SK"/>
        </w:rPr>
        <w:t>Nemáme</w:t>
      </w:r>
    </w:p>
    <w:p>
      <w:pPr>
        <w:pStyle w:val="7"/>
        <w:keepNext/>
        <w:ind w:firstLine="460" w:firstLineChars="200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 xml:space="preserve"> zabezpečené záväzky</w:t>
      </w:r>
    </w:p>
    <w:p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Informácie o akciách neuvádzame, firma nemá vlastné akcie</w:t>
      </w:r>
    </w:p>
    <w:p>
      <w:pPr>
        <w:pStyle w:val="7"/>
        <w:spacing w:after="2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>
      <w:pPr>
        <w:pStyle w:val="7"/>
        <w:spacing w:after="28"/>
        <w:jc w:val="both"/>
        <w:rPr>
          <w:color w:val="auto"/>
          <w:sz w:val="23"/>
          <w:szCs w:val="23"/>
        </w:rPr>
      </w:pPr>
    </w:p>
    <w:p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>
      <w:pPr>
        <w:pStyle w:val="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7"/>
        <w:spacing w:after="27"/>
        <w:jc w:val="both"/>
        <w:rPr>
          <w:color w:val="auto"/>
          <w:sz w:val="23"/>
          <w:szCs w:val="23"/>
        </w:rPr>
      </w:pPr>
    </w:p>
    <w:p>
      <w:pPr>
        <w:pStyle w:val="7"/>
        <w:spacing w:after="27"/>
        <w:jc w:val="both"/>
        <w:rPr>
          <w:color w:val="auto"/>
          <w:sz w:val="23"/>
          <w:szCs w:val="23"/>
        </w:rPr>
      </w:pPr>
    </w:p>
    <w:p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rFonts w:hint="default"/>
          <w:color w:val="auto"/>
          <w:sz w:val="23"/>
          <w:szCs w:val="23"/>
          <w:lang w:val="sk-SK"/>
        </w:rPr>
        <w:t>.V účtovnomobdobí nebol operatívny lízing.</w:t>
      </w:r>
      <w:r>
        <w:rPr>
          <w:color w:val="auto"/>
          <w:sz w:val="23"/>
          <w:szCs w:val="23"/>
        </w:rPr>
        <w:t xml:space="preserve"> </w:t>
      </w:r>
    </w:p>
    <w:p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  <w:bookmarkStart w:id="0" w:name="_GoBack"/>
            <w:bookmarkEnd w:id="0"/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7"/>
        <w:spacing w:after="27"/>
        <w:jc w:val="both"/>
        <w:rPr>
          <w:color w:val="auto"/>
          <w:sz w:val="23"/>
          <w:szCs w:val="23"/>
        </w:rPr>
      </w:pPr>
    </w:p>
    <w:p>
      <w:pPr>
        <w:pStyle w:val="7"/>
        <w:spacing w:after="27"/>
        <w:jc w:val="both"/>
        <w:rPr>
          <w:color w:val="auto"/>
          <w:sz w:val="23"/>
          <w:szCs w:val="23"/>
        </w:rPr>
      </w:pPr>
    </w:p>
    <w:p>
      <w:pPr>
        <w:pStyle w:val="7"/>
        <w:spacing w:after="27"/>
        <w:jc w:val="both"/>
        <w:rPr>
          <w:color w:val="auto"/>
          <w:sz w:val="23"/>
          <w:szCs w:val="23"/>
        </w:rPr>
      </w:pPr>
    </w:p>
    <w:p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>
      <w:pPr>
        <w:pStyle w:val="7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>
      <w:pPr>
        <w:pStyle w:val="7"/>
        <w:spacing w:after="27"/>
        <w:jc w:val="both"/>
        <w:rPr>
          <w:color w:val="auto"/>
          <w:sz w:val="23"/>
          <w:szCs w:val="23"/>
        </w:rPr>
      </w:pPr>
    </w:p>
    <w:p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hint="default" w:eastAsia="Times New Roman"/>
                <w:sz w:val="22"/>
                <w:lang w:val="en-US"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hint="default" w:eastAsia="Times New Roman"/>
                <w:sz w:val="22"/>
                <w:lang w:val="en-US"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hint="default" w:eastAsia="Times New Roman"/>
                <w:sz w:val="22"/>
                <w:lang w:val="en-US"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hint="default" w:eastAsia="Times New Roman"/>
                <w:sz w:val="22"/>
                <w:lang w:val="en-US"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hint="default" w:eastAsia="Times New Roman"/>
                <w:sz w:val="22"/>
                <w:lang w:val="en-US"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hint="default" w:eastAsia="Times New Roman"/>
                <w:sz w:val="22"/>
                <w:lang w:val="en-US"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7"/>
        <w:spacing w:after="27"/>
        <w:jc w:val="both"/>
        <w:rPr>
          <w:color w:val="auto"/>
          <w:sz w:val="23"/>
          <w:szCs w:val="23"/>
        </w:rPr>
      </w:pPr>
    </w:p>
    <w:p>
      <w:pPr>
        <w:pStyle w:val="7"/>
        <w:spacing w:after="27"/>
        <w:jc w:val="both"/>
        <w:rPr>
          <w:color w:val="auto"/>
          <w:sz w:val="23"/>
          <w:szCs w:val="23"/>
        </w:rPr>
      </w:pPr>
    </w:p>
    <w:p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>
        <w:rPr>
          <w:color w:val="auto"/>
          <w:sz w:val="23"/>
          <w:szCs w:val="23"/>
          <w:lang w:val="sk-SK"/>
        </w:rPr>
        <w:t>ž</w:t>
      </w:r>
      <w:r>
        <w:rPr>
          <w:rFonts w:hint="default"/>
          <w:color w:val="auto"/>
          <w:sz w:val="23"/>
          <w:szCs w:val="23"/>
          <w:lang w:val="sk-SK"/>
        </w:rPr>
        <w:t>iadne</w:t>
      </w:r>
    </w:p>
    <w:p>
      <w:pPr>
        <w:pStyle w:val="7"/>
        <w:spacing w:after="27"/>
        <w:jc w:val="both"/>
        <w:rPr>
          <w:color w:val="auto"/>
          <w:sz w:val="23"/>
          <w:szCs w:val="23"/>
        </w:rPr>
      </w:pPr>
    </w:p>
    <w:p>
      <w:pPr>
        <w:pStyle w:val="7"/>
        <w:spacing w:after="27"/>
        <w:jc w:val="both"/>
        <w:rPr>
          <w:color w:val="auto"/>
          <w:sz w:val="23"/>
          <w:szCs w:val="23"/>
        </w:rPr>
      </w:pPr>
    </w:p>
    <w:p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celkovej sume významných finančných povinností a významných podmienených záväzkoch voči dcérskej účtovnej jednotke a účtovnej jednotke s podstatným vplyvom,</w:t>
      </w:r>
      <w:r>
        <w:rPr>
          <w:color w:val="auto"/>
          <w:sz w:val="23"/>
          <w:szCs w:val="23"/>
          <w:lang w:val="sk-SK"/>
        </w:rPr>
        <w:t>ž</w:t>
      </w:r>
      <w:r>
        <w:rPr>
          <w:rFonts w:hint="default"/>
          <w:color w:val="auto"/>
          <w:sz w:val="23"/>
          <w:szCs w:val="23"/>
          <w:lang w:val="sk-SK"/>
        </w:rPr>
        <w:t>iadne</w:t>
      </w:r>
      <w:r>
        <w:rPr>
          <w:color w:val="auto"/>
          <w:sz w:val="23"/>
          <w:szCs w:val="23"/>
        </w:rPr>
        <w:t xml:space="preserve"> </w:t>
      </w:r>
    </w:p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jc w:val="both"/>
        <w:rPr>
          <w:color w:val="auto"/>
          <w:sz w:val="23"/>
          <w:szCs w:val="23"/>
        </w:rPr>
      </w:pPr>
    </w:p>
    <w:p>
      <w:pPr>
        <w:pStyle w:val="7"/>
        <w:jc w:val="both"/>
        <w:rPr>
          <w:rFonts w:hint="default"/>
          <w:lang w:val="sk-SK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>
        <w:rPr>
          <w:color w:val="auto"/>
          <w:sz w:val="23"/>
          <w:szCs w:val="23"/>
          <w:lang w:val="sk-SK"/>
        </w:rPr>
        <w:t>Ž</w:t>
      </w:r>
      <w:r>
        <w:rPr>
          <w:rFonts w:hint="default"/>
          <w:color w:val="auto"/>
          <w:sz w:val="23"/>
          <w:szCs w:val="23"/>
          <w:lang w:val="sk-SK"/>
        </w:rPr>
        <w:t>iadne</w:t>
      </w:r>
    </w:p>
    <w:sectPr>
      <w:headerReference r:id="rId5" w:type="default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859"/>
      <w:gridCol w:w="613"/>
      <w:gridCol w:w="336"/>
      <w:gridCol w:w="336"/>
      <w:gridCol w:w="336"/>
      <w:gridCol w:w="336"/>
      <w:gridCol w:w="336"/>
      <w:gridCol w:w="456"/>
      <w:gridCol w:w="336"/>
      <w:gridCol w:w="336"/>
      <w:gridCol w:w="848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3890" w:type="dxa"/>
        </w:tcPr>
        <w:p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3</w:t>
          </w:r>
        </w:p>
      </w:tc>
      <w:tc>
        <w:tcPr>
          <w:tcW w:w="284" w:type="dxa"/>
        </w:tcPr>
        <w:p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3" w:type="dxa"/>
        </w:tcPr>
        <w:p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84" w:type="dxa"/>
        </w:tcPr>
        <w:p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  <w:tc>
        <w:tcPr>
          <w:tcW w:w="283" w:type="dxa"/>
        </w:tcPr>
        <w:p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3</w:t>
          </w:r>
        </w:p>
      </w:tc>
      <w:tc>
        <w:tcPr>
          <w:tcW w:w="236" w:type="dxa"/>
        </w:tcPr>
        <w:p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16</w:t>
          </w:r>
        </w:p>
      </w:tc>
      <w:tc>
        <w:tcPr>
          <w:tcW w:w="236" w:type="dxa"/>
        </w:tcPr>
        <w:p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37" w:type="dxa"/>
        </w:tcPr>
        <w:p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0</w:t>
          </w:r>
        </w:p>
      </w:tc>
      <w:tc>
        <w:tcPr>
          <w:tcW w:w="284" w:type="dxa"/>
        </w:tcPr>
        <w:p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0</w:t>
          </w:r>
        </w:p>
      </w:tc>
      <w:tc>
        <w:tcPr>
          <w:tcW w:w="284" w:type="dxa"/>
        </w:tcPr>
        <w:p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83" w:type="dxa"/>
        </w:tcPr>
        <w:p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84" w:type="dxa"/>
        </w:tcPr>
        <w:p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  <w:tc>
        <w:tcPr>
          <w:tcW w:w="283" w:type="dxa"/>
        </w:tcPr>
        <w:p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  <w:tc>
        <w:tcPr>
          <w:tcW w:w="249" w:type="dxa"/>
        </w:tcPr>
        <w:p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36" w:type="dxa"/>
        </w:tcPr>
        <w:p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</w:tr>
  </w:tbl>
  <w:p>
    <w:pPr>
      <w:pStyle w:val="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B01B775"/>
    <w:multiLevelType w:val="singleLevel"/>
    <w:tmpl w:val="3B01B775"/>
    <w:lvl w:ilvl="0" w:tentative="0">
      <w:start w:val="4"/>
      <w:numFmt w:val="decimal"/>
      <w:suff w:val="space"/>
      <w:lvlText w:val="(%1)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attachedTemplate r:id="rId1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C30036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  <w:rsid w:val="15C30036"/>
    <w:rsid w:val="2F4758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9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5">
    <w:name w:val="header"/>
    <w:basedOn w:val="1"/>
    <w:link w:val="8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6">
    <w:name w:val="Table Grid"/>
    <w:basedOn w:val="3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8">
    <w:name w:val="Hlavička Char"/>
    <w:basedOn w:val="2"/>
    <w:link w:val="5"/>
    <w:semiHidden/>
    <w:uiPriority w:val="99"/>
    <w:rPr>
      <w:rFonts w:ascii="Times New Roman" w:hAnsi="Times New Roman" w:cs="Times New Roman"/>
      <w:sz w:val="24"/>
    </w:rPr>
  </w:style>
  <w:style w:type="character" w:customStyle="1" w:styleId="9">
    <w:name w:val="Päta Char"/>
    <w:basedOn w:val="2"/>
    <w:link w:val="4"/>
    <w:semiHidden/>
    <w:uiPriority w:val="99"/>
    <w:rPr>
      <w:rFonts w:ascii="Times New Roman" w:hAnsi="Times New Roman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Poznamky_muj.dotx</Template>
  <Pages>5</Pages>
  <Words>1253</Words>
  <Characters>7624</Characters>
  <Lines>68</Lines>
  <Paragraphs>19</Paragraphs>
  <TotalTime>64</TotalTime>
  <ScaleCrop>false</ScaleCrop>
  <LinksUpToDate>false</LinksUpToDate>
  <CharactersWithSpaces>8989</CharactersWithSpaces>
  <Application>WPS Office_11.2.0.11513_F1E327BC-269C-435d-A152-05C5408002CA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2023-03-24T08:29:00Z</dcterms:created>
  <dc:creator>mrp</dc:creator>
  <cp:lastModifiedBy>Penzion Marína</cp:lastModifiedBy>
  <dcterms:modified xsi:type="dcterms:W3CDTF">2023-03-24T09:34:04Z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9E7B543B6691493C9B724DB461F9924E</vt:lpwstr>
  </property>
  <property fmtid="{D5CDD505-2E9C-101B-9397-08002B2CF9AE}" pid="3" name="KSOProductBuildVer">
    <vt:lpwstr>1033-11.2.0.11513</vt:lpwstr>
  </property>
</Properties>
</file>