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hd w:val="clear" w:color="000000" w:fill="FFFFFF"/>
        <w:rPr>
          <w:szCs w:val="22"/>
          <w:lang w:val="sk-SK"/>
        </w:rPr>
      </w:pPr>
      <w:bookmarkStart w:id="0" w:name="_MON_1394258798"/>
      <w:bookmarkEnd w:id="0"/>
      <w:r>
        <w:rPr>
          <w:sz w:val="22"/>
          <w:szCs w:val="22"/>
          <w:lang w:val="sk-SK"/>
        </w:rPr>
        <w:object>
          <v:shape id="_x0000_i1025" o:spt="75" alt="" type="#_x0000_t75" style="height:719.4pt;width:459.15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p>
    <w:p>
      <w:pPr>
        <w:pStyle w:val="2"/>
        <w:numPr>
          <w:ilvl w:val="0"/>
          <w:numId w:val="0"/>
        </w:numPr>
      </w:pPr>
      <w:bookmarkStart w:id="1" w:name="_Toc156113559"/>
    </w:p>
    <w:p>
      <w:pPr>
        <w:pStyle w:val="2"/>
      </w:pPr>
      <w:r>
        <w:t>INFORMÁCIE O ÚČTOVNEJ JEDNOTKE</w:t>
      </w:r>
      <w:bookmarkEnd w:id="1"/>
    </w:p>
    <w:p>
      <w:pPr>
        <w:rPr>
          <w:lang w:val="sk-SK"/>
        </w:rPr>
      </w:pPr>
    </w:p>
    <w:p>
      <w:pPr>
        <w:rPr>
          <w:szCs w:val="22"/>
          <w:lang w:val="sk-SK"/>
        </w:rPr>
      </w:pPr>
    </w:p>
    <w:p>
      <w:pPr>
        <w:pStyle w:val="3"/>
        <w:rPr>
          <w:lang w:val="sk-SK"/>
        </w:rPr>
      </w:pPr>
      <w:bookmarkStart w:id="2" w:name="_Toc156113561"/>
      <w:r>
        <w:rPr>
          <w:lang w:val="sk-SK"/>
        </w:rPr>
        <w:t>Založenie spoločnosti</w:t>
      </w:r>
    </w:p>
    <w:p>
      <w:pPr>
        <w:pStyle w:val="3"/>
        <w:numPr>
          <w:ilvl w:val="0"/>
          <w:numId w:val="0"/>
        </w:numPr>
        <w:ind w:left="454"/>
        <w:rPr>
          <w:lang w:val="sk-SK"/>
        </w:rPr>
      </w:pPr>
      <w:r>
        <w:rPr>
          <w:lang w:val="sk-SK"/>
        </w:rPr>
        <w:tab/>
      </w:r>
      <w:bookmarkEnd w:id="2"/>
    </w:p>
    <w:p>
      <w:pPr>
        <w:rPr>
          <w:rFonts w:ascii="Times New Roman" w:hAnsi="Times New Roman"/>
          <w:color w:val="000000"/>
          <w:sz w:val="24"/>
          <w:szCs w:val="24"/>
          <w:lang w:val="en-US" w:eastAsia="en-US"/>
        </w:rPr>
      </w:pPr>
      <w:r>
        <w:rPr>
          <w:lang w:val="sk-SK"/>
        </w:rPr>
        <w:t xml:space="preserve">Spoločnosť ZETAX s.r.o.(ďalej len Spoločnosť), bola založená 17.05.2004  a do obchodného registra bola zapísaná  17.05.2004 (Obchodný register Okresného súdu Nitra v Nitre,  vložka </w:t>
      </w:r>
      <w:r>
        <w:rPr>
          <w:rStyle w:val="77"/>
        </w:rPr>
        <w:t>14789/N</w:t>
      </w:r>
      <w:r>
        <w:rPr>
          <w:lang w:val="sk-SK"/>
        </w:rPr>
        <w:t>)</w:t>
      </w:r>
    </w:p>
    <w:p>
      <w:pPr>
        <w:rPr>
          <w:szCs w:val="22"/>
          <w:lang w:val="sk-SK"/>
        </w:rPr>
      </w:pPr>
    </w:p>
    <w:p>
      <w:pPr>
        <w:rPr>
          <w:szCs w:val="22"/>
          <w:lang w:val="sk-SK"/>
        </w:rPr>
      </w:pPr>
    </w:p>
    <w:p>
      <w:pPr>
        <w:pStyle w:val="3"/>
        <w:rPr>
          <w:lang w:val="sk-SK"/>
        </w:rPr>
      </w:pPr>
      <w:bookmarkStart w:id="3" w:name="_Toc156113564"/>
      <w:r>
        <w:rPr>
          <w:lang w:val="sk-SK"/>
        </w:rPr>
        <w:t>Predmet činnosti podľa výpisu z OR</w:t>
      </w:r>
      <w:bookmarkEnd w:id="3"/>
    </w:p>
    <w:p>
      <w:pPr>
        <w:rPr>
          <w:szCs w:val="22"/>
          <w:lang w:val="sk-SK"/>
        </w:rPr>
      </w:pPr>
    </w:p>
    <w:p>
      <w:pPr>
        <w:numPr>
          <w:ilvl w:val="0"/>
          <w:numId w:val="3"/>
        </w:numPr>
        <w:rPr>
          <w:szCs w:val="22"/>
          <w:lang w:val="sk-SK"/>
        </w:rPr>
      </w:pPr>
      <w:r>
        <w:rPr>
          <w:szCs w:val="22"/>
          <w:lang w:val="sk-SK"/>
        </w:rPr>
        <w:t>Kúpa tovaru na účely jeho predaja konečnému spotrebiteľovi (MOO)</w:t>
      </w:r>
    </w:p>
    <w:p>
      <w:pPr>
        <w:numPr>
          <w:ilvl w:val="0"/>
          <w:numId w:val="3"/>
        </w:numPr>
        <w:rPr>
          <w:szCs w:val="22"/>
          <w:lang w:val="sk-SK"/>
        </w:rPr>
      </w:pPr>
      <w:r>
        <w:rPr>
          <w:szCs w:val="22"/>
          <w:lang w:val="sk-SK"/>
        </w:rPr>
        <w:t>Kúpa tovaru na účely jeho predaja iným prevádzkovateľom živnosti (VOO)</w:t>
      </w:r>
    </w:p>
    <w:p>
      <w:pPr>
        <w:numPr>
          <w:ilvl w:val="0"/>
          <w:numId w:val="3"/>
        </w:numPr>
        <w:rPr>
          <w:szCs w:val="22"/>
          <w:lang w:val="sk-SK"/>
        </w:rPr>
      </w:pPr>
      <w:r>
        <w:rPr>
          <w:szCs w:val="22"/>
          <w:lang w:val="sk-SK"/>
        </w:rPr>
        <w:t>Sprostredkovateľská činnosť v oblasti obchodu a služieb</w:t>
      </w:r>
    </w:p>
    <w:p>
      <w:pPr>
        <w:numPr>
          <w:ilvl w:val="0"/>
          <w:numId w:val="3"/>
        </w:numPr>
        <w:rPr>
          <w:szCs w:val="22"/>
          <w:lang w:val="sk-SK"/>
        </w:rPr>
      </w:pPr>
      <w:bookmarkStart w:id="4" w:name="_Toc156113566"/>
      <w:r>
        <w:rPr>
          <w:szCs w:val="22"/>
          <w:lang w:val="sk-SK"/>
        </w:rPr>
        <w:t>Sprostredkovanie predaja, prenájmu a kúpy nehnuteľností</w:t>
      </w:r>
    </w:p>
    <w:p>
      <w:pPr>
        <w:numPr>
          <w:ilvl w:val="0"/>
          <w:numId w:val="3"/>
        </w:numPr>
        <w:rPr>
          <w:szCs w:val="22"/>
          <w:lang w:val="sk-SK"/>
        </w:rPr>
      </w:pPr>
      <w:r>
        <w:rPr>
          <w:szCs w:val="22"/>
          <w:lang w:val="sk-SK"/>
        </w:rPr>
        <w:t>Činnosť ekonomických a účtovných poradcov</w:t>
      </w:r>
    </w:p>
    <w:p>
      <w:pPr>
        <w:rPr>
          <w:lang w:val="sk-SK"/>
        </w:rPr>
      </w:pPr>
    </w:p>
    <w:p>
      <w:pPr>
        <w:ind w:left="454"/>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4"/>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3"/>
        <w:rPr>
          <w:lang w:val="sk-SK"/>
        </w:rPr>
      </w:pPr>
      <w:bookmarkStart w:id="5" w:name="_Toc156113567"/>
      <w:r>
        <w:rPr>
          <w:lang w:val="sk-SK"/>
        </w:rPr>
        <w:t>Právny dôvod zostavenia účtovnej závierky</w:t>
      </w:r>
      <w:bookmarkEnd w:id="5"/>
    </w:p>
    <w:p>
      <w:pPr>
        <w:rPr>
          <w:szCs w:val="22"/>
          <w:lang w:val="sk-SK"/>
        </w:rPr>
      </w:pPr>
    </w:p>
    <w:p>
      <w:pPr>
        <w:numPr>
          <w:ilvl w:val="0"/>
          <w:numId w:val="4"/>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1.1.20</w:t>
      </w:r>
      <w:r>
        <w:rPr>
          <w:rFonts w:hint="default"/>
          <w:szCs w:val="22"/>
          <w:lang w:val="sk-SK"/>
        </w:rPr>
        <w:t xml:space="preserve">22 </w:t>
      </w:r>
      <w:r>
        <w:rPr>
          <w:szCs w:val="22"/>
          <w:lang w:val="sk-SK"/>
        </w:rPr>
        <w:t>do 31.12.202</w:t>
      </w:r>
      <w:r>
        <w:rPr>
          <w:rFonts w:hint="default"/>
          <w:szCs w:val="22"/>
          <w:lang w:val="sk-SK"/>
        </w:rPr>
        <w:t>2</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pStyle w:val="3"/>
        <w:rPr>
          <w:lang w:val="sk-SK"/>
        </w:rPr>
      </w:pPr>
      <w:bookmarkStart w:id="6" w:name="_Toc156113568"/>
      <w:r>
        <w:rPr>
          <w:lang w:val="sk-SK"/>
        </w:rPr>
        <w:t>Schválenie účtovnej závierky zostavenej za predchádzajúce obdobie</w:t>
      </w:r>
      <w:bookmarkEnd w:id="6"/>
    </w:p>
    <w:p>
      <w:pPr>
        <w:rPr>
          <w:b/>
          <w:szCs w:val="22"/>
          <w:lang w:val="sk-SK"/>
        </w:rPr>
      </w:pPr>
    </w:p>
    <w:p>
      <w:pPr>
        <w:pStyle w:val="15"/>
        <w:numPr>
          <w:ilvl w:val="0"/>
          <w:numId w:val="5"/>
        </w:numPr>
        <w:rPr>
          <w:szCs w:val="22"/>
          <w:lang w:val="sk-SK"/>
        </w:rPr>
      </w:pPr>
      <w:r>
        <w:rPr>
          <w:szCs w:val="22"/>
          <w:lang w:val="sk-SK"/>
        </w:rPr>
        <w:t xml:space="preserve">Účtovná závierka bola schválená riadnym/mimoriadnym </w:t>
      </w:r>
    </w:p>
    <w:p>
      <w:pPr>
        <w:pStyle w:val="15"/>
        <w:ind w:firstLine="360"/>
        <w:rPr>
          <w:szCs w:val="22"/>
          <w:lang w:val="sk-SK"/>
        </w:rPr>
      </w:pPr>
      <w:r>
        <w:rPr>
          <w:szCs w:val="22"/>
          <w:lang w:val="sk-SK"/>
        </w:rPr>
        <w:t xml:space="preserve">valným zhromaždením. </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6"/>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pStyle w:val="15"/>
        <w:ind w:firstLine="360"/>
        <w:rPr>
          <w:szCs w:val="22"/>
          <w:lang w:val="sk-SK"/>
        </w:rPr>
      </w:pPr>
    </w:p>
    <w:p>
      <w:pPr>
        <w:pStyle w:val="15"/>
        <w:rPr>
          <w:szCs w:val="22"/>
          <w:lang w:val="sk-SK"/>
        </w:rPr>
      </w:pPr>
      <w:r>
        <w:rPr>
          <w:szCs w:val="22"/>
          <w:lang w:val="sk-SK"/>
        </w:rPr>
        <w:t>Účtovná závierka k 31.12.20</w:t>
      </w:r>
      <w:r>
        <w:rPr>
          <w:rFonts w:hint="default"/>
          <w:szCs w:val="22"/>
          <w:lang w:val="sk-SK"/>
        </w:rPr>
        <w:t>21</w:t>
      </w:r>
      <w:r>
        <w:rPr>
          <w:szCs w:val="22"/>
          <w:lang w:val="sk-SK"/>
        </w:rPr>
        <w:t xml:space="preserve"> za predchádzajúce účtovné obdobie bola schválená uznesením valného zhromaždenia Spoločnosti dňa 30.04.202</w:t>
      </w:r>
      <w:r>
        <w:rPr>
          <w:rFonts w:hint="default"/>
          <w:szCs w:val="22"/>
          <w:lang w:val="sk-SK"/>
        </w:rPr>
        <w:t>2</w:t>
      </w:r>
      <w:r>
        <w:rPr>
          <w:szCs w:val="22"/>
          <w:lang w:val="sk-SK"/>
        </w:rPr>
        <w:t>.</w:t>
      </w:r>
    </w:p>
    <w:p>
      <w:pPr>
        <w:rPr>
          <w:b/>
          <w:szCs w:val="22"/>
          <w:lang w:val="sk-SK"/>
        </w:rPr>
      </w:pPr>
    </w:p>
    <w:p>
      <w:pPr>
        <w:rPr>
          <w:b/>
          <w:szCs w:val="22"/>
          <w:lang w:val="sk-SK"/>
        </w:rPr>
      </w:pPr>
    </w:p>
    <w:p>
      <w:pPr>
        <w:pStyle w:val="3"/>
        <w:rPr>
          <w:lang w:val="sk-SK"/>
        </w:rPr>
      </w:pPr>
      <w:r>
        <w:rPr>
          <w:lang w:val="sk-SK"/>
        </w:rPr>
        <w:t>Zverejnenie účtovnej závierky za predchádzajúce účtovné obdobie</w:t>
      </w:r>
    </w:p>
    <w:p>
      <w:pPr>
        <w:rPr>
          <w:szCs w:val="22"/>
          <w:lang w:val="sk-SK"/>
        </w:rPr>
      </w:pPr>
    </w:p>
    <w:p>
      <w:pPr>
        <w:pStyle w:val="15"/>
        <w:rPr>
          <w:szCs w:val="22"/>
          <w:lang w:val="sk-SK"/>
        </w:rPr>
      </w:pPr>
      <w:r>
        <w:rPr>
          <w:szCs w:val="22"/>
          <w:lang w:val="sk-SK"/>
        </w:rPr>
        <w:t>Účtovná závierka Spoločnosti 31.12.20</w:t>
      </w:r>
      <w:r>
        <w:rPr>
          <w:rFonts w:hint="default"/>
          <w:szCs w:val="22"/>
          <w:lang w:val="sk-SK"/>
        </w:rPr>
        <w:t>21</w:t>
      </w:r>
      <w:r>
        <w:rPr>
          <w:szCs w:val="22"/>
          <w:lang w:val="sk-SK"/>
        </w:rPr>
        <w:t xml:space="preserve"> bola uložená do zbierky listín obchodného registra dňa 30.04.202</w:t>
      </w:r>
      <w:r>
        <w:rPr>
          <w:rFonts w:hint="default"/>
          <w:szCs w:val="22"/>
          <w:lang w:val="sk-SK"/>
        </w:rPr>
        <w:t>2</w:t>
      </w:r>
      <w:r>
        <w:rPr>
          <w:szCs w:val="22"/>
          <w:lang w:val="sk-SK"/>
        </w:rPr>
        <w:t xml:space="preserve">. </w:t>
      </w:r>
    </w:p>
    <w:p>
      <w:pPr>
        <w:pStyle w:val="15"/>
        <w:rPr>
          <w:szCs w:val="22"/>
          <w:lang w:val="sk-SK"/>
        </w:rPr>
      </w:pPr>
    </w:p>
    <w:p>
      <w:pPr>
        <w:pStyle w:val="15"/>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7" w:name="_Toc156113574"/>
      <w:r>
        <w:t>INFORMÁCE O POUŽITÝCH ÚČTOVNÝCH ZÁSADÁCH A ÚČTOVNÝCH METÓDACH</w:t>
      </w:r>
      <w:bookmarkEnd w:id="7"/>
    </w:p>
    <w:p>
      <w:pPr>
        <w:rPr>
          <w:szCs w:val="22"/>
          <w:lang w:val="sk-SK"/>
        </w:rPr>
      </w:pPr>
    </w:p>
    <w:p>
      <w:pPr>
        <w:pStyle w:val="3"/>
        <w:rPr>
          <w:lang w:val="sk-SK"/>
        </w:rPr>
      </w:pPr>
      <w:bookmarkStart w:id="8" w:name="_Toc156113575"/>
      <w:r>
        <w:rPr>
          <w:lang w:val="sk-SK"/>
        </w:rPr>
        <w:t>Východiská pre zostavenie účtovnej závierky</w:t>
      </w:r>
      <w:bookmarkEnd w:id="8"/>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68"/>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68"/>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9" w:name="_Toc156113578"/>
      <w:r>
        <w:rPr>
          <w:lang w:val="sk-SK"/>
        </w:rPr>
        <w:t>Spôsob ocenenia jednotlivých položiek majetku a záväzkov</w:t>
      </w:r>
      <w:bookmarkEnd w:id="9"/>
    </w:p>
    <w:p>
      <w:pPr>
        <w:rPr>
          <w:szCs w:val="22"/>
          <w:lang w:val="sk-SK"/>
        </w:rPr>
      </w:pPr>
    </w:p>
    <w:p>
      <w:pPr>
        <w:pStyle w:val="4"/>
      </w:pPr>
      <w:bookmarkStart w:id="10"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68"/>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68"/>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68"/>
        <w:rPr>
          <w:lang w:val="sk-SK"/>
        </w:rPr>
      </w:pPr>
      <w:r>
        <w:rPr>
          <w:lang w:val="sk-SK"/>
        </w:rPr>
        <w:t>Dlhodobý majetok nadobudnutý bezodplatne sa oceňuje reprodukčnou obstarávacou cenou, čo je cena, za ktorú by sa majetok obstaral v čase, keď sa o ňom účtuje.</w:t>
      </w:r>
    </w:p>
    <w:p>
      <w:pPr>
        <w:pStyle w:val="68"/>
        <w:rPr>
          <w:lang w:val="sk-SK"/>
        </w:rPr>
      </w:pPr>
    </w:p>
    <w:p>
      <w:pPr>
        <w:pStyle w:val="68"/>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68"/>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68"/>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68"/>
        <w:rPr>
          <w:lang w:val="sk-SK"/>
        </w:rPr>
      </w:pPr>
    </w:p>
    <w:p>
      <w:pPr>
        <w:pStyle w:val="68"/>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68"/>
        <w:rPr>
          <w:lang w:val="sk-SK"/>
        </w:rPr>
      </w:pPr>
    </w:p>
    <w:p>
      <w:pPr>
        <w:pStyle w:val="68"/>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68"/>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68"/>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68"/>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68"/>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68"/>
        <w:rPr>
          <w:lang w:val="sk-SK"/>
        </w:rPr>
      </w:pPr>
    </w:p>
    <w:p>
      <w:pPr>
        <w:pStyle w:val="68"/>
        <w:rPr>
          <w:lang w:val="sk-SK"/>
        </w:rPr>
      </w:pPr>
      <w:r>
        <w:rPr>
          <w:lang w:val="sk-SK"/>
        </w:rPr>
        <w:t>Rezerva na bonusy, rabaty, skontá a vrátenie kúpnej ceny pri reklamácii sa tvorí ako zníženie pôvodne dosiahnutých výnosov so súvzťažným zápisom v prospech účtu rezerv.</w:t>
      </w:r>
    </w:p>
    <w:p>
      <w:pPr>
        <w:pStyle w:val="68"/>
        <w:rPr>
          <w:lang w:val="sk-SK"/>
        </w:rPr>
      </w:pPr>
    </w:p>
    <w:p>
      <w:pPr>
        <w:pStyle w:val="68"/>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1"/>
        <w:suppressAutoHyphens/>
        <w:spacing w:after="0"/>
        <w:ind w:left="425"/>
        <w:rPr>
          <w:rFonts w:ascii="Garamond" w:hAnsi="Garamond" w:cs="Arial"/>
          <w:sz w:val="20"/>
          <w:lang w:val="sk-SK"/>
        </w:rPr>
      </w:pPr>
    </w:p>
    <w:p>
      <w:pPr>
        <w:pStyle w:val="4"/>
      </w:pPr>
      <w:r>
        <w:t>Splatná daň z príjmu</w:t>
      </w:r>
    </w:p>
    <w:p>
      <w:pPr>
        <w:pStyle w:val="71"/>
        <w:suppressAutoHyphens/>
        <w:spacing w:after="0"/>
        <w:ind w:left="425"/>
        <w:rPr>
          <w:rFonts w:ascii="Garamond" w:hAnsi="Garamond" w:cs="Arial"/>
          <w:sz w:val="20"/>
          <w:lang w:val="sk-SK"/>
        </w:rPr>
      </w:pPr>
    </w:p>
    <w:p>
      <w:pPr>
        <w:pStyle w:val="68"/>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68"/>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68"/>
        <w:rPr>
          <w:lang w:val="sk-SK"/>
        </w:rPr>
      </w:pPr>
    </w:p>
    <w:bookmarkEnd w:id="10"/>
    <w:p>
      <w:pPr>
        <w:pStyle w:val="4"/>
      </w:pPr>
      <w:bookmarkStart w:id="11" w:name="_Toc156113580"/>
      <w:r>
        <w:t>Prepočet údajov v cudzích menách na euro men</w:t>
      </w:r>
      <w:bookmarkEnd w:id="11"/>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2" w:name="_Toc156113582"/>
    </w:p>
    <w:p>
      <w:pPr>
        <w:pStyle w:val="2"/>
      </w:pPr>
      <w:r>
        <w:br w:type="page"/>
      </w:r>
      <w:r>
        <w:t>INFORMÁCIE O AKTÍVACH</w:t>
      </w:r>
      <w:bookmarkEnd w:id="12"/>
    </w:p>
    <w:p>
      <w:pPr>
        <w:rPr>
          <w:szCs w:val="22"/>
          <w:lang w:val="sk-SK"/>
        </w:rPr>
      </w:pPr>
    </w:p>
    <w:p>
      <w:pPr>
        <w:pStyle w:val="3"/>
        <w:rPr>
          <w:lang w:val="sk-SK"/>
        </w:rPr>
      </w:pPr>
      <w:r>
        <w:rPr>
          <w:lang w:val="sk-SK"/>
        </w:rPr>
        <w:t>Prehľad o pohybe dlhodobého majetku</w:t>
      </w:r>
    </w:p>
    <w:p>
      <w:pPr>
        <w:rPr>
          <w:lang w:val="sk-SK"/>
        </w:rPr>
      </w:pPr>
    </w:p>
    <w:p>
      <w:pPr>
        <w:pStyle w:val="4"/>
      </w:pPr>
      <w:bookmarkStart w:id="13" w:name="_MON_1387701983"/>
      <w:bookmarkEnd w:id="13"/>
      <w:bookmarkStart w:id="14" w:name="_MON_1387701806"/>
      <w:bookmarkEnd w:id="14"/>
      <w:bookmarkStart w:id="15" w:name="_MON_1388472854"/>
      <w:bookmarkEnd w:id="15"/>
      <w:bookmarkStart w:id="16" w:name="_MON_1387957758"/>
      <w:bookmarkEnd w:id="16"/>
      <w:bookmarkStart w:id="17" w:name="_MON_1387959787"/>
      <w:bookmarkEnd w:id="17"/>
      <w:bookmarkStart w:id="18" w:name="_MON_1387701767"/>
      <w:bookmarkEnd w:id="18"/>
      <w:bookmarkStart w:id="19" w:name="_MON_1387959298"/>
      <w:bookmarkEnd w:id="19"/>
      <w:bookmarkStart w:id="20" w:name="_MON_1387701654"/>
      <w:bookmarkEnd w:id="20"/>
      <w:bookmarkStart w:id="21" w:name="_MON_1387958883"/>
      <w:bookmarkEnd w:id="21"/>
      <w:bookmarkStart w:id="22" w:name="_MON_1388473228"/>
      <w:bookmarkEnd w:id="22"/>
      <w:bookmarkStart w:id="23" w:name="_MON_1388473410"/>
      <w:bookmarkEnd w:id="23"/>
      <w:bookmarkStart w:id="24" w:name="_MON_1388834286"/>
      <w:bookmarkEnd w:id="24"/>
      <w:bookmarkStart w:id="25" w:name="_MON_1388834320"/>
      <w:bookmarkEnd w:id="25"/>
      <w:bookmarkStart w:id="26" w:name="_MON_1388474016"/>
      <w:bookmarkEnd w:id="26"/>
      <w:bookmarkStart w:id="27" w:name="_MON_1387701632"/>
      <w:bookmarkEnd w:id="27"/>
      <w:bookmarkStart w:id="28" w:name="_MON_1387701047"/>
      <w:bookmarkEnd w:id="28"/>
      <w:bookmarkStart w:id="29" w:name="_MON_1387701679"/>
      <w:bookmarkEnd w:id="29"/>
      <w:bookmarkStart w:id="30" w:name="_MON_1387702399"/>
      <w:bookmarkEnd w:id="30"/>
      <w:bookmarkStart w:id="31" w:name="_MON_1389446630"/>
      <w:bookmarkEnd w:id="31"/>
      <w:bookmarkStart w:id="32" w:name="_MON_1388473997"/>
      <w:bookmarkEnd w:id="32"/>
      <w:bookmarkStart w:id="33" w:name="_MON_1387958914"/>
      <w:bookmarkEnd w:id="33"/>
      <w:bookmarkStart w:id="34" w:name="_MON_1388473966"/>
      <w:bookmarkEnd w:id="34"/>
      <w:bookmarkStart w:id="35" w:name="_MON_1387958660"/>
      <w:bookmarkEnd w:id="35"/>
      <w:bookmarkStart w:id="36" w:name="_MON_1388834303"/>
      <w:bookmarkEnd w:id="36"/>
      <w:bookmarkStart w:id="37" w:name="_MON_1387958607"/>
      <w:bookmarkEnd w:id="37"/>
      <w:bookmarkStart w:id="38" w:name="_MON_1387701206"/>
      <w:bookmarkEnd w:id="38"/>
      <w:bookmarkStart w:id="39" w:name="_MON_1388473461"/>
      <w:bookmarkEnd w:id="39"/>
      <w:bookmarkStart w:id="40" w:name="_MON_1388472908"/>
      <w:bookmarkEnd w:id="40"/>
      <w:bookmarkStart w:id="41" w:name="_MON_1387701236"/>
      <w:bookmarkEnd w:id="41"/>
      <w:bookmarkStart w:id="42" w:name="_MON_1388472775"/>
      <w:bookmarkEnd w:id="42"/>
      <w:bookmarkStart w:id="43" w:name="_MON_1387701747"/>
      <w:bookmarkEnd w:id="43"/>
      <w:r>
        <w:t xml:space="preserve">Prehľad o pohybe dlhodobého hmotného majetku </w:t>
      </w:r>
    </w:p>
    <w:p>
      <w:pPr>
        <w:jc w:val="center"/>
        <w:rPr>
          <w:b/>
          <w:lang w:val="sk-SK"/>
        </w:rPr>
      </w:pPr>
    </w:p>
    <w:p>
      <w:pPr>
        <w:autoSpaceDE w:val="0"/>
        <w:autoSpaceDN w:val="0"/>
        <w:adjustRightInd w:val="0"/>
        <w:rPr>
          <w:rFonts w:cs="TimesNewRomanPSMT"/>
          <w:szCs w:val="22"/>
          <w:lang w:val="sk-SK"/>
        </w:rPr>
      </w:pPr>
      <w:r>
        <w:rPr>
          <w:rFonts w:cs="TimesNewRomanPSMT"/>
          <w:szCs w:val="22"/>
          <w:lang w:val="sk-SK"/>
        </w:rPr>
        <w:t>Prehľad o pohybe dlhodobého hmotného majetku od 1. januára 202</w:t>
      </w:r>
      <w:r>
        <w:rPr>
          <w:rFonts w:hint="default" w:cs="TimesNewRomanPSMT"/>
          <w:szCs w:val="22"/>
          <w:lang w:val="sk-SK"/>
        </w:rPr>
        <w:t>2</w:t>
      </w:r>
      <w:r>
        <w:rPr>
          <w:rFonts w:cs="TimesNewRomanPSMT"/>
          <w:szCs w:val="22"/>
          <w:lang w:val="sk-SK"/>
        </w:rPr>
        <w:t xml:space="preserve"> do 31. decembra 202</w:t>
      </w:r>
      <w:r>
        <w:rPr>
          <w:rFonts w:hint="default" w:cs="TimesNewRomanPSMT"/>
          <w:szCs w:val="22"/>
          <w:lang w:val="sk-SK"/>
        </w:rPr>
        <w:t>2</w:t>
      </w:r>
      <w:r>
        <w:rPr>
          <w:rFonts w:cs="TimesNewRomanPSMT"/>
          <w:szCs w:val="22"/>
          <w:lang w:val="sk-SK"/>
        </w:rPr>
        <w:t xml:space="preserve"> a za porovnateľné obdobie od 1. januára 2</w:t>
      </w:r>
      <w:r>
        <w:rPr>
          <w:rFonts w:hint="default" w:cs="TimesNewRomanPSMT"/>
          <w:szCs w:val="22"/>
          <w:lang w:val="sk-SK"/>
        </w:rPr>
        <w:t>021</w:t>
      </w:r>
      <w:r>
        <w:rPr>
          <w:rFonts w:cs="TimesNewRomanPSMT"/>
          <w:szCs w:val="22"/>
          <w:lang w:val="sk-SK"/>
        </w:rPr>
        <w:t xml:space="preserve"> do 31. decembra 20</w:t>
      </w:r>
      <w:r>
        <w:rPr>
          <w:rFonts w:hint="default" w:cs="TimesNewRomanPSMT"/>
          <w:szCs w:val="22"/>
          <w:lang w:val="sk-SK"/>
        </w:rPr>
        <w:t>21</w:t>
      </w:r>
      <w:r>
        <w:rPr>
          <w:rFonts w:cs="TimesNewRomanPSMT"/>
          <w:szCs w:val="22"/>
          <w:lang w:val="sk-SK"/>
        </w:rPr>
        <w:t xml:space="preserve"> je uvedený v nasledujúcich tabuľkách:</w:t>
      </w:r>
    </w:p>
    <w:p>
      <w:pPr>
        <w:autoSpaceDE w:val="0"/>
        <w:autoSpaceDN w:val="0"/>
        <w:adjustRightInd w:val="0"/>
        <w:rPr>
          <w:b/>
          <w:szCs w:val="22"/>
          <w:lang w:val="sk-SK"/>
        </w:rPr>
      </w:pPr>
    </w:p>
    <w:p>
      <w:pPr>
        <w:rPr>
          <w:i/>
          <w:color w:val="FF0000"/>
          <w:szCs w:val="22"/>
          <w:lang w:val="sk-SK"/>
        </w:rPr>
      </w:pPr>
      <w:bookmarkStart w:id="44" w:name="_MON_1389446705"/>
      <w:bookmarkEnd w:id="44"/>
      <w:bookmarkStart w:id="45" w:name="_MON_1387960144"/>
      <w:bookmarkEnd w:id="45"/>
      <w:bookmarkStart w:id="46" w:name="_MON_1387705500"/>
      <w:bookmarkEnd w:id="46"/>
      <w:bookmarkStart w:id="47" w:name="_MON_1387705429"/>
      <w:bookmarkEnd w:id="47"/>
      <w:bookmarkStart w:id="48" w:name="_MON_1387705333"/>
      <w:bookmarkEnd w:id="48"/>
      <w:bookmarkStart w:id="49" w:name="_MON_1388473054"/>
      <w:bookmarkEnd w:id="49"/>
      <w:bookmarkStart w:id="50" w:name="_MON_1388473102"/>
      <w:bookmarkEnd w:id="50"/>
      <w:bookmarkStart w:id="51" w:name="_MON_1388473536"/>
      <w:bookmarkEnd w:id="51"/>
      <w:bookmarkStart w:id="52" w:name="_MON_1387705363"/>
      <w:bookmarkEnd w:id="52"/>
      <w:bookmarkStart w:id="53" w:name="_MON_1387705454"/>
      <w:bookmarkEnd w:id="53"/>
      <w:bookmarkStart w:id="54" w:name="_MON_1389446693"/>
      <w:bookmarkEnd w:id="54"/>
      <w:bookmarkStart w:id="55" w:name="_MON_1387705580"/>
      <w:bookmarkEnd w:id="55"/>
      <w:bookmarkStart w:id="56" w:name="_MON_1388834346"/>
      <w:bookmarkEnd w:id="56"/>
      <w:bookmarkStart w:id="57" w:name="_MON_1389446759"/>
      <w:bookmarkEnd w:id="57"/>
      <w:bookmarkStart w:id="58" w:name="_MON_1388474097"/>
      <w:bookmarkEnd w:id="58"/>
      <w:bookmarkStart w:id="59" w:name="_MON_1387705483"/>
      <w:bookmarkEnd w:id="59"/>
      <w:r>
        <w:rPr>
          <w:lang w:val="sk-SK"/>
        </w:rPr>
        <w:object>
          <v:shape id="_x0000_i1026" o:spt="75" type="#_x0000_t75" style="height:414.35pt;width:464.6pt;" o:ole="t" filled="f" o:preferrelative="t" stroked="f" coordsize="21600,21600">
            <v:path/>
            <v:fill on="f" focussize="0,0"/>
            <v:stroke on="f"/>
            <v:imagedata r:id="rId8" o:title=""/>
            <o:lock v:ext="edit" aspectratio="t"/>
            <w10:wrap type="none"/>
            <w10:anchorlock/>
          </v:shape>
          <o:OLEObject Type="Embed" ProgID="Excel.Sheet.12" ShapeID="_x0000_i1026" DrawAspect="Content" ObjectID="_1468075726" r:id="rId7">
            <o:LockedField>false</o:LockedField>
          </o:OLEObject>
        </w:object>
      </w:r>
    </w:p>
    <w:p>
      <w:pPr>
        <w:tabs>
          <w:tab w:val="right" w:pos="8506"/>
        </w:tabs>
        <w:rPr>
          <w:b/>
          <w:szCs w:val="22"/>
          <w:lang w:val="sk-SK"/>
        </w:rPr>
      </w:pPr>
    </w:p>
    <w:p>
      <w:pPr>
        <w:jc w:val="center"/>
        <w:rPr>
          <w:b/>
          <w:lang w:val="sk-SK"/>
        </w:rPr>
      </w:pPr>
    </w:p>
    <w:p>
      <w:pPr>
        <w:rPr>
          <w:b/>
          <w:lang w:val="sk-SK"/>
        </w:rPr>
      </w:pPr>
    </w:p>
    <w:p>
      <w:pPr>
        <w:rPr>
          <w:szCs w:val="22"/>
          <w:lang w:val="sk-SK"/>
        </w:rPr>
      </w:pPr>
      <w:bookmarkStart w:id="60" w:name="_MON_1388473616"/>
      <w:bookmarkEnd w:id="60"/>
      <w:bookmarkStart w:id="61" w:name="_MON_1388474546"/>
      <w:bookmarkEnd w:id="61"/>
      <w:bookmarkStart w:id="62" w:name="_MON_1388834362"/>
      <w:bookmarkEnd w:id="62"/>
    </w:p>
    <w:p>
      <w:pPr>
        <w:pStyle w:val="5"/>
        <w:ind w:left="0"/>
        <w:rPr>
          <w:szCs w:val="22"/>
          <w:lang w:val="sk-SK"/>
        </w:rPr>
      </w:pPr>
    </w:p>
    <w:p>
      <w:pPr>
        <w:tabs>
          <w:tab w:val="right" w:pos="8506"/>
        </w:tabs>
        <w:rPr>
          <w:b/>
          <w:szCs w:val="22"/>
          <w:lang w:val="sk-SK"/>
        </w:rPr>
      </w:pPr>
      <w:bookmarkStart w:id="63" w:name="_Toc156113587"/>
    </w:p>
    <w:p>
      <w:pPr>
        <w:rPr>
          <w:lang w:val="sk-SK"/>
        </w:rPr>
      </w:pPr>
    </w:p>
    <w:p>
      <w:pPr>
        <w:rPr>
          <w:lang w:val="sk-SK"/>
        </w:rPr>
      </w:pPr>
    </w:p>
    <w:p>
      <w:pPr>
        <w:rPr>
          <w:lang w:val="sk-SK"/>
        </w:rPr>
      </w:pPr>
      <w:bookmarkStart w:id="64" w:name="_MON_1457518273"/>
      <w:bookmarkEnd w:id="64"/>
      <w:r>
        <w:rPr>
          <w:lang w:val="sk-SK"/>
        </w:rPr>
        <w:object>
          <v:shape id="_x0000_i1027" o:spt="75" type="#_x0000_t75" style="height:413.7pt;width:464pt;" o:ole="t" filled="f" o:preferrelative="t" stroked="f" coordsize="21600,21600">
            <v:path/>
            <v:fill on="f" focussize="0,0"/>
            <v:stroke on="f"/>
            <v:imagedata r:id="rId10" o:title=""/>
            <o:lock v:ext="edit" aspectratio="t"/>
            <w10:wrap type="none"/>
            <w10:anchorlock/>
          </v:shape>
          <o:OLEObject Type="Embed" ProgID="Excel.Sheet.12" ShapeID="_x0000_i1027" DrawAspect="Content" ObjectID="_1468075727" r:id="rId9">
            <o:LockedField>false</o:LockedField>
          </o:OLEObject>
        </w:object>
      </w:r>
    </w:p>
    <w:p>
      <w:pPr>
        <w:pStyle w:val="3"/>
        <w:rPr>
          <w:lang w:val="sk-SK"/>
        </w:rPr>
      </w:pPr>
      <w:r>
        <w:rPr>
          <w:lang w:val="sk-SK"/>
        </w:rPr>
        <w:br w:type="page"/>
      </w:r>
    </w:p>
    <w:bookmarkEnd w:id="63"/>
    <w:p>
      <w:pPr>
        <w:pStyle w:val="3"/>
        <w:rPr>
          <w:lang w:val="sk-SK"/>
        </w:rPr>
      </w:pPr>
      <w:bookmarkStart w:id="65" w:name="_MON_1387707550"/>
      <w:bookmarkEnd w:id="65"/>
      <w:bookmarkStart w:id="66" w:name="_MON_1392033045"/>
      <w:bookmarkEnd w:id="66"/>
      <w:bookmarkStart w:id="67" w:name="_MON_1388475824"/>
      <w:bookmarkEnd w:id="67"/>
      <w:bookmarkStart w:id="68" w:name="_MON_1387707463"/>
      <w:bookmarkEnd w:id="68"/>
      <w:bookmarkStart w:id="69" w:name="_MON_1388475803"/>
      <w:bookmarkEnd w:id="69"/>
      <w:bookmarkStart w:id="70" w:name="_MON_1388475785"/>
      <w:bookmarkEnd w:id="70"/>
      <w:bookmarkStart w:id="71" w:name="_MON_1388475817"/>
      <w:bookmarkEnd w:id="71"/>
      <w:bookmarkStart w:id="72" w:name="_MON_1387961382"/>
      <w:bookmarkEnd w:id="72"/>
      <w:bookmarkStart w:id="73" w:name="_MON_1392033048"/>
      <w:bookmarkEnd w:id="73"/>
      <w:bookmarkStart w:id="74" w:name="_MON_1388475743"/>
      <w:bookmarkEnd w:id="74"/>
      <w:bookmarkStart w:id="75" w:name="_MON_1389447060"/>
      <w:bookmarkEnd w:id="75"/>
      <w:bookmarkStart w:id="76" w:name="_Toc156113590"/>
      <w:r>
        <w:rPr>
          <w:lang w:val="sk-SK"/>
        </w:rPr>
        <w:t xml:space="preserve">Informácie o zásobách </w:t>
      </w:r>
    </w:p>
    <w:bookmarkEnd w:id="76"/>
    <w:p>
      <w:pPr>
        <w:rPr>
          <w:szCs w:val="22"/>
          <w:lang w:val="sk-SK"/>
        </w:rPr>
      </w:pPr>
    </w:p>
    <w:p>
      <w:pPr>
        <w:pStyle w:val="5"/>
        <w:ind w:left="0"/>
        <w:rPr>
          <w:szCs w:val="22"/>
          <w:lang w:val="sk-SK"/>
        </w:rPr>
      </w:pPr>
      <w:bookmarkStart w:id="77" w:name="_MON_1387707840"/>
      <w:bookmarkEnd w:id="77"/>
      <w:bookmarkStart w:id="78" w:name="_MON_1387961466"/>
      <w:bookmarkEnd w:id="78"/>
      <w:bookmarkStart w:id="79" w:name="_MON_1388475959"/>
      <w:bookmarkEnd w:id="79"/>
      <w:bookmarkStart w:id="80" w:name="_MON_1392033060"/>
      <w:bookmarkEnd w:id="80"/>
      <w:bookmarkStart w:id="81" w:name="_MON_1387707762"/>
      <w:bookmarkEnd w:id="81"/>
      <w:bookmarkStart w:id="82" w:name="_MON_1388475984"/>
      <w:bookmarkEnd w:id="82"/>
      <w:bookmarkStart w:id="83" w:name="_MON_1387707681"/>
      <w:bookmarkEnd w:id="83"/>
      <w:bookmarkStart w:id="84" w:name="_MON_1387707897"/>
      <w:bookmarkEnd w:id="84"/>
      <w:bookmarkStart w:id="85" w:name="_MON_1387707883"/>
      <w:bookmarkEnd w:id="85"/>
      <w:bookmarkStart w:id="86" w:name="_MON_1389447082"/>
      <w:bookmarkEnd w:id="86"/>
    </w:p>
    <w:p>
      <w:pPr>
        <w:tabs>
          <w:tab w:val="right" w:pos="8506"/>
        </w:tabs>
        <w:rPr>
          <w:b/>
          <w:szCs w:val="22"/>
          <w:lang w:val="sk-SK"/>
        </w:rPr>
      </w:pPr>
    </w:p>
    <w:p>
      <w:pPr>
        <w:pStyle w:val="4"/>
      </w:pPr>
      <w:bookmarkStart w:id="87" w:name="_Toc156113592"/>
      <w:r>
        <w:t>Účtovná jednotka vykazuje v účtovnej závierke zásoby,</w:t>
      </w:r>
      <w:bookmarkEnd w:id="87"/>
    </w:p>
    <w:p>
      <w:pPr>
        <w:pStyle w:val="5"/>
        <w:ind w:left="0"/>
        <w:rPr>
          <w:szCs w:val="22"/>
          <w:lang w:val="sk-SK"/>
        </w:rPr>
      </w:pPr>
    </w:p>
    <w:p>
      <w:pPr>
        <w:numPr>
          <w:ilvl w:val="0"/>
          <w:numId w:val="6"/>
        </w:numPr>
        <w:rPr>
          <w:szCs w:val="22"/>
          <w:lang w:val="sk-SK"/>
        </w:rPr>
      </w:pPr>
      <w:r>
        <w:rPr>
          <w:szCs w:val="22"/>
          <w:lang w:val="sk-SK"/>
        </w:rPr>
        <w:t>na ktoré je zriadené záložné právo</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rPr>
          <w:szCs w:val="22"/>
          <w:lang w:val="sk-SK"/>
        </w:rPr>
      </w:pPr>
      <w:bookmarkStart w:id="88" w:name="_MON_1392033064"/>
      <w:bookmarkEnd w:id="88"/>
      <w:bookmarkStart w:id="89" w:name="_MON_1387788183"/>
      <w:bookmarkEnd w:id="89"/>
      <w:bookmarkStart w:id="90" w:name="_MON_1389447094"/>
      <w:bookmarkEnd w:id="90"/>
      <w:bookmarkStart w:id="91" w:name="_MON_1387961639"/>
      <w:bookmarkEnd w:id="91"/>
      <w:bookmarkStart w:id="92" w:name="_MON_1387961690"/>
      <w:bookmarkEnd w:id="92"/>
      <w:bookmarkStart w:id="93" w:name="_MON_1387788213"/>
      <w:bookmarkEnd w:id="93"/>
      <w:bookmarkStart w:id="94" w:name="_MON_1388476026"/>
      <w:bookmarkEnd w:id="94"/>
      <w:bookmarkStart w:id="95" w:name="_MON_1387788255"/>
      <w:bookmarkEnd w:id="95"/>
      <w:bookmarkStart w:id="96" w:name="_MON_1392033974"/>
      <w:bookmarkEnd w:id="96"/>
      <w:bookmarkStart w:id="97" w:name="_MON_1388476044"/>
      <w:bookmarkEnd w:id="97"/>
      <w:bookmarkStart w:id="98" w:name="_MON_1387788196"/>
      <w:bookmarkEnd w:id="98"/>
      <w:bookmarkStart w:id="99" w:name="_MON_1388476065"/>
      <w:bookmarkEnd w:id="99"/>
      <w:r>
        <w:rPr>
          <w:szCs w:val="22"/>
          <w:lang w:val="sk-SK"/>
        </w:rPr>
        <w:object>
          <v:shape id="_x0000_i1028" o:spt="75" type="#_x0000_t75" style="height:25.8pt;width:423.85pt;" o:ole="t" filled="f" o:preferrelative="t" stroked="f" coordsize="21600,21600">
            <v:path/>
            <v:fill on="f" focussize="0,0"/>
            <v:stroke on="f" joinstyle="miter"/>
            <v:imagedata r:id="rId12" o:title=""/>
            <o:lock v:ext="edit" aspectratio="t"/>
            <w10:wrap type="none"/>
            <w10:anchorlock/>
          </v:shape>
          <o:OLEObject Type="Embed" ProgID="Excel.Sheet.12" ShapeID="_x0000_i1028" DrawAspect="Content" ObjectID="_1468075728" r:id="rId11">
            <o:LockedField>false</o:LockedField>
          </o:OLEObject>
        </w:object>
      </w:r>
    </w:p>
    <w:p>
      <w:pPr>
        <w:tabs>
          <w:tab w:val="right" w:pos="8506"/>
        </w:tabs>
        <w:rPr>
          <w:b/>
          <w:szCs w:val="22"/>
          <w:lang w:val="sk-SK"/>
        </w:rPr>
      </w:pPr>
    </w:p>
    <w:p>
      <w:pPr>
        <w:numPr>
          <w:ilvl w:val="0"/>
          <w:numId w:val="7"/>
        </w:numPr>
        <w:rPr>
          <w:szCs w:val="22"/>
          <w:lang w:val="sk-SK"/>
        </w:rPr>
      </w:pPr>
      <w:r>
        <w:rPr>
          <w:szCs w:val="22"/>
          <w:lang w:val="sk-SK"/>
        </w:rPr>
        <w:t>s ktorými má obmedzené právo nakladania</w:t>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tabs>
          <w:tab w:val="right" w:pos="8506"/>
        </w:tabs>
        <w:rPr>
          <w:b/>
          <w:szCs w:val="22"/>
          <w:lang w:val="sk-SK"/>
        </w:rPr>
      </w:pPr>
    </w:p>
    <w:p>
      <w:pPr>
        <w:rPr>
          <w:szCs w:val="22"/>
          <w:lang w:val="sk-SK"/>
        </w:rPr>
      </w:pPr>
    </w:p>
    <w:p>
      <w:pPr>
        <w:rPr>
          <w:szCs w:val="22"/>
          <w:lang w:val="sk-SK"/>
        </w:rPr>
      </w:pPr>
    </w:p>
    <w:p>
      <w:pPr>
        <w:rPr>
          <w:szCs w:val="22"/>
          <w:lang w:val="sk-SK"/>
        </w:rPr>
      </w:pPr>
    </w:p>
    <w:p>
      <w:pPr>
        <w:pStyle w:val="24"/>
        <w:rPr>
          <w:szCs w:val="22"/>
          <w:lang w:val="sk-SK"/>
        </w:rPr>
      </w:pPr>
    </w:p>
    <w:p>
      <w:pPr>
        <w:pStyle w:val="3"/>
        <w:rPr>
          <w:lang w:val="sk-SK"/>
        </w:rPr>
      </w:pPr>
      <w:bookmarkStart w:id="100" w:name="_Toc156113601"/>
      <w:r>
        <w:rPr>
          <w:lang w:val="sk-SK"/>
        </w:rPr>
        <w:t>Údaje o pohľadávkach</w:t>
      </w:r>
      <w:bookmarkEnd w:id="100"/>
    </w:p>
    <w:p>
      <w:pPr>
        <w:tabs>
          <w:tab w:val="right" w:pos="8506"/>
        </w:tabs>
        <w:rPr>
          <w:b/>
          <w:szCs w:val="22"/>
          <w:lang w:val="sk-SK"/>
        </w:rPr>
      </w:pPr>
      <w:bookmarkStart w:id="101" w:name="_Toc156113603"/>
    </w:p>
    <w:bookmarkEnd w:id="101"/>
    <w:p>
      <w:pPr>
        <w:pStyle w:val="4"/>
      </w:pPr>
      <w:r>
        <w:t>Veková štruktúra pohľadávok</w:t>
      </w:r>
    </w:p>
    <w:p>
      <w:pPr>
        <w:rPr>
          <w:szCs w:val="22"/>
          <w:lang w:val="sk-SK"/>
        </w:rPr>
      </w:pPr>
    </w:p>
    <w:p>
      <w:pPr>
        <w:rPr>
          <w:rFonts w:cs="TimesNewRomanPSMT"/>
          <w:szCs w:val="22"/>
          <w:lang w:val="sk-SK"/>
        </w:rPr>
      </w:pPr>
      <w:r>
        <w:rPr>
          <w:rFonts w:cs="TimesNewRomanPSMT"/>
          <w:szCs w:val="22"/>
          <w:lang w:val="sk-SK"/>
        </w:rPr>
        <w:t>Veková štruktúra pohľadávok za bežné účtovné obdobie je uvedená v nasledujúcom prehľade:</w:t>
      </w:r>
    </w:p>
    <w:p>
      <w:pPr>
        <w:rPr>
          <w:szCs w:val="22"/>
          <w:lang w:val="sk-SK"/>
        </w:rPr>
      </w:pPr>
    </w:p>
    <w:p>
      <w:pPr>
        <w:rPr>
          <w:szCs w:val="22"/>
          <w:lang w:val="sk-SK"/>
        </w:rPr>
      </w:pPr>
      <w:r>
        <w:rPr>
          <w:szCs w:val="22"/>
          <w:lang w:val="sk-SK"/>
        </w:rPr>
        <w:t>Pohľadávky k 31.12.202</w:t>
      </w:r>
      <w:r>
        <w:rPr>
          <w:rFonts w:hint="default"/>
          <w:szCs w:val="22"/>
          <w:lang w:val="sk-SK"/>
        </w:rPr>
        <w:t>2</w:t>
      </w:r>
      <w:r>
        <w:rPr>
          <w:szCs w:val="22"/>
          <w:lang w:val="sk-SK"/>
        </w:rPr>
        <w:t>:</w:t>
      </w:r>
    </w:p>
    <w:p>
      <w:pPr>
        <w:rPr>
          <w:color w:val="FF0000"/>
          <w:szCs w:val="22"/>
          <w:lang w:val="sk-SK"/>
        </w:rPr>
      </w:pPr>
    </w:p>
    <w:p>
      <w:pPr>
        <w:rPr>
          <w:szCs w:val="22"/>
          <w:lang w:val="sk-SK"/>
        </w:rPr>
      </w:pPr>
      <w:bookmarkStart w:id="102" w:name="_MON_1387714041"/>
      <w:bookmarkEnd w:id="102"/>
      <w:bookmarkStart w:id="103" w:name="_MON_1392034039"/>
      <w:bookmarkEnd w:id="103"/>
      <w:bookmarkStart w:id="104" w:name="_MON_1389447409"/>
      <w:bookmarkEnd w:id="104"/>
      <w:bookmarkStart w:id="105" w:name="_MON_1389447395"/>
      <w:bookmarkEnd w:id="105"/>
      <w:bookmarkStart w:id="106" w:name="_MON_1388476282"/>
      <w:bookmarkEnd w:id="106"/>
      <w:bookmarkStart w:id="107" w:name="_MON_1387713999"/>
      <w:bookmarkEnd w:id="107"/>
      <w:bookmarkStart w:id="108" w:name="_MON_1387713986"/>
      <w:bookmarkEnd w:id="108"/>
      <w:bookmarkStart w:id="109" w:name="_MON_1387714150"/>
      <w:bookmarkEnd w:id="109"/>
      <w:bookmarkStart w:id="110" w:name="_MON_1387962075"/>
      <w:bookmarkEnd w:id="110"/>
      <w:bookmarkStart w:id="111" w:name="_MON_1387714059"/>
      <w:bookmarkEnd w:id="111"/>
      <w:bookmarkStart w:id="112" w:name="_MON_1387714241"/>
      <w:bookmarkEnd w:id="112"/>
      <w:bookmarkStart w:id="113" w:name="_MON_1387962125"/>
      <w:bookmarkEnd w:id="113"/>
      <w:bookmarkStart w:id="114" w:name="_MON_1387714217"/>
      <w:bookmarkEnd w:id="114"/>
      <w:bookmarkStart w:id="115" w:name="_MON_1387714180"/>
      <w:bookmarkEnd w:id="115"/>
      <w:bookmarkStart w:id="116" w:name="_MON_1387714166"/>
      <w:bookmarkEnd w:id="116"/>
      <w:r>
        <w:rPr>
          <w:szCs w:val="22"/>
          <w:lang w:val="sk-SK"/>
        </w:rPr>
        <w:object>
          <v:shape id="_x0000_i1029" o:spt="75" type="#_x0000_t75" style="height:206.5pt;width:418.4pt;" o:ole="t" filled="f" o:preferrelative="t" stroked="f" coordsize="21600,21600">
            <v:path/>
            <v:fill on="f" focussize="0,0"/>
            <v:stroke on="f"/>
            <v:imagedata r:id="rId14" o:title=""/>
            <o:lock v:ext="edit" aspectratio="t"/>
            <w10:wrap type="none"/>
            <w10:anchorlock/>
          </v:shape>
          <o:OLEObject Type="Embed" ProgID="Excel.Sheet.12" ShapeID="_x0000_i1029" DrawAspect="Content" ObjectID="_1468075729" r:id="rId13">
            <o:LockedField>false</o:LockedField>
          </o:OLEObject>
        </w:object>
      </w:r>
    </w:p>
    <w:p>
      <w:pPr>
        <w:tabs>
          <w:tab w:val="right" w:pos="8506"/>
        </w:tabs>
        <w:rPr>
          <w:b/>
          <w:szCs w:val="22"/>
          <w:lang w:val="sk-SK"/>
        </w:rPr>
      </w:pPr>
    </w:p>
    <w:p>
      <w:pPr>
        <w:rPr>
          <w:szCs w:val="22"/>
          <w:lang w:val="sk-SK"/>
        </w:rPr>
      </w:pPr>
      <w:r>
        <w:rPr>
          <w:szCs w:val="22"/>
          <w:lang w:val="sk-SK"/>
        </w:rPr>
        <w:br w:type="page"/>
      </w:r>
    </w:p>
    <w:p>
      <w:pPr>
        <w:rPr>
          <w:szCs w:val="22"/>
          <w:lang w:val="sk-SK"/>
        </w:rPr>
      </w:pPr>
      <w:r>
        <w:rPr>
          <w:szCs w:val="22"/>
          <w:lang w:val="sk-SK"/>
        </w:rPr>
        <w:t>Pohľadávky k  31.12.20</w:t>
      </w:r>
      <w:r>
        <w:rPr>
          <w:rFonts w:hint="default"/>
          <w:szCs w:val="22"/>
          <w:lang w:val="sk-SK"/>
        </w:rPr>
        <w:t>21</w:t>
      </w:r>
      <w:r>
        <w:rPr>
          <w:szCs w:val="22"/>
          <w:lang w:val="sk-SK"/>
        </w:rPr>
        <w:t>:</w:t>
      </w:r>
    </w:p>
    <w:p>
      <w:pPr>
        <w:rPr>
          <w:color w:val="FF0000"/>
          <w:szCs w:val="22"/>
          <w:lang w:val="sk-SK"/>
        </w:rPr>
      </w:pPr>
    </w:p>
    <w:p>
      <w:pPr>
        <w:rPr>
          <w:szCs w:val="22"/>
          <w:lang w:val="sk-SK"/>
        </w:rPr>
      </w:pPr>
      <w:bookmarkStart w:id="117" w:name="_MON_1457505308"/>
      <w:bookmarkEnd w:id="117"/>
      <w:r>
        <w:rPr>
          <w:szCs w:val="22"/>
          <w:lang w:val="sk-SK"/>
        </w:rPr>
        <w:object>
          <v:shape id="_x0000_i1030" o:spt="75" type="#_x0000_t75" style="height:241.05pt;width:417.75pt;" o:ole="t" filled="f" o:preferrelative="t" stroked="f" coordsize="21600,21600">
            <v:path/>
            <v:fill on="f" focussize="0,0"/>
            <v:stroke on="f"/>
            <v:imagedata r:id="rId16" o:title=""/>
            <o:lock v:ext="edit" aspectratio="t"/>
            <w10:wrap type="none"/>
            <w10:anchorlock/>
          </v:shape>
          <o:OLEObject Type="Embed" ProgID="Excel.Sheet.12" ShapeID="_x0000_i1030" DrawAspect="Content" ObjectID="_1468075730" r:id="rId15">
            <o:LockedField>false</o:LockedField>
          </o:OLEObject>
        </w:object>
      </w:r>
    </w:p>
    <w:p>
      <w:pPr>
        <w:tabs>
          <w:tab w:val="right" w:pos="8506"/>
        </w:tabs>
        <w:rPr>
          <w:b/>
          <w:szCs w:val="22"/>
          <w:lang w:val="sk-SK"/>
        </w:rPr>
      </w:pPr>
    </w:p>
    <w:p>
      <w:pPr>
        <w:tabs>
          <w:tab w:val="right" w:pos="8506"/>
        </w:tabs>
        <w:rPr>
          <w:b/>
          <w:szCs w:val="22"/>
          <w:lang w:val="sk-SK"/>
        </w:rPr>
      </w:pPr>
    </w:p>
    <w:p>
      <w:pPr>
        <w:pStyle w:val="4"/>
      </w:pPr>
      <w:bookmarkStart w:id="118" w:name="_Toc156113606"/>
      <w:r>
        <w:t>Účtovná jednotka vykazuje v účtovnej závierke pohľadávky,</w:t>
      </w:r>
      <w:bookmarkEnd w:id="118"/>
    </w:p>
    <w:p>
      <w:pPr>
        <w:rPr>
          <w:szCs w:val="22"/>
          <w:lang w:val="sk-SK"/>
        </w:rPr>
      </w:pPr>
    </w:p>
    <w:p>
      <w:pPr>
        <w:numPr>
          <w:ilvl w:val="0"/>
          <w:numId w:val="8"/>
        </w:numPr>
        <w:rPr>
          <w:szCs w:val="22"/>
          <w:lang w:val="sk-SK"/>
        </w:rPr>
      </w:pPr>
      <w:r>
        <w:rPr>
          <w:szCs w:val="22"/>
          <w:lang w:val="sk-SK"/>
        </w:rPr>
        <w:t>kryté záložným právom</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numPr>
          <w:ilvl w:val="0"/>
          <w:numId w:val="9"/>
        </w:numPr>
        <w:rPr>
          <w:szCs w:val="22"/>
          <w:lang w:val="sk-SK"/>
        </w:rPr>
      </w:pPr>
      <w:r>
        <w:rPr>
          <w:szCs w:val="22"/>
          <w:lang w:val="sk-SK"/>
        </w:rPr>
        <w:t>kryté inou formou zabezpečenia</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numPr>
          <w:ilvl w:val="0"/>
          <w:numId w:val="10"/>
        </w:numPr>
        <w:rPr>
          <w:szCs w:val="22"/>
          <w:lang w:val="sk-SK"/>
        </w:rPr>
      </w:pPr>
      <w:r>
        <w:rPr>
          <w:szCs w:val="22"/>
          <w:lang w:val="sk-SK"/>
        </w:rPr>
        <w:t>pri ktorých má obmedzené právo nakladania</w:t>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rPr>
          <w:szCs w:val="22"/>
          <w:lang w:val="sk-SK"/>
        </w:rPr>
      </w:pPr>
    </w:p>
    <w:p>
      <w:pPr>
        <w:rPr>
          <w:lang w:val="sk-SK"/>
        </w:rPr>
      </w:pPr>
    </w:p>
    <w:p>
      <w:pPr>
        <w:rPr>
          <w:lang w:val="sk-SK"/>
        </w:rPr>
      </w:pPr>
    </w:p>
    <w:p>
      <w:pPr>
        <w:pStyle w:val="3"/>
        <w:rPr>
          <w:lang w:val="sk-SK"/>
        </w:rPr>
      </w:pPr>
      <w:bookmarkStart w:id="119" w:name="_Toc156113608"/>
      <w:r>
        <w:rPr>
          <w:lang w:val="sk-SK"/>
        </w:rPr>
        <w:t>Údaje o finančnom majetku</w:t>
      </w:r>
      <w:bookmarkEnd w:id="119"/>
    </w:p>
    <w:p>
      <w:pPr>
        <w:rPr>
          <w:b/>
          <w:szCs w:val="22"/>
          <w:lang w:val="sk-SK"/>
        </w:rPr>
      </w:pPr>
    </w:p>
    <w:p>
      <w:pPr>
        <w:pStyle w:val="4"/>
      </w:pPr>
      <w:bookmarkStart w:id="120" w:name="_Toc156113609"/>
      <w:r>
        <w:t xml:space="preserve">Peniaze a účty v bankách </w:t>
      </w:r>
      <w:bookmarkEnd w:id="120"/>
    </w:p>
    <w:p>
      <w:pPr>
        <w:rPr>
          <w:szCs w:val="22"/>
          <w:lang w:val="sk-SK"/>
        </w:rPr>
      </w:pPr>
    </w:p>
    <w:p>
      <w:pPr>
        <w:autoSpaceDE w:val="0"/>
        <w:autoSpaceDN w:val="0"/>
        <w:adjustRightInd w:val="0"/>
        <w:rPr>
          <w:rFonts w:cs="TimesNewRomanPSMT"/>
          <w:szCs w:val="22"/>
          <w:lang w:val="sk-SK"/>
        </w:rPr>
      </w:pPr>
      <w:r>
        <w:rPr>
          <w:rFonts w:cs="TimesNewRomanPSMT"/>
          <w:szCs w:val="22"/>
          <w:lang w:val="sk-SK"/>
        </w:rPr>
        <w:t xml:space="preserve">Ako finančné účty sú vykázané peniaze v pokladnici, účty v bankách a cenné papiere. Účtami v bankách môže Spoločnosť voľne disponovať. </w:t>
      </w:r>
    </w:p>
    <w:p>
      <w:pPr>
        <w:rPr>
          <w:szCs w:val="22"/>
          <w:lang w:val="sk-SK"/>
        </w:rPr>
      </w:pPr>
      <w:r>
        <w:rPr>
          <w:rFonts w:cs="TimesNewRomanPSMT"/>
          <w:szCs w:val="22"/>
          <w:lang w:val="sk-SK"/>
        </w:rPr>
        <w:t>Prehľad jednotlivých položiek finančných účtov:</w:t>
      </w:r>
    </w:p>
    <w:p>
      <w:pPr>
        <w:rPr>
          <w:szCs w:val="22"/>
          <w:lang w:val="sk-SK"/>
        </w:rPr>
      </w:pPr>
    </w:p>
    <w:p>
      <w:pPr>
        <w:rPr>
          <w:szCs w:val="22"/>
          <w:lang w:val="sk-SK"/>
        </w:rPr>
      </w:pPr>
      <w:bookmarkStart w:id="121" w:name="_MON_1388483153"/>
      <w:bookmarkEnd w:id="121"/>
      <w:bookmarkStart w:id="122" w:name="_MON_1387714403"/>
      <w:bookmarkEnd w:id="122"/>
      <w:bookmarkStart w:id="123" w:name="_MON_1392034097"/>
      <w:bookmarkEnd w:id="123"/>
      <w:bookmarkStart w:id="124" w:name="_MON_1389447465"/>
      <w:bookmarkEnd w:id="124"/>
      <w:bookmarkStart w:id="125" w:name="_MON_1387962382"/>
      <w:bookmarkEnd w:id="125"/>
      <w:bookmarkStart w:id="126" w:name="_MON_1388476554"/>
      <w:bookmarkEnd w:id="126"/>
      <w:r>
        <w:rPr>
          <w:szCs w:val="22"/>
          <w:lang w:val="sk-SK"/>
        </w:rPr>
        <w:object>
          <v:shape id="_x0000_i1031" o:spt="75" type="#_x0000_t75" style="height:101.3pt;width:335.55pt;" o:ole="t" filled="f" o:preferrelative="t" stroked="f" coordsize="21600,21600">
            <v:path/>
            <v:fill on="f" focussize="0,0"/>
            <v:stroke on="f"/>
            <v:imagedata r:id="rId18" o:title=""/>
            <o:lock v:ext="edit" aspectratio="t"/>
            <w10:wrap type="none"/>
            <w10:anchorlock/>
          </v:shape>
          <o:OLEObject Type="Embed" ProgID="Excel.Sheet.12" ShapeID="_x0000_i1031" DrawAspect="Content" ObjectID="_1468075731" r:id="rId17">
            <o:LockedField>false</o:LockedField>
          </o:OLEObject>
        </w:object>
      </w:r>
    </w:p>
    <w:p>
      <w:pPr>
        <w:rPr>
          <w:szCs w:val="22"/>
          <w:lang w:val="sk-SK"/>
        </w:rPr>
      </w:pPr>
    </w:p>
    <w:p>
      <w:pPr>
        <w:rPr>
          <w:szCs w:val="22"/>
          <w:lang w:val="sk-SK"/>
        </w:rPr>
      </w:pPr>
    </w:p>
    <w:p>
      <w:pPr>
        <w:pStyle w:val="4"/>
        <w:numPr>
          <w:ilvl w:val="0"/>
          <w:numId w:val="0"/>
        </w:numPr>
        <w:ind w:left="601" w:hanging="601"/>
        <w:rPr>
          <w:i/>
          <w:color w:val="FF0000"/>
        </w:rPr>
      </w:pPr>
      <w:bookmarkStart w:id="127" w:name="_Toc156113610"/>
      <w:r>
        <w:br w:type="page"/>
      </w:r>
      <w:bookmarkEnd w:id="127"/>
    </w:p>
    <w:p>
      <w:pPr>
        <w:pStyle w:val="15"/>
        <w:rPr>
          <w:szCs w:val="22"/>
          <w:lang w:val="sk-SK"/>
        </w:rPr>
      </w:pPr>
    </w:p>
    <w:p>
      <w:pPr>
        <w:pStyle w:val="3"/>
        <w:rPr>
          <w:lang w:val="sk-SK"/>
        </w:rPr>
      </w:pPr>
      <w:bookmarkStart w:id="128" w:name="_Toc156113612"/>
      <w:r>
        <w:rPr>
          <w:lang w:val="sk-SK"/>
        </w:rPr>
        <w:t>Časové rozlíšenie aktív</w:t>
      </w:r>
      <w:bookmarkEnd w:id="128"/>
    </w:p>
    <w:p>
      <w:pPr>
        <w:pStyle w:val="24"/>
        <w:rPr>
          <w:szCs w:val="22"/>
          <w:lang w:val="sk-SK"/>
        </w:rPr>
      </w:pPr>
    </w:p>
    <w:p>
      <w:pPr>
        <w:pStyle w:val="68"/>
        <w:rPr>
          <w:lang w:val="sk-SK"/>
        </w:rPr>
      </w:pPr>
      <w:r>
        <w:rPr>
          <w:lang w:val="sk-SK"/>
        </w:rPr>
        <w:t>Významné položky časového rozlíšenia sú uvedené v nasledujúcej tabuľke:</w:t>
      </w:r>
    </w:p>
    <w:p>
      <w:pPr>
        <w:pStyle w:val="68"/>
        <w:rPr>
          <w:lang w:val="sk-SK"/>
        </w:rPr>
      </w:pPr>
    </w:p>
    <w:p>
      <w:pPr>
        <w:pStyle w:val="24"/>
        <w:rPr>
          <w:b/>
          <w:szCs w:val="22"/>
          <w:lang w:val="sk-SK"/>
        </w:rPr>
      </w:pPr>
      <w:bookmarkStart w:id="129" w:name="_MON_1388486976"/>
      <w:bookmarkEnd w:id="129"/>
      <w:bookmarkStart w:id="130" w:name="_MON_1387962653"/>
      <w:bookmarkEnd w:id="130"/>
      <w:bookmarkStart w:id="131" w:name="_MON_1393702527"/>
      <w:bookmarkEnd w:id="131"/>
      <w:bookmarkStart w:id="132" w:name="_MON_1389448010"/>
      <w:bookmarkEnd w:id="132"/>
      <w:bookmarkStart w:id="133" w:name="_MON_1388486922"/>
      <w:bookmarkEnd w:id="133"/>
      <w:bookmarkStart w:id="134" w:name="_MON_1387788841"/>
      <w:bookmarkEnd w:id="134"/>
      <w:bookmarkStart w:id="135" w:name="_MON_1388486953"/>
      <w:bookmarkEnd w:id="135"/>
      <w:bookmarkStart w:id="136" w:name="_MON_1392034159"/>
      <w:bookmarkEnd w:id="136"/>
      <w:bookmarkStart w:id="137" w:name="_MON_1388486936"/>
      <w:bookmarkEnd w:id="137"/>
      <w:bookmarkStart w:id="138" w:name="_MON_1387788849"/>
      <w:bookmarkEnd w:id="138"/>
      <w:r>
        <w:rPr>
          <w:szCs w:val="22"/>
          <w:lang w:val="sk-SK"/>
        </w:rPr>
        <w:object>
          <v:shape id="_x0000_i1032" o:spt="75" type="#_x0000_t75" style="height:184.75pt;width:376.3pt;" o:ole="t" filled="f" o:preferrelative="t" stroked="f" coordsize="21600,21600">
            <v:path/>
            <v:fill on="f" focussize="0,0"/>
            <v:stroke on="f"/>
            <v:imagedata r:id="rId20" o:title=""/>
            <o:lock v:ext="edit" aspectratio="t"/>
            <w10:wrap type="none"/>
            <w10:anchorlock/>
          </v:shape>
          <o:OLEObject Type="Embed" ProgID="Excel.Sheet.12" ShapeID="_x0000_i1032" DrawAspect="Content" ObjectID="_1468075732" r:id="rId19">
            <o:LockedField>false</o:LockedField>
          </o:OLEObject>
        </w:object>
      </w:r>
    </w:p>
    <w:p>
      <w:pPr>
        <w:tabs>
          <w:tab w:val="right" w:pos="8506"/>
        </w:tabs>
        <w:rPr>
          <w:b/>
          <w:szCs w:val="22"/>
          <w:lang w:val="sk-SK"/>
        </w:rPr>
      </w:pPr>
    </w:p>
    <w:p>
      <w:pPr>
        <w:rPr>
          <w:b/>
          <w:szCs w:val="22"/>
          <w:lang w:val="sk-SK"/>
        </w:rPr>
      </w:pPr>
    </w:p>
    <w:p>
      <w:pPr>
        <w:pStyle w:val="2"/>
      </w:pPr>
      <w:bookmarkStart w:id="139" w:name="_Toc156113614"/>
      <w:r>
        <w:t>INFORMÁCIE O PASÍVACH</w:t>
      </w:r>
      <w:bookmarkEnd w:id="139"/>
    </w:p>
    <w:p>
      <w:pPr>
        <w:tabs>
          <w:tab w:val="right" w:pos="8506"/>
        </w:tabs>
        <w:rPr>
          <w:szCs w:val="22"/>
          <w:lang w:val="sk-SK"/>
        </w:rPr>
      </w:pPr>
    </w:p>
    <w:p>
      <w:pPr>
        <w:pStyle w:val="3"/>
        <w:rPr>
          <w:lang w:val="sk-SK"/>
        </w:rPr>
      </w:pPr>
      <w:bookmarkStart w:id="140" w:name="_Toc156113615"/>
      <w:r>
        <w:rPr>
          <w:lang w:val="sk-SK"/>
        </w:rPr>
        <w:t>Informácie o vlastnom imaní</w:t>
      </w:r>
      <w:bookmarkEnd w:id="140"/>
    </w:p>
    <w:p>
      <w:pPr>
        <w:rPr>
          <w:szCs w:val="22"/>
          <w:lang w:val="sk-SK"/>
        </w:rPr>
      </w:pPr>
    </w:p>
    <w:p>
      <w:pPr>
        <w:pStyle w:val="4"/>
      </w:pPr>
      <w:bookmarkStart w:id="141" w:name="_Toc156113616"/>
      <w:r>
        <w:t>Základné imanie</w:t>
      </w:r>
      <w:bookmarkEnd w:id="141"/>
    </w:p>
    <w:p>
      <w:pPr>
        <w:rPr>
          <w:szCs w:val="22"/>
          <w:lang w:val="sk-SK"/>
        </w:rPr>
      </w:pPr>
    </w:p>
    <w:p>
      <w:pPr>
        <w:rPr>
          <w:szCs w:val="22"/>
          <w:lang w:val="sk-SK"/>
        </w:rPr>
      </w:pPr>
      <w:r>
        <w:rPr>
          <w:szCs w:val="22"/>
          <w:lang w:val="sk-SK"/>
        </w:rPr>
        <w:t>Základné imanie spoločnosti činí  6639 EUR, a je tvorené vkladmi týchto spoločníkov:</w:t>
      </w:r>
    </w:p>
    <w:p>
      <w:pPr>
        <w:rPr>
          <w:szCs w:val="22"/>
          <w:lang w:val="sk-SK"/>
        </w:rPr>
      </w:pPr>
    </w:p>
    <w:p>
      <w:pPr>
        <w:tabs>
          <w:tab w:val="center" w:pos="5387"/>
          <w:tab w:val="right" w:pos="7088"/>
        </w:tabs>
        <w:rPr>
          <w:szCs w:val="22"/>
          <w:u w:val="single"/>
          <w:lang w:val="sk-SK"/>
        </w:rPr>
      </w:pPr>
      <w:r>
        <w:rPr>
          <w:szCs w:val="22"/>
          <w:lang w:val="sk-SK"/>
        </w:rPr>
        <w:t>Ing. Norber Pecháč (70%)</w:t>
      </w:r>
      <w:r>
        <w:rPr>
          <w:szCs w:val="22"/>
          <w:lang w:val="sk-SK"/>
        </w:rPr>
        <w:tab/>
      </w:r>
      <w:r>
        <w:rPr>
          <w:szCs w:val="22"/>
          <w:lang w:val="sk-SK"/>
        </w:rPr>
        <w:t>EUR</w:t>
      </w:r>
      <w:r>
        <w:rPr>
          <w:szCs w:val="22"/>
          <w:lang w:val="sk-SK"/>
        </w:rPr>
        <w:tab/>
      </w:r>
      <w:r>
        <w:rPr>
          <w:szCs w:val="22"/>
          <w:lang w:val="sk-SK"/>
        </w:rPr>
        <w:t>5634</w:t>
      </w:r>
    </w:p>
    <w:p>
      <w:pPr>
        <w:tabs>
          <w:tab w:val="center" w:pos="5387"/>
          <w:tab w:val="right" w:pos="7088"/>
        </w:tabs>
        <w:rPr>
          <w:szCs w:val="22"/>
          <w:lang w:val="sk-SK"/>
        </w:rPr>
      </w:pPr>
      <w:r>
        <w:rPr>
          <w:szCs w:val="22"/>
          <w:lang w:val="sk-SK"/>
        </w:rPr>
        <w:t>Silvia Pecháčová (30%)</w:t>
      </w:r>
      <w:r>
        <w:rPr>
          <w:szCs w:val="22"/>
          <w:lang w:val="sk-SK"/>
        </w:rPr>
        <w:tab/>
      </w:r>
      <w:r>
        <w:rPr>
          <w:szCs w:val="22"/>
          <w:u w:val="single"/>
          <w:lang w:val="sk-SK"/>
        </w:rPr>
        <w:t>EUR</w:t>
      </w:r>
      <w:r>
        <w:rPr>
          <w:szCs w:val="22"/>
          <w:u w:val="single"/>
          <w:lang w:val="sk-SK"/>
        </w:rPr>
        <w:tab/>
      </w:r>
      <w:r>
        <w:rPr>
          <w:szCs w:val="22"/>
          <w:u w:val="single"/>
          <w:lang w:val="sk-SK"/>
        </w:rPr>
        <w:t>996</w:t>
      </w:r>
    </w:p>
    <w:p>
      <w:pPr>
        <w:pStyle w:val="24"/>
        <w:tabs>
          <w:tab w:val="center" w:pos="5387"/>
          <w:tab w:val="right" w:pos="7088"/>
        </w:tabs>
        <w:rPr>
          <w:szCs w:val="22"/>
          <w:lang w:val="sk-SK"/>
        </w:rPr>
      </w:pPr>
      <w:r>
        <w:rPr>
          <w:szCs w:val="22"/>
          <w:lang w:val="sk-SK"/>
        </w:rPr>
        <w:tab/>
      </w:r>
      <w:r>
        <w:rPr>
          <w:szCs w:val="22"/>
          <w:lang w:val="sk-SK"/>
        </w:rPr>
        <w:t>EUR</w:t>
      </w:r>
      <w:r>
        <w:rPr>
          <w:szCs w:val="22"/>
          <w:lang w:val="sk-SK"/>
        </w:rPr>
        <w:tab/>
      </w:r>
      <w:r>
        <w:rPr>
          <w:szCs w:val="22"/>
          <w:lang w:val="sk-SK"/>
        </w:rPr>
        <w:t>6639</w:t>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pStyle w:val="4"/>
      </w:pPr>
      <w:bookmarkStart w:id="142" w:name="_Toc156113617"/>
      <w:r>
        <w:t>Rozdelenie zisku/spôsob úhrady straty</w:t>
      </w:r>
      <w:bookmarkEnd w:id="142"/>
    </w:p>
    <w:p>
      <w:pPr>
        <w:rPr>
          <w:szCs w:val="22"/>
          <w:lang w:val="sk-SK"/>
        </w:rPr>
      </w:pPr>
    </w:p>
    <w:p>
      <w:pPr>
        <w:pStyle w:val="15"/>
        <w:rPr>
          <w:szCs w:val="22"/>
          <w:lang w:val="sk-SK"/>
        </w:rPr>
      </w:pPr>
      <w:r>
        <w:rPr>
          <w:szCs w:val="22"/>
          <w:lang w:val="sk-SK"/>
        </w:rPr>
        <w:t>Podľa rozhodnutia valného zhromaždenia spoločnosti z 30.04.202</w:t>
      </w:r>
      <w:r>
        <w:rPr>
          <w:rFonts w:hint="default"/>
          <w:szCs w:val="22"/>
          <w:lang w:val="sk-SK"/>
        </w:rPr>
        <w:t>2</w:t>
      </w:r>
      <w:r>
        <w:rPr>
          <w:szCs w:val="22"/>
          <w:lang w:val="sk-SK"/>
        </w:rPr>
        <w:t xml:space="preserve"> bol  zisk minulého účtovného obdobia rozdelený nasledovne:</w:t>
      </w:r>
    </w:p>
    <w:p>
      <w:pPr>
        <w:rPr>
          <w:szCs w:val="22"/>
          <w:lang w:val="sk-SK"/>
        </w:rPr>
      </w:pPr>
    </w:p>
    <w:p>
      <w:pPr>
        <w:rPr>
          <w:szCs w:val="22"/>
          <w:lang w:val="sk-SK"/>
        </w:rPr>
      </w:pPr>
      <w:bookmarkStart w:id="143" w:name="_MON_1389448040"/>
      <w:bookmarkEnd w:id="143"/>
      <w:bookmarkStart w:id="144" w:name="_MON_1387962728"/>
      <w:bookmarkEnd w:id="144"/>
      <w:bookmarkStart w:id="145" w:name="_MON_1387962704"/>
      <w:bookmarkEnd w:id="145"/>
      <w:bookmarkStart w:id="146" w:name="_MON_1388487187"/>
      <w:bookmarkEnd w:id="146"/>
      <w:bookmarkStart w:id="147" w:name="_MON_1387715574"/>
      <w:bookmarkEnd w:id="147"/>
      <w:bookmarkStart w:id="148" w:name="_MON_1388487193"/>
      <w:bookmarkEnd w:id="148"/>
      <w:bookmarkStart w:id="149" w:name="_MON_1392034217"/>
      <w:bookmarkEnd w:id="149"/>
      <w:bookmarkStart w:id="150" w:name="_MON_1388487231"/>
      <w:bookmarkEnd w:id="150"/>
      <w:r>
        <w:rPr>
          <w:szCs w:val="22"/>
          <w:lang w:val="sk-SK"/>
        </w:rPr>
        <w:object>
          <v:shape id="_x0000_i1033" o:spt="75" type="#_x0000_t75" style="height:144pt;width:404.15pt;" o:ole="t" filled="f" o:preferrelative="t" stroked="f" coordsize="21600,21600">
            <v:path/>
            <v:fill on="f" focussize="0,0"/>
            <v:stroke on="f"/>
            <v:imagedata r:id="rId22" o:title=""/>
            <o:lock v:ext="edit" aspectratio="t"/>
            <w10:wrap type="none"/>
            <w10:anchorlock/>
          </v:shape>
          <o:OLEObject Type="Embed" ProgID="Excel.Sheet.12" ShapeID="_x0000_i1033" DrawAspect="Content" ObjectID="_1468075733" r:id="rId21">
            <o:LockedField>false</o:LockedField>
          </o:OLEObject>
        </w:object>
      </w:r>
    </w:p>
    <w:p>
      <w:pPr>
        <w:rPr>
          <w:szCs w:val="22"/>
          <w:lang w:val="sk-SK"/>
        </w:rPr>
      </w:pPr>
    </w:p>
    <w:p>
      <w:pPr>
        <w:rPr>
          <w:szCs w:val="22"/>
          <w:lang w:val="sk-SK"/>
        </w:rPr>
      </w:pPr>
      <w:bookmarkStart w:id="151" w:name="_MON_1389448061"/>
      <w:bookmarkEnd w:id="151"/>
      <w:bookmarkStart w:id="152" w:name="_MON_1392034226"/>
      <w:bookmarkEnd w:id="152"/>
      <w:bookmarkStart w:id="153" w:name="_MON_1387715695"/>
      <w:bookmarkEnd w:id="153"/>
      <w:bookmarkStart w:id="154" w:name="_MON_1388487276"/>
      <w:bookmarkEnd w:id="154"/>
      <w:bookmarkStart w:id="155" w:name="_MON_1387962784"/>
      <w:bookmarkEnd w:id="155"/>
      <w:bookmarkStart w:id="156" w:name="_MON_1392034220"/>
      <w:bookmarkEnd w:id="156"/>
    </w:p>
    <w:p>
      <w:pPr>
        <w:rPr>
          <w:b/>
          <w:szCs w:val="22"/>
          <w:lang w:val="sk-SK"/>
        </w:rPr>
      </w:pPr>
    </w:p>
    <w:p>
      <w:pPr>
        <w:rPr>
          <w:b/>
          <w:szCs w:val="22"/>
          <w:lang w:val="sk-SK"/>
        </w:rPr>
      </w:pPr>
      <w:bookmarkStart w:id="157" w:name="_MON_1392034247"/>
      <w:bookmarkEnd w:id="157"/>
      <w:bookmarkStart w:id="158" w:name="_MON_1392031709"/>
      <w:bookmarkEnd w:id="158"/>
      <w:bookmarkStart w:id="159" w:name="_MON_1394525355"/>
      <w:bookmarkEnd w:id="159"/>
      <w:bookmarkStart w:id="160" w:name="_MON_1394525333"/>
      <w:bookmarkEnd w:id="160"/>
      <w:bookmarkStart w:id="161" w:name="_MON_1392034272"/>
      <w:bookmarkEnd w:id="161"/>
    </w:p>
    <w:p>
      <w:pPr>
        <w:rPr>
          <w:b/>
          <w:szCs w:val="22"/>
          <w:lang w:val="sk-SK"/>
        </w:rPr>
      </w:pPr>
    </w:p>
    <w:p>
      <w:pPr>
        <w:rPr>
          <w:b/>
          <w:szCs w:val="22"/>
          <w:lang w:val="sk-SK"/>
        </w:rPr>
      </w:pPr>
    </w:p>
    <w:p>
      <w:pPr>
        <w:rPr>
          <w:b/>
          <w:szCs w:val="22"/>
          <w:lang w:val="sk-SK"/>
        </w:rPr>
      </w:pPr>
    </w:p>
    <w:p>
      <w:pPr>
        <w:rPr>
          <w:b/>
          <w:szCs w:val="22"/>
          <w:lang w:val="sk-SK"/>
        </w:rPr>
      </w:pPr>
    </w:p>
    <w:p>
      <w:pPr>
        <w:rPr>
          <w:szCs w:val="22"/>
          <w:lang w:val="sk-SK"/>
        </w:rPr>
      </w:pPr>
    </w:p>
    <w:p>
      <w:pPr>
        <w:pStyle w:val="3"/>
        <w:rPr>
          <w:lang w:val="sk-SK"/>
        </w:rPr>
      </w:pPr>
      <w:bookmarkStart w:id="162" w:name="_Toc156113624"/>
      <w:r>
        <w:rPr>
          <w:lang w:val="sk-SK"/>
        </w:rPr>
        <w:t>Údaje o záväzkoch</w:t>
      </w:r>
      <w:bookmarkEnd w:id="162"/>
    </w:p>
    <w:p>
      <w:pPr>
        <w:rPr>
          <w:szCs w:val="22"/>
          <w:lang w:val="sk-SK"/>
        </w:rPr>
      </w:pPr>
    </w:p>
    <w:p>
      <w:pPr>
        <w:pStyle w:val="4"/>
      </w:pPr>
      <w:bookmarkStart w:id="163" w:name="_Toc156113625"/>
      <w:r>
        <w:t>Záväzky podľa lehoty splatnosti všeobecne</w:t>
      </w:r>
      <w:bookmarkEnd w:id="163"/>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164" w:name="_MON_1388491808"/>
      <w:bookmarkEnd w:id="164"/>
      <w:bookmarkStart w:id="165" w:name="_MON_1389448163"/>
      <w:bookmarkEnd w:id="165"/>
      <w:bookmarkStart w:id="166" w:name="_MON_1387717025"/>
      <w:bookmarkEnd w:id="166"/>
      <w:bookmarkStart w:id="167" w:name="_MON_1387963078"/>
      <w:bookmarkEnd w:id="167"/>
      <w:bookmarkStart w:id="168" w:name="_MON_1387717177"/>
      <w:bookmarkEnd w:id="168"/>
      <w:bookmarkStart w:id="169" w:name="_MON_1387717087"/>
      <w:bookmarkEnd w:id="169"/>
      <w:bookmarkStart w:id="170" w:name="_MON_1387717064"/>
      <w:bookmarkEnd w:id="170"/>
      <w:bookmarkStart w:id="171" w:name="_MON_1388568154"/>
      <w:bookmarkEnd w:id="171"/>
      <w:bookmarkStart w:id="172" w:name="_MON_1393611264"/>
      <w:bookmarkEnd w:id="172"/>
      <w:bookmarkStart w:id="173" w:name="_MON_1387717128"/>
      <w:bookmarkEnd w:id="173"/>
      <w:bookmarkStart w:id="174" w:name="_MON_1387717114"/>
      <w:bookmarkEnd w:id="174"/>
      <w:bookmarkStart w:id="211" w:name="_GoBack"/>
      <w:r>
        <w:rPr>
          <w:b/>
          <w:szCs w:val="22"/>
          <w:lang w:val="sk-SK"/>
        </w:rPr>
        <w:object>
          <v:shape id="_x0000_i1034" o:spt="75" alt="" type="#_x0000_t75" style="height:133.8pt;width:418.4pt;" o:ole="t" fillcolor="#FFFFFF" filled="t" o:preferrelative="t" stroked="f" coordsize="21600,21600">
            <v:path/>
            <v:fill on="t" color2="#FFFFFF" focussize="0,0"/>
            <v:stroke on="f"/>
            <v:imagedata r:id="rId24" o:title=""/>
            <o:lock v:ext="edit" aspectratio="t"/>
            <w10:wrap type="none"/>
            <w10:anchorlock/>
          </v:shape>
          <o:OLEObject Type="Embed" ProgID="Excel.Sheet.12" ShapeID="_x0000_i1034" DrawAspect="Content" ObjectID="_1468075734" r:id="rId23">
            <o:LockedField>false</o:LockedField>
          </o:OLEObject>
        </w:object>
      </w:r>
      <w:bookmarkEnd w:id="211"/>
    </w:p>
    <w:p>
      <w:pPr>
        <w:pStyle w:val="6"/>
        <w:numPr>
          <w:ilvl w:val="0"/>
          <w:numId w:val="0"/>
        </w:numPr>
        <w:rPr>
          <w:szCs w:val="22"/>
        </w:rPr>
      </w:pPr>
    </w:p>
    <w:p>
      <w:pPr>
        <w:pStyle w:val="5"/>
        <w:rPr>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pStyle w:val="2"/>
      </w:pPr>
      <w:bookmarkStart w:id="175" w:name="_Toc156113636"/>
      <w:r>
        <w:t>INFORMÁCIE O VÝNOSOCH</w:t>
      </w:r>
      <w:bookmarkEnd w:id="175"/>
    </w:p>
    <w:p>
      <w:pPr>
        <w:pStyle w:val="24"/>
        <w:rPr>
          <w:szCs w:val="22"/>
          <w:lang w:val="sk-SK"/>
        </w:rPr>
      </w:pPr>
    </w:p>
    <w:p>
      <w:pPr>
        <w:pStyle w:val="3"/>
        <w:rPr>
          <w:lang w:val="sk-SK"/>
        </w:rPr>
      </w:pPr>
      <w:bookmarkStart w:id="176" w:name="_Toc156113637"/>
      <w:r>
        <w:rPr>
          <w:lang w:val="sk-SK"/>
        </w:rPr>
        <w:t>Tržby za vlastné výrobky a tovar podľa jednotlivých typov výrobkov a služieb a hlavných oblastí odbytu</w:t>
      </w:r>
      <w:bookmarkEnd w:id="176"/>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p>
      <w:pPr>
        <w:rPr>
          <w:lang w:val="sk-SK"/>
        </w:rPr>
      </w:pPr>
      <w:bookmarkStart w:id="177" w:name="_MON_1388568532"/>
      <w:bookmarkEnd w:id="177"/>
      <w:bookmarkStart w:id="178" w:name="_MON_1392034616"/>
      <w:bookmarkEnd w:id="178"/>
      <w:bookmarkStart w:id="179" w:name="_MON_1389448409"/>
      <w:bookmarkEnd w:id="179"/>
      <w:bookmarkStart w:id="180" w:name="_MON_1388568995"/>
      <w:bookmarkEnd w:id="180"/>
      <w:bookmarkStart w:id="181" w:name="_MON_1392034591"/>
      <w:bookmarkEnd w:id="181"/>
      <w:bookmarkStart w:id="182" w:name="_MON_1388569028"/>
      <w:bookmarkEnd w:id="182"/>
      <w:bookmarkStart w:id="183" w:name="_MON_1387718063"/>
      <w:bookmarkEnd w:id="183"/>
      <w:bookmarkStart w:id="184" w:name="_MON_1387717789"/>
      <w:bookmarkEnd w:id="184"/>
      <w:bookmarkStart w:id="185" w:name="_MON_1388569048"/>
      <w:bookmarkEnd w:id="185"/>
      <w:bookmarkStart w:id="186" w:name="_MON_1393659988"/>
      <w:bookmarkEnd w:id="186"/>
      <w:bookmarkStart w:id="187" w:name="_MON_1387963471"/>
      <w:bookmarkEnd w:id="187"/>
      <w:r>
        <w:rPr>
          <w:lang w:val="sk-SK"/>
        </w:rPr>
        <w:object>
          <v:shape id="_x0000_i1035" o:spt="75" type="#_x0000_t75" style="height:137.9pt;width:427.25pt;" o:ole="t" filled="f" o:preferrelative="t" stroked="f" coordsize="21600,21600">
            <v:path/>
            <v:fill on="f" focussize="0,0"/>
            <v:stroke on="f"/>
            <v:imagedata r:id="rId26" o:title=""/>
            <o:lock v:ext="edit" aspectratio="t"/>
            <w10:wrap type="none"/>
            <w10:anchorlock/>
          </v:shape>
          <o:OLEObject Type="Embed" ProgID="Excel.Sheet.12" ShapeID="_x0000_i1035" DrawAspect="Content" ObjectID="_1468075735" r:id="rId25">
            <o:LockedField>false</o:LockedField>
          </o:OLEObject>
        </w:object>
      </w:r>
    </w:p>
    <w:p>
      <w:pPr>
        <w:rPr>
          <w:i/>
          <w:snapToGrid w:val="0"/>
          <w:szCs w:val="22"/>
          <w:lang w:val="sk-SK" w:eastAsia="de-DE"/>
        </w:rPr>
      </w:pPr>
    </w:p>
    <w:p>
      <w:pPr>
        <w:rPr>
          <w:lang w:val="sk-SK"/>
        </w:rPr>
      </w:pPr>
    </w:p>
    <w:p>
      <w:pPr>
        <w:rPr>
          <w:lang w:val="sk-SK"/>
        </w:rPr>
      </w:pPr>
    </w:p>
    <w:p>
      <w:pPr>
        <w:rPr>
          <w:lang w:val="sk-SK"/>
        </w:rPr>
      </w:pPr>
    </w:p>
    <w:p>
      <w:pPr>
        <w:pStyle w:val="2"/>
      </w:pPr>
      <w:bookmarkStart w:id="188" w:name="_Toc156113643"/>
      <w:r>
        <w:t>ÚDAJE O NÁKLADOCH</w:t>
      </w:r>
      <w:bookmarkEnd w:id="188"/>
    </w:p>
    <w:p>
      <w:pPr>
        <w:rPr>
          <w:snapToGrid w:val="0"/>
          <w:szCs w:val="22"/>
          <w:lang w:val="sk-SK" w:eastAsia="de-DE"/>
        </w:rPr>
      </w:pPr>
    </w:p>
    <w:p>
      <w:pPr>
        <w:autoSpaceDE w:val="0"/>
        <w:autoSpaceDN w:val="0"/>
        <w:adjustRightInd w:val="0"/>
        <w:rPr>
          <w:rFonts w:cs="TimesNewRomanPSMT"/>
          <w:szCs w:val="22"/>
          <w:lang w:val="sk-SK"/>
        </w:rPr>
      </w:pPr>
      <w:bookmarkStart w:id="189" w:name="_MON_1392034664"/>
      <w:bookmarkEnd w:id="189"/>
      <w:bookmarkStart w:id="190" w:name="_MON_1393614658"/>
      <w:bookmarkEnd w:id="190"/>
      <w:bookmarkStart w:id="191" w:name="_MON_1393614336"/>
      <w:bookmarkEnd w:id="191"/>
      <w:bookmarkStart w:id="192" w:name="_MON_1392032043"/>
      <w:bookmarkEnd w:id="192"/>
      <w:bookmarkStart w:id="193" w:name="_MON_1393662512"/>
      <w:bookmarkEnd w:id="193"/>
      <w:bookmarkStart w:id="194" w:name="_MON_1393614292"/>
      <w:bookmarkEnd w:id="194"/>
      <w:bookmarkStart w:id="195" w:name="_MON_1392032079"/>
      <w:bookmarkEnd w:id="195"/>
      <w:bookmarkStart w:id="196" w:name="_MON_1393614666"/>
      <w:bookmarkEnd w:id="196"/>
      <w:r>
        <w:rPr>
          <w:rFonts w:cs="TimesNewRomanPSMT"/>
          <w:szCs w:val="22"/>
          <w:lang w:val="sk-SK"/>
        </w:rPr>
        <w:t>Prehľad o nákladoch na prijaté služby, ostatných nákladoch na hospodársku činnosť, finančných a mimoriadnych nákladoch:</w:t>
      </w:r>
    </w:p>
    <w:p>
      <w:pPr>
        <w:pStyle w:val="24"/>
        <w:rPr>
          <w:snapToGrid w:val="0"/>
          <w:szCs w:val="22"/>
          <w:lang w:val="sk-SK" w:eastAsia="de-DE"/>
        </w:rPr>
      </w:pPr>
      <w:bookmarkStart w:id="197" w:name="_MON_1451727138"/>
      <w:bookmarkEnd w:id="197"/>
      <w:r>
        <w:rPr>
          <w:snapToGrid w:val="0"/>
          <w:szCs w:val="22"/>
          <w:lang w:val="sk-SK" w:eastAsia="de-DE"/>
        </w:rPr>
        <w:object>
          <v:shape id="_x0000_i1036" o:spt="75" type="#_x0000_t75" style="height:521pt;width:383.1pt;" o:ole="t" filled="f" o:preferrelative="t" stroked="f" coordsize="21600,21600">
            <v:path/>
            <v:fill on="f" focussize="0,0"/>
            <v:stroke on="f"/>
            <v:imagedata r:id="rId28" o:title=""/>
            <o:lock v:ext="edit" aspectratio="t"/>
            <w10:wrap type="none"/>
            <w10:anchorlock/>
          </v:shape>
          <o:OLEObject Type="Embed" ProgID="Excel.Sheet.12" ShapeID="_x0000_i1036" DrawAspect="Content" ObjectID="_1468075736" r:id="rId27">
            <o:LockedField>false</o:LockedField>
          </o:OLEObject>
        </w:object>
      </w:r>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p>
      <w:pPr>
        <w:rPr>
          <w:b/>
          <w:caps/>
          <w:szCs w:val="22"/>
          <w:lang w:val="sk-SK"/>
        </w:rPr>
      </w:pPr>
      <w:bookmarkStart w:id="198" w:name="_Toc156113649"/>
      <w:r>
        <w:br w:type="page"/>
      </w:r>
    </w:p>
    <w:bookmarkEnd w:id="198"/>
    <w:p>
      <w:pPr>
        <w:pStyle w:val="15"/>
        <w:rPr>
          <w:szCs w:val="22"/>
          <w:lang w:val="sk-SK"/>
        </w:rPr>
      </w:pPr>
    </w:p>
    <w:p>
      <w:pPr>
        <w:pStyle w:val="15"/>
        <w:rPr>
          <w:szCs w:val="22"/>
          <w:lang w:val="sk-SK"/>
        </w:rPr>
      </w:pPr>
    </w:p>
    <w:p>
      <w:pPr>
        <w:pStyle w:val="15"/>
        <w:rPr>
          <w:szCs w:val="22"/>
          <w:lang w:val="sk-SK"/>
        </w:rPr>
      </w:pPr>
    </w:p>
    <w:p>
      <w:pPr>
        <w:pStyle w:val="2"/>
        <w:numPr>
          <w:ilvl w:val="0"/>
          <w:numId w:val="0"/>
        </w:numPr>
        <w:ind w:left="360"/>
      </w:pPr>
      <w:bookmarkStart w:id="199" w:name="_MON_1387790436"/>
      <w:bookmarkEnd w:id="199"/>
      <w:bookmarkStart w:id="200" w:name="_MON_1388580026"/>
      <w:bookmarkEnd w:id="200"/>
      <w:bookmarkStart w:id="201" w:name="_MON_1388580015"/>
      <w:bookmarkEnd w:id="201"/>
      <w:bookmarkStart w:id="202" w:name="_MON_1392034709"/>
      <w:bookmarkEnd w:id="202"/>
      <w:bookmarkStart w:id="203" w:name="_MON_1388579992"/>
      <w:bookmarkEnd w:id="203"/>
      <w:bookmarkStart w:id="204" w:name="_MON_1388580046"/>
      <w:bookmarkEnd w:id="204"/>
      <w:bookmarkStart w:id="205" w:name="_MON_1387790395"/>
      <w:bookmarkEnd w:id="205"/>
      <w:bookmarkStart w:id="206" w:name="_MON_1389502570"/>
      <w:bookmarkEnd w:id="206"/>
      <w:bookmarkStart w:id="207" w:name="_MON_1388580020"/>
      <w:bookmarkEnd w:id="207"/>
      <w:bookmarkStart w:id="208" w:name="_MON_1388580011"/>
      <w:bookmarkEnd w:id="208"/>
      <w:bookmarkStart w:id="209" w:name="_MON_1387963988"/>
      <w:bookmarkEnd w:id="209"/>
      <w:bookmarkStart w:id="210" w:name="_Toc156113673"/>
      <w:r>
        <w:br w:type="page"/>
      </w:r>
      <w:bookmarkEnd w:id="210"/>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Tahoma">
    <w:panose1 w:val="020B0604030504040204"/>
    <w:charset w:val="EE"/>
    <w:family w:val="swiss"/>
    <w:pitch w:val="default"/>
    <w:sig w:usb0="E1002EFF" w:usb1="C000605B" w:usb2="00000029" w:usb3="00000000" w:csb0="200101FF" w:csb1="2028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25.03.2023</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11:03</w:t>
    </w:r>
    <w:r>
      <w:rPr>
        <w:sz w:val="16"/>
      </w:rPr>
      <w:fldChar w:fldCharType="end"/>
    </w:r>
    <w:r>
      <w:rPr>
        <w:sz w:val="16"/>
      </w:rPr>
      <w:tab/>
    </w:r>
    <w:r>
      <w:rPr>
        <w:rStyle w:val="36"/>
        <w:sz w:val="16"/>
      </w:rPr>
      <w:fldChar w:fldCharType="begin"/>
    </w:r>
    <w:r>
      <w:rPr>
        <w:rStyle w:val="36"/>
        <w:sz w:val="16"/>
      </w:rPr>
      <w:instrText xml:space="preserve"> PAGE </w:instrText>
    </w:r>
    <w:r>
      <w:rPr>
        <w:rStyle w:val="36"/>
        <w:sz w:val="16"/>
      </w:rPr>
      <w:fldChar w:fldCharType="separate"/>
    </w:r>
    <w:r>
      <w:rPr>
        <w:rStyle w:val="36"/>
        <w:sz w:val="16"/>
      </w:rPr>
      <w:t>3</w:t>
    </w:r>
    <w:r>
      <w:rPr>
        <w:rStyle w:val="36"/>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5644A"/>
    <w:multiLevelType w:val="singleLevel"/>
    <w:tmpl w:val="1525644A"/>
    <w:lvl w:ilvl="0" w:tentative="0">
      <w:start w:val="1"/>
      <w:numFmt w:val="bullet"/>
      <w:lvlText w:val=""/>
      <w:lvlJc w:val="left"/>
      <w:pPr>
        <w:tabs>
          <w:tab w:val="left" w:pos="360"/>
        </w:tabs>
        <w:ind w:left="360" w:hanging="360"/>
      </w:pPr>
      <w:rPr>
        <w:rFonts w:hint="default" w:ascii="Symbol" w:hAnsi="Symbol"/>
      </w:rPr>
    </w:lvl>
  </w:abstractNum>
  <w:abstractNum w:abstractNumId="1">
    <w:nsid w:val="168A5D05"/>
    <w:multiLevelType w:val="singleLevel"/>
    <w:tmpl w:val="168A5D05"/>
    <w:lvl w:ilvl="0" w:tentative="0">
      <w:start w:val="1"/>
      <w:numFmt w:val="bullet"/>
      <w:lvlText w:val=""/>
      <w:lvlJc w:val="left"/>
      <w:pPr>
        <w:tabs>
          <w:tab w:val="left" w:pos="360"/>
        </w:tabs>
        <w:ind w:left="360" w:hanging="360"/>
      </w:pPr>
      <w:rPr>
        <w:rFonts w:hint="default" w:ascii="Symbol" w:hAnsi="Symbol"/>
      </w:rPr>
    </w:lvl>
  </w:abstractNum>
  <w:abstractNum w:abstractNumId="2">
    <w:nsid w:val="26B52B45"/>
    <w:multiLevelType w:val="singleLevel"/>
    <w:tmpl w:val="26B52B45"/>
    <w:lvl w:ilvl="0" w:tentative="0">
      <w:start w:val="1"/>
      <w:numFmt w:val="bullet"/>
      <w:lvlText w:val=""/>
      <w:lvlJc w:val="left"/>
      <w:pPr>
        <w:tabs>
          <w:tab w:val="left" w:pos="360"/>
        </w:tabs>
        <w:ind w:left="360" w:hanging="360"/>
      </w:pPr>
      <w:rPr>
        <w:rFonts w:hint="default" w:ascii="Symbol" w:hAnsi="Symbol"/>
      </w:rPr>
    </w:lvl>
  </w:abstractNum>
  <w:abstractNum w:abstractNumId="3">
    <w:nsid w:val="3AB567E1"/>
    <w:multiLevelType w:val="multilevel"/>
    <w:tmpl w:val="3AB567E1"/>
    <w:lvl w:ilvl="0" w:tentative="0">
      <w:start w:val="1"/>
      <w:numFmt w:val="lowerLetter"/>
      <w:pStyle w:val="70"/>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56221843"/>
    <w:multiLevelType w:val="singleLevel"/>
    <w:tmpl w:val="56221843"/>
    <w:lvl w:ilvl="0" w:tentative="0">
      <w:start w:val="1"/>
      <w:numFmt w:val="bullet"/>
      <w:lvlText w:val=""/>
      <w:lvlJc w:val="left"/>
      <w:pPr>
        <w:tabs>
          <w:tab w:val="left" w:pos="360"/>
        </w:tabs>
        <w:ind w:left="360" w:hanging="360"/>
      </w:pPr>
      <w:rPr>
        <w:rFonts w:hint="default" w:ascii="Symbol" w:hAnsi="Symbol"/>
      </w:rPr>
    </w:lvl>
  </w:abstractNum>
  <w:abstractNum w:abstractNumId="5">
    <w:nsid w:val="63C94F20"/>
    <w:multiLevelType w:val="singleLevel"/>
    <w:tmpl w:val="63C94F20"/>
    <w:lvl w:ilvl="0" w:tentative="0">
      <w:start w:val="1"/>
      <w:numFmt w:val="bullet"/>
      <w:lvlText w:val=""/>
      <w:lvlJc w:val="left"/>
      <w:pPr>
        <w:tabs>
          <w:tab w:val="left" w:pos="360"/>
        </w:tabs>
        <w:ind w:left="360" w:hanging="360"/>
      </w:pPr>
      <w:rPr>
        <w:rFonts w:hint="default" w:ascii="Symbol" w:hAnsi="Symbol"/>
      </w:rPr>
    </w:lvl>
  </w:abstractNum>
  <w:abstractNum w:abstractNumId="6">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7">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3431"/>
        </w:tabs>
        <w:ind w:left="3431"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abstractNum w:abstractNumId="8">
    <w:nsid w:val="7C1047CB"/>
    <w:multiLevelType w:val="singleLevel"/>
    <w:tmpl w:val="7C1047CB"/>
    <w:lvl w:ilvl="0" w:tentative="0">
      <w:start w:val="2"/>
      <w:numFmt w:val="bullet"/>
      <w:lvlText w:val="-"/>
      <w:lvlJc w:val="left"/>
      <w:pPr>
        <w:tabs>
          <w:tab w:val="left" w:pos="360"/>
        </w:tabs>
        <w:ind w:left="360" w:hanging="360"/>
      </w:pPr>
      <w:rPr>
        <w:rFonts w:hint="default"/>
        <w:b/>
      </w:rPr>
    </w:lvl>
  </w:abstractNum>
  <w:abstractNum w:abstractNumId="9">
    <w:nsid w:val="7F553E69"/>
    <w:multiLevelType w:val="singleLevel"/>
    <w:tmpl w:val="7F553E69"/>
    <w:lvl w:ilvl="0" w:tentative="0">
      <w:start w:val="1"/>
      <w:numFmt w:val="bullet"/>
      <w:lvlText w:val=""/>
      <w:lvlJc w:val="left"/>
      <w:pPr>
        <w:tabs>
          <w:tab w:val="left" w:pos="360"/>
        </w:tabs>
        <w:ind w:left="360" w:hanging="360"/>
      </w:pPr>
      <w:rPr>
        <w:rFonts w:hint="default" w:ascii="Symbol" w:hAnsi="Symbol"/>
      </w:rPr>
    </w:lvl>
  </w:abstractNum>
  <w:num w:numId="1">
    <w:abstractNumId w:val="7"/>
  </w:num>
  <w:num w:numId="2">
    <w:abstractNumId w:val="3"/>
  </w:num>
  <w:num w:numId="3">
    <w:abstractNumId w:val="8"/>
  </w:num>
  <w:num w:numId="4">
    <w:abstractNumId w:val="6"/>
  </w:num>
  <w:num w:numId="5">
    <w:abstractNumId w:val="0"/>
  </w:num>
  <w:num w:numId="6">
    <w:abstractNumId w:val="4"/>
  </w:num>
  <w:num w:numId="7">
    <w:abstractNumId w:val="5"/>
  </w:num>
  <w:num w:numId="8">
    <w:abstractNumId w:val="1"/>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10"/>
  <w:displayHorizontalDrawingGridEvery w:val="0"/>
  <w:displayVerticalDrawingGridEvery w:val="0"/>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37E5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067E"/>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31B9"/>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5B2"/>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1CD"/>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C07"/>
    <w:rsid w:val="009970FC"/>
    <w:rsid w:val="009A552E"/>
    <w:rsid w:val="009A602E"/>
    <w:rsid w:val="009B67DA"/>
    <w:rsid w:val="009B7706"/>
    <w:rsid w:val="009C210C"/>
    <w:rsid w:val="009C2DAE"/>
    <w:rsid w:val="009C6704"/>
    <w:rsid w:val="009C74DC"/>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3D05"/>
    <w:rsid w:val="00B26F59"/>
    <w:rsid w:val="00B27105"/>
    <w:rsid w:val="00B30F04"/>
    <w:rsid w:val="00B31A02"/>
    <w:rsid w:val="00B34BE1"/>
    <w:rsid w:val="00B3717F"/>
    <w:rsid w:val="00B37C89"/>
    <w:rsid w:val="00B4130F"/>
    <w:rsid w:val="00B41D19"/>
    <w:rsid w:val="00B41F71"/>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43DF"/>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AF1"/>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14BB"/>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28F8"/>
    <w:rsid w:val="00D37234"/>
    <w:rsid w:val="00D372D5"/>
    <w:rsid w:val="00D40E6B"/>
    <w:rsid w:val="00D41612"/>
    <w:rsid w:val="00D4318E"/>
    <w:rsid w:val="00D454DC"/>
    <w:rsid w:val="00D47EC5"/>
    <w:rsid w:val="00D51638"/>
    <w:rsid w:val="00D565CF"/>
    <w:rsid w:val="00D56AE4"/>
    <w:rsid w:val="00D65AB5"/>
    <w:rsid w:val="00D65F80"/>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0BC6"/>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5801"/>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14D37DB8"/>
    <w:rsid w:val="183020EE"/>
    <w:rsid w:val="1A572EB2"/>
    <w:rsid w:val="1EF36522"/>
    <w:rsid w:val="76120C51"/>
    <w:rsid w:val="7BFB296D"/>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nhideWhenUsed="0" w:uiPriority="39" w:name="toc 1"/>
    <w:lsdException w:qFormat="1" w:unhideWhenUsed="0" w:uiPriority="39" w:name="toc 2"/>
    <w:lsdException w:qFormat="1" w:unhideWhenUsed="0" w:uiPriority="39" w:name="toc 3"/>
    <w:lsdException w:qFormat="1" w:unhideWhenUsed="0" w:uiPriority="39" w:name="toc 4"/>
    <w:lsdException w:qFormat="1" w:unhideWhenUsed="0" w:uiPriority="39" w:name="toc 5"/>
    <w:lsdException w:qFormat="1" w:unhideWhenUsed="0" w:uiPriority="39" w:name="toc 6"/>
    <w:lsdException w:uiPriority="0" w:name="toc 7"/>
    <w:lsdException w:uiPriority="0" w:name="toc 8"/>
    <w:lsdException w:uiPriority="0"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iPriority="0" w:name="table of figures"/>
    <w:lsdException w:uiPriority="0" w:name="envelope address"/>
    <w:lsdException w:uiPriority="0" w:name="envelope return"/>
    <w:lsdException w:qFormat="1" w:unhideWhenUsed="0" w:uiPriority="99"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qFormat="1" w:unhideWhenUsed="0" w:uiPriority="99" w:name="endnote text"/>
    <w:lsdException w:uiPriority="0" w:name="table of authorities"/>
    <w:lsdException w:qFormat="1"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4"/>
    <w:qFormat/>
    <w:uiPriority w:val="9"/>
    <w:pPr>
      <w:numPr>
        <w:ilvl w:val="0"/>
        <w:numId w:val="1"/>
      </w:numPr>
      <w:outlineLvl w:val="0"/>
    </w:pPr>
    <w:rPr>
      <w:b/>
      <w:caps/>
      <w:szCs w:val="22"/>
      <w:lang w:val="sk-SK"/>
    </w:rPr>
  </w:style>
  <w:style w:type="paragraph" w:styleId="3">
    <w:name w:val="heading 2"/>
    <w:basedOn w:val="1"/>
    <w:next w:val="1"/>
    <w:link w:val="45"/>
    <w:qFormat/>
    <w:uiPriority w:val="9"/>
    <w:pPr>
      <w:numPr>
        <w:ilvl w:val="1"/>
        <w:numId w:val="1"/>
      </w:numPr>
      <w:tabs>
        <w:tab w:val="left" w:pos="6804"/>
      </w:tabs>
      <w:ind w:right="566"/>
      <w:outlineLvl w:val="1"/>
    </w:pPr>
    <w:rPr>
      <w:b/>
      <w:szCs w:val="22"/>
    </w:rPr>
  </w:style>
  <w:style w:type="paragraph" w:styleId="4">
    <w:name w:val="heading 3"/>
    <w:basedOn w:val="1"/>
    <w:next w:val="5"/>
    <w:link w:val="46"/>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7"/>
    <w:qFormat/>
    <w:uiPriority w:val="9"/>
    <w:pPr>
      <w:numPr>
        <w:ilvl w:val="3"/>
        <w:numId w:val="1"/>
      </w:numPr>
      <w:tabs>
        <w:tab w:val="left" w:pos="737"/>
        <w:tab w:val="clear" w:pos="3431"/>
      </w:tabs>
      <w:ind w:left="737" w:right="1467"/>
      <w:outlineLvl w:val="3"/>
    </w:pPr>
    <w:rPr>
      <w:b/>
      <w:lang w:val="sk-SK"/>
    </w:rPr>
  </w:style>
  <w:style w:type="paragraph" w:styleId="7">
    <w:name w:val="heading 5"/>
    <w:basedOn w:val="1"/>
    <w:next w:val="5"/>
    <w:link w:val="48"/>
    <w:qFormat/>
    <w:uiPriority w:val="9"/>
    <w:pPr>
      <w:numPr>
        <w:ilvl w:val="4"/>
        <w:numId w:val="1"/>
      </w:numPr>
      <w:ind w:right="1467"/>
      <w:outlineLvl w:val="4"/>
    </w:pPr>
    <w:rPr>
      <w:i/>
      <w:lang w:val="sk-SK"/>
    </w:rPr>
  </w:style>
  <w:style w:type="paragraph" w:styleId="8">
    <w:name w:val="heading 6"/>
    <w:basedOn w:val="1"/>
    <w:next w:val="5"/>
    <w:link w:val="49"/>
    <w:qFormat/>
    <w:uiPriority w:val="9"/>
    <w:pPr>
      <w:ind w:left="1418" w:right="1467" w:hanging="1418"/>
      <w:outlineLvl w:val="5"/>
    </w:pPr>
    <w:rPr>
      <w:i/>
    </w:rPr>
  </w:style>
  <w:style w:type="paragraph" w:styleId="9">
    <w:name w:val="heading 7"/>
    <w:basedOn w:val="1"/>
    <w:next w:val="5"/>
    <w:link w:val="50"/>
    <w:qFormat/>
    <w:uiPriority w:val="9"/>
    <w:pPr>
      <w:numPr>
        <w:ilvl w:val="6"/>
        <w:numId w:val="1"/>
      </w:numPr>
      <w:outlineLvl w:val="6"/>
    </w:pPr>
    <w:rPr>
      <w:i/>
      <w:sz w:val="20"/>
      <w:lang w:val="de-DE"/>
    </w:rPr>
  </w:style>
  <w:style w:type="paragraph" w:styleId="10">
    <w:name w:val="heading 8"/>
    <w:basedOn w:val="1"/>
    <w:next w:val="5"/>
    <w:link w:val="51"/>
    <w:qFormat/>
    <w:uiPriority w:val="9"/>
    <w:pPr>
      <w:numPr>
        <w:ilvl w:val="7"/>
        <w:numId w:val="1"/>
      </w:numPr>
      <w:outlineLvl w:val="7"/>
    </w:pPr>
    <w:rPr>
      <w:i/>
      <w:sz w:val="20"/>
      <w:lang w:val="de-DE"/>
    </w:rPr>
  </w:style>
  <w:style w:type="paragraph" w:styleId="11">
    <w:name w:val="heading 9"/>
    <w:basedOn w:val="1"/>
    <w:next w:val="5"/>
    <w:link w:val="52"/>
    <w:qFormat/>
    <w:uiPriority w:val="9"/>
    <w:pPr>
      <w:numPr>
        <w:ilvl w:val="8"/>
        <w:numId w:val="1"/>
      </w:numPr>
      <w:outlineLvl w:val="8"/>
    </w:pPr>
    <w:rPr>
      <w:i/>
      <w:sz w:val="20"/>
      <w:lang w:val="de-DE"/>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3"/>
    <w:semiHidden/>
    <w:qFormat/>
    <w:uiPriority w:val="99"/>
    <w:rPr>
      <w:rFonts w:ascii="Tahoma" w:hAnsi="Tahoma" w:cs="Tahoma"/>
      <w:sz w:val="16"/>
      <w:szCs w:val="16"/>
    </w:rPr>
  </w:style>
  <w:style w:type="paragraph" w:styleId="15">
    <w:name w:val="Body Text"/>
    <w:basedOn w:val="1"/>
    <w:link w:val="60"/>
    <w:qFormat/>
    <w:uiPriority w:val="99"/>
    <w:rPr>
      <w:lang w:val="de-DE"/>
    </w:rPr>
  </w:style>
  <w:style w:type="paragraph" w:styleId="16">
    <w:name w:val="Body Text 2"/>
    <w:basedOn w:val="1"/>
    <w:link w:val="62"/>
    <w:qFormat/>
    <w:uiPriority w:val="99"/>
    <w:rPr>
      <w:sz w:val="20"/>
      <w:lang w:val="sk-SK"/>
    </w:rPr>
  </w:style>
  <w:style w:type="paragraph" w:styleId="17">
    <w:name w:val="Body Text 3"/>
    <w:basedOn w:val="1"/>
    <w:link w:val="61"/>
    <w:qFormat/>
    <w:uiPriority w:val="99"/>
    <w:rPr>
      <w:b/>
      <w:lang w:val="de-DE"/>
    </w:rPr>
  </w:style>
  <w:style w:type="character" w:styleId="18">
    <w:name w:val="annotation reference"/>
    <w:basedOn w:val="12"/>
    <w:semiHidden/>
    <w:qFormat/>
    <w:uiPriority w:val="99"/>
    <w:rPr>
      <w:rFonts w:cs="Times New Roman"/>
      <w:sz w:val="16"/>
    </w:rPr>
  </w:style>
  <w:style w:type="paragraph" w:styleId="19">
    <w:name w:val="annotation text"/>
    <w:basedOn w:val="1"/>
    <w:link w:val="56"/>
    <w:semiHidden/>
    <w:qFormat/>
    <w:uiPriority w:val="99"/>
    <w:rPr>
      <w:sz w:val="20"/>
    </w:rPr>
  </w:style>
  <w:style w:type="paragraph" w:styleId="20">
    <w:name w:val="endnote text"/>
    <w:basedOn w:val="1"/>
    <w:link w:val="57"/>
    <w:semiHidden/>
    <w:qFormat/>
    <w:uiPriority w:val="99"/>
    <w:rPr>
      <w:sz w:val="20"/>
    </w:rPr>
  </w:style>
  <w:style w:type="paragraph" w:styleId="21">
    <w:name w:val="footer"/>
    <w:basedOn w:val="1"/>
    <w:link w:val="54"/>
    <w:qFormat/>
    <w:uiPriority w:val="99"/>
  </w:style>
  <w:style w:type="character" w:styleId="22">
    <w:name w:val="footnote reference"/>
    <w:basedOn w:val="12"/>
    <w:semiHidden/>
    <w:qFormat/>
    <w:uiPriority w:val="99"/>
    <w:rPr>
      <w:rFonts w:cs="Times New Roman"/>
      <w:position w:val="6"/>
      <w:sz w:val="16"/>
    </w:rPr>
  </w:style>
  <w:style w:type="paragraph" w:styleId="23">
    <w:name w:val="footnote text"/>
    <w:basedOn w:val="1"/>
    <w:link w:val="58"/>
    <w:semiHidden/>
    <w:qFormat/>
    <w:uiPriority w:val="99"/>
    <w:rPr>
      <w:sz w:val="20"/>
    </w:rPr>
  </w:style>
  <w:style w:type="paragraph" w:styleId="24">
    <w:name w:val="header"/>
    <w:basedOn w:val="1"/>
    <w:link w:val="55"/>
    <w:qFormat/>
    <w:uiPriority w:val="99"/>
  </w:style>
  <w:style w:type="paragraph" w:styleId="25">
    <w:name w:val="index 1"/>
    <w:basedOn w:val="1"/>
    <w:next w:val="1"/>
    <w:semiHidden/>
    <w:qFormat/>
    <w:uiPriority w:val="99"/>
    <w:pPr>
      <w:keepLines/>
      <w:tabs>
        <w:tab w:val="right" w:pos="4459"/>
      </w:tabs>
      <w:ind w:left="240" w:hanging="240"/>
    </w:pPr>
    <w:rPr>
      <w:sz w:val="18"/>
    </w:rPr>
  </w:style>
  <w:style w:type="paragraph" w:styleId="26">
    <w:name w:val="index 2"/>
    <w:basedOn w:val="1"/>
    <w:next w:val="1"/>
    <w:semiHidden/>
    <w:qFormat/>
    <w:uiPriority w:val="99"/>
    <w:pPr>
      <w:keepLines/>
      <w:tabs>
        <w:tab w:val="right" w:pos="4459"/>
      </w:tabs>
      <w:ind w:left="480" w:hanging="240"/>
    </w:pPr>
    <w:rPr>
      <w:sz w:val="18"/>
    </w:rPr>
  </w:style>
  <w:style w:type="paragraph" w:styleId="27">
    <w:name w:val="index 3"/>
    <w:basedOn w:val="1"/>
    <w:next w:val="1"/>
    <w:semiHidden/>
    <w:qFormat/>
    <w:uiPriority w:val="99"/>
    <w:pPr>
      <w:keepLines/>
      <w:tabs>
        <w:tab w:val="right" w:pos="4459"/>
      </w:tabs>
      <w:ind w:left="720" w:hanging="240"/>
    </w:pPr>
    <w:rPr>
      <w:sz w:val="18"/>
    </w:rPr>
  </w:style>
  <w:style w:type="paragraph" w:styleId="28">
    <w:name w:val="index 4"/>
    <w:basedOn w:val="1"/>
    <w:next w:val="1"/>
    <w:semiHidden/>
    <w:qFormat/>
    <w:uiPriority w:val="99"/>
    <w:pPr>
      <w:keepLines/>
      <w:tabs>
        <w:tab w:val="right" w:pos="4459"/>
      </w:tabs>
      <w:ind w:left="960" w:hanging="240"/>
    </w:pPr>
    <w:rPr>
      <w:sz w:val="18"/>
    </w:rPr>
  </w:style>
  <w:style w:type="paragraph" w:styleId="29">
    <w:name w:val="index 5"/>
    <w:basedOn w:val="1"/>
    <w:next w:val="1"/>
    <w:semiHidden/>
    <w:qFormat/>
    <w:uiPriority w:val="99"/>
    <w:pPr>
      <w:keepLines/>
      <w:tabs>
        <w:tab w:val="right" w:pos="4459"/>
      </w:tabs>
      <w:ind w:left="1200" w:hanging="240"/>
    </w:pPr>
    <w:rPr>
      <w:sz w:val="18"/>
    </w:rPr>
  </w:style>
  <w:style w:type="paragraph" w:styleId="30">
    <w:name w:val="index 6"/>
    <w:basedOn w:val="1"/>
    <w:next w:val="1"/>
    <w:semiHidden/>
    <w:qFormat/>
    <w:uiPriority w:val="99"/>
    <w:pPr>
      <w:keepLines/>
      <w:tabs>
        <w:tab w:val="right" w:pos="4459"/>
      </w:tabs>
      <w:ind w:left="1440" w:hanging="240"/>
    </w:pPr>
    <w:rPr>
      <w:sz w:val="18"/>
    </w:rPr>
  </w:style>
  <w:style w:type="paragraph" w:styleId="31">
    <w:name w:val="index 7"/>
    <w:basedOn w:val="1"/>
    <w:next w:val="1"/>
    <w:semiHidden/>
    <w:qFormat/>
    <w:uiPriority w:val="99"/>
    <w:pPr>
      <w:keepLines/>
      <w:tabs>
        <w:tab w:val="right" w:pos="4459"/>
      </w:tabs>
      <w:ind w:left="1680" w:hanging="240"/>
    </w:pPr>
    <w:rPr>
      <w:sz w:val="18"/>
    </w:rPr>
  </w:style>
  <w:style w:type="paragraph" w:styleId="32">
    <w:name w:val="index 8"/>
    <w:basedOn w:val="1"/>
    <w:next w:val="1"/>
    <w:semiHidden/>
    <w:qFormat/>
    <w:uiPriority w:val="99"/>
    <w:pPr>
      <w:keepLines/>
      <w:tabs>
        <w:tab w:val="right" w:pos="4459"/>
      </w:tabs>
      <w:ind w:left="1920" w:hanging="240"/>
    </w:pPr>
    <w:rPr>
      <w:sz w:val="18"/>
    </w:rPr>
  </w:style>
  <w:style w:type="paragraph" w:styleId="33">
    <w:name w:val="index 9"/>
    <w:basedOn w:val="1"/>
    <w:next w:val="1"/>
    <w:semiHidden/>
    <w:qFormat/>
    <w:uiPriority w:val="99"/>
    <w:pPr>
      <w:keepLines/>
      <w:tabs>
        <w:tab w:val="right" w:pos="4459"/>
      </w:tabs>
      <w:ind w:left="2160" w:hanging="240"/>
    </w:pPr>
    <w:rPr>
      <w:sz w:val="18"/>
    </w:rPr>
  </w:style>
  <w:style w:type="paragraph" w:styleId="34">
    <w:name w:val="index heading"/>
    <w:basedOn w:val="1"/>
    <w:next w:val="25"/>
    <w:semiHidden/>
    <w:qFormat/>
    <w:uiPriority w:val="99"/>
    <w:pPr>
      <w:keepLines/>
      <w:pBdr>
        <w:top w:val="single" w:color="auto" w:sz="12" w:space="0"/>
      </w:pBdr>
      <w:spacing w:before="360" w:after="240"/>
    </w:pPr>
    <w:rPr>
      <w:b/>
      <w:i/>
      <w:sz w:val="26"/>
    </w:rPr>
  </w:style>
  <w:style w:type="paragraph" w:styleId="35">
    <w:name w:val="macro"/>
    <w:link w:val="53"/>
    <w:semiHidden/>
    <w:qFormat/>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character" w:styleId="36">
    <w:name w:val="page number"/>
    <w:basedOn w:val="12"/>
    <w:qFormat/>
    <w:uiPriority w:val="99"/>
    <w:rPr>
      <w:rFonts w:cs="Times New Roman"/>
    </w:rPr>
  </w:style>
  <w:style w:type="paragraph" w:styleId="37">
    <w:name w:val="Title"/>
    <w:basedOn w:val="1"/>
    <w:link w:val="59"/>
    <w:qFormat/>
    <w:uiPriority w:val="10"/>
    <w:pPr>
      <w:shd w:val="pct10" w:color="000000" w:fill="FFFFFF"/>
      <w:jc w:val="center"/>
    </w:pPr>
    <w:rPr>
      <w:b/>
      <w:sz w:val="32"/>
      <w:lang w:val="de-DE"/>
    </w:rPr>
  </w:style>
  <w:style w:type="paragraph" w:styleId="38">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39">
    <w:name w:val="toc 2"/>
    <w:basedOn w:val="1"/>
    <w:next w:val="1"/>
    <w:semiHidden/>
    <w:qFormat/>
    <w:uiPriority w:val="39"/>
    <w:pPr>
      <w:tabs>
        <w:tab w:val="left" w:pos="1675"/>
        <w:tab w:val="right" w:leader="dot" w:pos="9072"/>
      </w:tabs>
      <w:ind w:left="1135" w:right="1132" w:hanging="709"/>
    </w:pPr>
  </w:style>
  <w:style w:type="paragraph" w:styleId="40">
    <w:name w:val="toc 3"/>
    <w:basedOn w:val="1"/>
    <w:next w:val="1"/>
    <w:semiHidden/>
    <w:qFormat/>
    <w:uiPriority w:val="39"/>
    <w:pPr>
      <w:tabs>
        <w:tab w:val="left" w:pos="2563"/>
        <w:tab w:val="left" w:pos="2705"/>
        <w:tab w:val="right" w:leader="dot" w:pos="9072"/>
      </w:tabs>
      <w:ind w:left="1985" w:right="1132" w:hanging="851"/>
    </w:pPr>
  </w:style>
  <w:style w:type="paragraph" w:styleId="41">
    <w:name w:val="toc 4"/>
    <w:basedOn w:val="1"/>
    <w:next w:val="1"/>
    <w:semiHidden/>
    <w:qFormat/>
    <w:uiPriority w:val="39"/>
    <w:pPr>
      <w:tabs>
        <w:tab w:val="left" w:pos="3877"/>
        <w:tab w:val="right" w:leader="dot" w:pos="9072"/>
      </w:tabs>
      <w:ind w:left="2977" w:right="1132" w:hanging="993"/>
    </w:pPr>
  </w:style>
  <w:style w:type="paragraph" w:styleId="42">
    <w:name w:val="toc 5"/>
    <w:basedOn w:val="1"/>
    <w:next w:val="1"/>
    <w:semiHidden/>
    <w:qFormat/>
    <w:uiPriority w:val="39"/>
    <w:pPr>
      <w:tabs>
        <w:tab w:val="right" w:pos="8931"/>
      </w:tabs>
      <w:ind w:left="1702" w:right="850" w:hanging="1135"/>
    </w:pPr>
  </w:style>
  <w:style w:type="paragraph" w:styleId="43">
    <w:name w:val="toc 6"/>
    <w:basedOn w:val="1"/>
    <w:next w:val="1"/>
    <w:semiHidden/>
    <w:qFormat/>
    <w:uiPriority w:val="39"/>
    <w:pPr>
      <w:tabs>
        <w:tab w:val="right" w:pos="8931"/>
      </w:tabs>
      <w:ind w:left="1702" w:right="850" w:hanging="1135"/>
    </w:pPr>
  </w:style>
  <w:style w:type="character" w:customStyle="1" w:styleId="44">
    <w:name w:val="Nadpis 1 Char"/>
    <w:basedOn w:val="12"/>
    <w:link w:val="2"/>
    <w:qFormat/>
    <w:locked/>
    <w:uiPriority w:val="9"/>
    <w:rPr>
      <w:rFonts w:asciiTheme="majorHAnsi" w:hAnsiTheme="majorHAnsi" w:eastAsiaTheme="majorEastAsia" w:cstheme="majorBidi"/>
      <w:b/>
      <w:bCs/>
      <w:kern w:val="32"/>
      <w:sz w:val="32"/>
      <w:szCs w:val="32"/>
      <w:lang w:val="de-AT"/>
    </w:rPr>
  </w:style>
  <w:style w:type="character" w:customStyle="1" w:styleId="45">
    <w:name w:val="Nadpis 2 Char"/>
    <w:basedOn w:val="12"/>
    <w:link w:val="3"/>
    <w:qFormat/>
    <w:locked/>
    <w:uiPriority w:val="9"/>
    <w:rPr>
      <w:rFonts w:ascii="Garamond" w:hAnsi="Garamond" w:cs="Times New Roman"/>
      <w:b/>
      <w:sz w:val="22"/>
    </w:rPr>
  </w:style>
  <w:style w:type="character" w:customStyle="1" w:styleId="46">
    <w:name w:val="Nadpis 3 Char"/>
    <w:basedOn w:val="12"/>
    <w:link w:val="4"/>
    <w:semiHidden/>
    <w:qFormat/>
    <w:locked/>
    <w:uiPriority w:val="9"/>
    <w:rPr>
      <w:rFonts w:asciiTheme="majorHAnsi" w:hAnsiTheme="majorHAnsi" w:eastAsiaTheme="majorEastAsia" w:cstheme="majorBidi"/>
      <w:b/>
      <w:bCs/>
      <w:sz w:val="26"/>
      <w:szCs w:val="26"/>
      <w:lang w:val="de-AT"/>
    </w:rPr>
  </w:style>
  <w:style w:type="character" w:customStyle="1" w:styleId="47">
    <w:name w:val="Nadpis 4 Char"/>
    <w:basedOn w:val="12"/>
    <w:link w:val="6"/>
    <w:semiHidden/>
    <w:qFormat/>
    <w:locked/>
    <w:uiPriority w:val="9"/>
    <w:rPr>
      <w:rFonts w:asciiTheme="minorHAnsi" w:hAnsiTheme="minorHAnsi" w:eastAsiaTheme="minorEastAsia" w:cstheme="minorBidi"/>
      <w:b/>
      <w:bCs/>
      <w:sz w:val="28"/>
      <w:szCs w:val="28"/>
      <w:lang w:val="de-AT"/>
    </w:rPr>
  </w:style>
  <w:style w:type="character" w:customStyle="1" w:styleId="48">
    <w:name w:val="Nadpis 5 Char"/>
    <w:basedOn w:val="12"/>
    <w:link w:val="7"/>
    <w:semiHidden/>
    <w:qFormat/>
    <w:locked/>
    <w:uiPriority w:val="9"/>
    <w:rPr>
      <w:rFonts w:asciiTheme="minorHAnsi" w:hAnsiTheme="minorHAnsi" w:eastAsiaTheme="minorEastAsia" w:cstheme="minorBidi"/>
      <w:b/>
      <w:bCs/>
      <w:i/>
      <w:iCs/>
      <w:sz w:val="26"/>
      <w:szCs w:val="26"/>
      <w:lang w:val="de-AT"/>
    </w:rPr>
  </w:style>
  <w:style w:type="character" w:customStyle="1" w:styleId="49">
    <w:name w:val="Nadpis 6 Char"/>
    <w:basedOn w:val="12"/>
    <w:link w:val="8"/>
    <w:semiHidden/>
    <w:qFormat/>
    <w:locked/>
    <w:uiPriority w:val="9"/>
    <w:rPr>
      <w:rFonts w:asciiTheme="minorHAnsi" w:hAnsiTheme="minorHAnsi" w:eastAsiaTheme="minorEastAsia" w:cstheme="minorBidi"/>
      <w:b/>
      <w:bCs/>
      <w:sz w:val="22"/>
      <w:szCs w:val="22"/>
      <w:lang w:val="de-AT"/>
    </w:rPr>
  </w:style>
  <w:style w:type="character" w:customStyle="1" w:styleId="50">
    <w:name w:val="Nadpis 7 Char"/>
    <w:basedOn w:val="12"/>
    <w:link w:val="9"/>
    <w:semiHidden/>
    <w:qFormat/>
    <w:locked/>
    <w:uiPriority w:val="9"/>
    <w:rPr>
      <w:rFonts w:asciiTheme="minorHAnsi" w:hAnsiTheme="minorHAnsi" w:eastAsiaTheme="minorEastAsia" w:cstheme="minorBidi"/>
      <w:sz w:val="24"/>
      <w:szCs w:val="24"/>
      <w:lang w:val="de-AT"/>
    </w:rPr>
  </w:style>
  <w:style w:type="character" w:customStyle="1" w:styleId="51">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2">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3">
    <w:name w:val="Text makra Char"/>
    <w:basedOn w:val="12"/>
    <w:link w:val="35"/>
    <w:semiHidden/>
    <w:qFormat/>
    <w:locked/>
    <w:uiPriority w:val="99"/>
    <w:rPr>
      <w:rFonts w:ascii="Courier New" w:hAnsi="Courier New" w:cs="Courier New"/>
      <w:lang w:val="de-AT"/>
    </w:rPr>
  </w:style>
  <w:style w:type="character" w:customStyle="1" w:styleId="54">
    <w:name w:val="Zápatí Char"/>
    <w:basedOn w:val="12"/>
    <w:link w:val="21"/>
    <w:semiHidden/>
    <w:qFormat/>
    <w:locked/>
    <w:uiPriority w:val="99"/>
    <w:rPr>
      <w:rFonts w:ascii="Garamond" w:hAnsi="Garamond" w:cs="Times New Roman"/>
      <w:sz w:val="22"/>
      <w:lang w:val="de-AT"/>
    </w:rPr>
  </w:style>
  <w:style w:type="character" w:customStyle="1" w:styleId="55">
    <w:name w:val="Záhlaví Char"/>
    <w:basedOn w:val="12"/>
    <w:link w:val="24"/>
    <w:semiHidden/>
    <w:qFormat/>
    <w:locked/>
    <w:uiPriority w:val="99"/>
    <w:rPr>
      <w:rFonts w:ascii="Garamond" w:hAnsi="Garamond" w:cs="Times New Roman"/>
      <w:sz w:val="22"/>
      <w:lang w:val="de-AT"/>
    </w:rPr>
  </w:style>
  <w:style w:type="character" w:customStyle="1" w:styleId="56">
    <w:name w:val="Text komentáře Char"/>
    <w:basedOn w:val="12"/>
    <w:link w:val="19"/>
    <w:semiHidden/>
    <w:qFormat/>
    <w:locked/>
    <w:uiPriority w:val="99"/>
    <w:rPr>
      <w:rFonts w:ascii="Garamond" w:hAnsi="Garamond" w:cs="Times New Roman"/>
      <w:lang w:val="de-AT"/>
    </w:rPr>
  </w:style>
  <w:style w:type="character" w:customStyle="1" w:styleId="57">
    <w:name w:val="Text vysvětlivek Char"/>
    <w:basedOn w:val="12"/>
    <w:link w:val="20"/>
    <w:semiHidden/>
    <w:qFormat/>
    <w:locked/>
    <w:uiPriority w:val="99"/>
    <w:rPr>
      <w:rFonts w:ascii="Garamond" w:hAnsi="Garamond" w:cs="Times New Roman"/>
      <w:lang w:val="de-AT"/>
    </w:rPr>
  </w:style>
  <w:style w:type="character" w:customStyle="1" w:styleId="58">
    <w:name w:val="Text pozn. pod čarou Char"/>
    <w:basedOn w:val="12"/>
    <w:link w:val="23"/>
    <w:semiHidden/>
    <w:qFormat/>
    <w:locked/>
    <w:uiPriority w:val="99"/>
    <w:rPr>
      <w:rFonts w:ascii="Garamond" w:hAnsi="Garamond" w:cs="Times New Roman"/>
      <w:lang w:val="de-AT"/>
    </w:rPr>
  </w:style>
  <w:style w:type="character" w:customStyle="1" w:styleId="59">
    <w:name w:val="Název Char"/>
    <w:basedOn w:val="12"/>
    <w:link w:val="37"/>
    <w:qFormat/>
    <w:locked/>
    <w:uiPriority w:val="10"/>
    <w:rPr>
      <w:rFonts w:asciiTheme="majorHAnsi" w:hAnsiTheme="majorHAnsi" w:eastAsiaTheme="majorEastAsia" w:cstheme="majorBidi"/>
      <w:b/>
      <w:bCs/>
      <w:kern w:val="28"/>
      <w:sz w:val="32"/>
      <w:szCs w:val="32"/>
      <w:lang w:val="de-AT"/>
    </w:rPr>
  </w:style>
  <w:style w:type="character" w:customStyle="1" w:styleId="60">
    <w:name w:val="Základní text Char"/>
    <w:basedOn w:val="12"/>
    <w:link w:val="15"/>
    <w:semiHidden/>
    <w:qFormat/>
    <w:locked/>
    <w:uiPriority w:val="99"/>
    <w:rPr>
      <w:rFonts w:ascii="Garamond" w:hAnsi="Garamond" w:cs="Times New Roman"/>
      <w:sz w:val="22"/>
      <w:lang w:val="de-AT"/>
    </w:rPr>
  </w:style>
  <w:style w:type="character" w:customStyle="1" w:styleId="61">
    <w:name w:val="Základní text 3 Char"/>
    <w:basedOn w:val="12"/>
    <w:link w:val="17"/>
    <w:semiHidden/>
    <w:qFormat/>
    <w:locked/>
    <w:uiPriority w:val="99"/>
    <w:rPr>
      <w:rFonts w:ascii="Garamond" w:hAnsi="Garamond" w:cs="Times New Roman"/>
      <w:sz w:val="16"/>
      <w:szCs w:val="16"/>
      <w:lang w:val="de-AT"/>
    </w:rPr>
  </w:style>
  <w:style w:type="character" w:customStyle="1" w:styleId="62">
    <w:name w:val="Základní text 2 Char"/>
    <w:basedOn w:val="12"/>
    <w:link w:val="16"/>
    <w:semiHidden/>
    <w:qFormat/>
    <w:locked/>
    <w:uiPriority w:val="99"/>
    <w:rPr>
      <w:rFonts w:ascii="Garamond" w:hAnsi="Garamond" w:cs="Times New Roman"/>
      <w:sz w:val="22"/>
      <w:lang w:val="de-AT"/>
    </w:rPr>
  </w:style>
  <w:style w:type="character" w:customStyle="1" w:styleId="63">
    <w:name w:val="Text bubliny Char"/>
    <w:basedOn w:val="12"/>
    <w:link w:val="14"/>
    <w:semiHidden/>
    <w:qFormat/>
    <w:locked/>
    <w:uiPriority w:val="99"/>
    <w:rPr>
      <w:rFonts w:ascii="Tahoma" w:hAnsi="Tahoma" w:cs="Tahoma"/>
      <w:sz w:val="16"/>
      <w:szCs w:val="16"/>
      <w:lang w:val="de-AT"/>
    </w:rPr>
  </w:style>
  <w:style w:type="paragraph" w:customStyle="1" w:styleId="64">
    <w:name w:val="Pismenka"/>
    <w:basedOn w:val="15"/>
    <w:qFormat/>
    <w:uiPriority w:val="0"/>
    <w:pPr>
      <w:tabs>
        <w:tab w:val="left" w:pos="426"/>
      </w:tabs>
      <w:ind w:left="426" w:hanging="426"/>
      <w:jc w:val="both"/>
    </w:pPr>
    <w:rPr>
      <w:rFonts w:ascii="Times New Roman" w:hAnsi="Times New Roman"/>
      <w:b/>
      <w:sz w:val="18"/>
      <w:lang w:val="sk-SK" w:eastAsia="en-US"/>
    </w:rPr>
  </w:style>
  <w:style w:type="paragraph" w:customStyle="1" w:styleId="65">
    <w:name w:val="Top Header"/>
    <w:basedOn w:val="1"/>
    <w:qFormat/>
    <w:uiPriority w:val="0"/>
    <w:pPr>
      <w:jc w:val="center"/>
    </w:pPr>
    <w:rPr>
      <w:rFonts w:ascii="Arial Narrow" w:hAnsi="Arial Narrow"/>
      <w:b/>
      <w:bCs/>
      <w:szCs w:val="22"/>
      <w:lang w:val="sk-SK" w:eastAsia="en-US"/>
    </w:rPr>
  </w:style>
  <w:style w:type="paragraph" w:customStyle="1" w:styleId="66">
    <w:name w:val="List Paragraph1"/>
    <w:basedOn w:val="1"/>
    <w:qFormat/>
    <w:uiPriority w:val="34"/>
    <w:pPr>
      <w:ind w:left="708"/>
    </w:pPr>
  </w:style>
  <w:style w:type="paragraph" w:customStyle="1" w:styleId="67">
    <w:name w:val="Revision1"/>
    <w:hidden/>
    <w:semiHidden/>
    <w:qFormat/>
    <w:uiPriority w:val="99"/>
    <w:rPr>
      <w:rFonts w:ascii="Garamond" w:hAnsi="Garamond" w:eastAsia="Times New Roman" w:cs="Times New Roman"/>
      <w:sz w:val="24"/>
      <w:lang w:val="de-AT" w:eastAsia="sk-SK" w:bidi="ar-SA"/>
    </w:rPr>
  </w:style>
  <w:style w:type="paragraph" w:customStyle="1" w:styleId="68">
    <w:name w:val="odstavec"/>
    <w:basedOn w:val="1"/>
    <w:link w:val="69"/>
    <w:qFormat/>
    <w:uiPriority w:val="0"/>
    <w:pPr>
      <w:tabs>
        <w:tab w:val="left" w:pos="709"/>
      </w:tabs>
      <w:suppressAutoHyphens/>
      <w:ind w:right="-79"/>
    </w:pPr>
    <w:rPr>
      <w:szCs w:val="22"/>
    </w:rPr>
  </w:style>
  <w:style w:type="character" w:customStyle="1" w:styleId="69">
    <w:name w:val="odstavec Char"/>
    <w:link w:val="68"/>
    <w:qFormat/>
    <w:locked/>
    <w:uiPriority w:val="0"/>
    <w:rPr>
      <w:rFonts w:ascii="Garamond" w:hAnsi="Garamond"/>
      <w:sz w:val="22"/>
    </w:rPr>
  </w:style>
  <w:style w:type="paragraph" w:customStyle="1" w:styleId="70">
    <w:name w:val="abc"/>
    <w:basedOn w:val="1"/>
    <w:uiPriority w:val="0"/>
    <w:pPr>
      <w:numPr>
        <w:ilvl w:val="0"/>
        <w:numId w:val="2"/>
      </w:numPr>
      <w:spacing w:before="60" w:after="120"/>
      <w:jc w:val="both"/>
    </w:pPr>
    <w:rPr>
      <w:rFonts w:ascii="Arial" w:hAnsi="Arial" w:cs="Arial"/>
      <w:b/>
      <w:sz w:val="20"/>
      <w:lang w:val="sk-SK"/>
    </w:rPr>
  </w:style>
  <w:style w:type="paragraph" w:customStyle="1" w:styleId="71">
    <w:name w:val="ABC - paragrah in Notes"/>
    <w:link w:val="72"/>
    <w:uiPriority w:val="0"/>
    <w:pPr>
      <w:spacing w:after="240"/>
      <w:jc w:val="both"/>
    </w:pPr>
    <w:rPr>
      <w:rFonts w:ascii="Arial" w:hAnsi="Arial" w:eastAsia="Times New Roman" w:cs="Times New Roman"/>
      <w:sz w:val="18"/>
      <w:lang w:val="en-GB" w:eastAsia="en-US" w:bidi="ar-SA"/>
    </w:rPr>
  </w:style>
  <w:style w:type="character" w:customStyle="1" w:styleId="72">
    <w:name w:val="ABC - paragrah in Notes Char"/>
    <w:link w:val="71"/>
    <w:qFormat/>
    <w:locked/>
    <w:uiPriority w:val="0"/>
    <w:rPr>
      <w:rFonts w:ascii="Arial" w:hAnsi="Arial"/>
      <w:sz w:val="18"/>
      <w:lang w:val="en-GB" w:eastAsia="en-US"/>
    </w:rPr>
  </w:style>
  <w:style w:type="paragraph" w:customStyle="1" w:styleId="73">
    <w:name w:val="line s"/>
    <w:basedOn w:val="1"/>
    <w:uiPriority w:val="0"/>
    <w:pPr>
      <w:pBdr>
        <w:bottom w:val="single" w:color="auto" w:sz="4" w:space="1"/>
      </w:pBdr>
      <w:ind w:left="113" w:right="57"/>
      <w:jc w:val="right"/>
    </w:pPr>
    <w:rPr>
      <w:rFonts w:ascii="Times New Roman" w:hAnsi="Times New Roman"/>
      <w:bCs/>
      <w:sz w:val="20"/>
      <w:lang w:val="sk-SK"/>
    </w:rPr>
  </w:style>
  <w:style w:type="paragraph" w:customStyle="1" w:styleId="74">
    <w:name w:val="line d"/>
    <w:basedOn w:val="1"/>
    <w:uiPriority w:val="0"/>
    <w:pPr>
      <w:pBdr>
        <w:bottom w:val="double" w:color="auto" w:sz="4" w:space="1"/>
      </w:pBdr>
      <w:ind w:left="113" w:right="57"/>
      <w:jc w:val="right"/>
    </w:pPr>
    <w:rPr>
      <w:rFonts w:ascii="Times New Roman" w:hAnsi="Times New Roman"/>
      <w:b/>
      <w:sz w:val="20"/>
      <w:lang w:val="sk-SK"/>
    </w:rPr>
  </w:style>
  <w:style w:type="paragraph" w:customStyle="1" w:styleId="75">
    <w:name w:val="Uvod"/>
    <w:basedOn w:val="1"/>
    <w:uiPriority w:val="0"/>
    <w:pPr>
      <w:ind w:left="284" w:hanging="284"/>
      <w:jc w:val="both"/>
    </w:pPr>
    <w:rPr>
      <w:rFonts w:ascii="Times New Roman" w:hAnsi="Times New Roman"/>
      <w:lang w:val="sk-SK" w:eastAsia="en-US"/>
    </w:rPr>
  </w:style>
  <w:style w:type="paragraph" w:styleId="76">
    <w:name w:val="List Paragraph"/>
    <w:basedOn w:val="1"/>
    <w:qFormat/>
    <w:uiPriority w:val="34"/>
    <w:pPr>
      <w:ind w:left="720"/>
      <w:contextualSpacing/>
    </w:pPr>
  </w:style>
  <w:style w:type="character" w:customStyle="1" w:styleId="77">
    <w:name w:val="ra"/>
    <w:basedOn w:val="12"/>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image" Target="media/image12.emf"/><Relationship Id="rId27" Type="http://schemas.openxmlformats.org/officeDocument/2006/relationships/oleObject" Target="embeddings/oleObject11.bin"/><Relationship Id="rId26" Type="http://schemas.openxmlformats.org/officeDocument/2006/relationships/image" Target="media/image11.emf"/><Relationship Id="rId25" Type="http://schemas.openxmlformats.org/officeDocument/2006/relationships/oleObject" Target="embeddings/oleObject10.bin"/><Relationship Id="rId24" Type="http://schemas.openxmlformats.org/officeDocument/2006/relationships/image" Target="media/image10.emf"/><Relationship Id="rId23" Type="http://schemas.openxmlformats.org/officeDocument/2006/relationships/oleObject" Target="embeddings/oleObject9.bin"/><Relationship Id="rId22" Type="http://schemas.openxmlformats.org/officeDocument/2006/relationships/image" Target="media/image9.emf"/><Relationship Id="rId21" Type="http://schemas.openxmlformats.org/officeDocument/2006/relationships/oleObject" Target="embeddings/oleObject8.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7.emf"/><Relationship Id="rId17" Type="http://schemas.openxmlformats.org/officeDocument/2006/relationships/oleObject" Target="embeddings/oleObject6.bin"/><Relationship Id="rId16" Type="http://schemas.openxmlformats.org/officeDocument/2006/relationships/image" Target="media/image6.emf"/><Relationship Id="rId15" Type="http://schemas.openxmlformats.org/officeDocument/2006/relationships/oleObject" Target="embeddings/oleObject5.bin"/><Relationship Id="rId14" Type="http://schemas.openxmlformats.org/officeDocument/2006/relationships/image" Target="media/image5.emf"/><Relationship Id="rId13" Type="http://schemas.openxmlformats.org/officeDocument/2006/relationships/oleObject" Target="embeddings/oleObject4.bin"/><Relationship Id="rId12" Type="http://schemas.openxmlformats.org/officeDocument/2006/relationships/image" Target="media/image4.emf"/><Relationship Id="rId11" Type="http://schemas.openxmlformats.org/officeDocument/2006/relationships/package" Target="embeddings/Workbook1.xlsx"/><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16</Pages>
  <Words>2036</Words>
  <Characters>12706</Characters>
  <Lines>105</Lines>
  <Paragraphs>29</Paragraphs>
  <TotalTime>37</TotalTime>
  <ScaleCrop>false</ScaleCrop>
  <LinksUpToDate>false</LinksUpToDate>
  <CharactersWithSpaces>14713</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2021-03-23T15:23:00Z</dcterms:created>
  <dc:creator>Administrator</dc:creator>
  <cp:lastModifiedBy>Lenovo</cp:lastModifiedBy>
  <cp:lastPrinted>2015-03-29T15:16:00Z</cp:lastPrinted>
  <dcterms:modified xsi:type="dcterms:W3CDTF">2023-03-25T10:56:39Z</dcterms:modified>
  <dc:title>POZNÁMKY K ÚČTOVNEJ ZÁVIERKE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9081637E22564702AA394879CC9C817B</vt:lpwstr>
  </property>
</Properties>
</file>