
<file path=[Content_Types].xml><?xml version="1.0" encoding="utf-8"?>
<Types xmlns="http://schemas.openxmlformats.org/package/2006/content-types">
  <Default Extension="xlsx" ContentType="application/vnd.openxmlformats-officedocument.spreadsheetml.sheet"/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endnotes.xml" ContentType="application/vnd.openxmlformats-officedocument.wordprocessingml.endnot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pStyle w:val="1217"/>
        <w:spacing w:before="120" w:after="60"/>
      </w:pPr>
      <w:r/>
      <w:bookmarkStart w:id="0" w:name="_Toc530739894"/>
      <w:r>
        <w:t xml:space="preserve">Všeobecné </w:t>
      </w:r>
      <w:r>
        <w:t xml:space="preserve">Informácie</w:t>
      </w:r>
      <w:bookmarkEnd w:id="0"/>
      <w:r/>
      <w:r/>
    </w:p>
    <w:p>
      <w:pPr>
        <w:pStyle w:val="1232"/>
      </w:pPr>
      <w:r/>
      <w:r/>
    </w:p>
    <w:p>
      <w:pPr>
        <w:pStyle w:val="1232"/>
      </w:pPr>
      <w:r/>
      <w:r/>
    </w:p>
    <w:p>
      <w:pPr>
        <w:pStyle w:val="1218"/>
        <w:numPr>
          <w:ilvl w:val="0"/>
          <w:numId w:val="2"/>
        </w:numPr>
      </w:pPr>
      <w:r>
        <w:t xml:space="preserve">Obchodné meno a sídlo </w:t>
      </w:r>
      <w:r>
        <w:t xml:space="preserve">spoločnosti</w:t>
      </w:r>
      <w:r>
        <w:t xml:space="preserve">:</w:t>
      </w:r>
      <w:r/>
    </w:p>
    <w:p>
      <w:pPr>
        <w:pStyle w:val="1232"/>
      </w:pPr>
      <w:r>
        <w:t xml:space="preserve">2Mservices</w:t>
      </w:r>
      <w:r>
        <w:t xml:space="preserve"> s.r.o.</w:t>
      </w:r>
      <w:r/>
    </w:p>
    <w:p>
      <w:pPr>
        <w:pStyle w:val="1232"/>
        <w:ind w:left="0"/>
      </w:pPr>
      <w:r>
        <w:t xml:space="preserve">         </w:t>
      </w:r>
      <w:r>
        <w:t xml:space="preserve">Šamorínska 1</w:t>
      </w:r>
      <w:r/>
    </w:p>
    <w:p>
      <w:pPr>
        <w:pStyle w:val="1232"/>
      </w:pPr>
      <w:r>
        <w:t xml:space="preserve">8</w:t>
      </w:r>
      <w:r>
        <w:t xml:space="preserve">21</w:t>
      </w:r>
      <w:r>
        <w:t xml:space="preserve"> 0</w:t>
      </w:r>
      <w:r>
        <w:t xml:space="preserve">6 </w:t>
      </w:r>
      <w:r>
        <w:t xml:space="preserve"> Bratislava</w:t>
      </w:r>
      <w:r/>
    </w:p>
    <w:p>
      <w:r/>
      <w:r/>
    </w:p>
    <w:p>
      <w:pPr>
        <w:pStyle w:val="1218"/>
        <w:ind w:left="360"/>
      </w:pPr>
      <w:r/>
      <w:bookmarkStart w:id="1" w:name="_Toc530739896"/>
      <w:r>
        <w:t xml:space="preserve">Hlavnými činnosťami </w:t>
      </w:r>
      <w:r>
        <w:t xml:space="preserve">s</w:t>
      </w:r>
      <w:r>
        <w:t xml:space="preserve">poločnosti sú:</w:t>
      </w:r>
      <w:bookmarkEnd w:id="1"/>
      <w:r/>
      <w:r/>
    </w:p>
    <w:p>
      <w:r/>
      <w:r/>
    </w:p>
    <w:p>
      <w:pPr>
        <w:pStyle w:val="1232"/>
      </w:pPr>
      <w:r>
        <w:t xml:space="preserve">- </w:t>
      </w:r>
      <w:r>
        <w:tab/>
        <w:t xml:space="preserve">kúpa tovaru na účely jeho predaja konečnému spotrebiteľovi (maloobchod)</w:t>
      </w:r>
      <w:r/>
    </w:p>
    <w:p>
      <w:pPr>
        <w:pStyle w:val="1232"/>
      </w:pPr>
      <w:r>
        <w:t xml:space="preserve">- </w:t>
      </w:r>
      <w:r>
        <w:tab/>
        <w:t xml:space="preserve">kúpa tovaru na účely jeho predaja iným prevádzkovateľom živnosti (veľkoobchod)</w:t>
      </w:r>
      <w:r/>
    </w:p>
    <w:p>
      <w:pPr>
        <w:pStyle w:val="1232"/>
      </w:pPr>
      <w:r>
        <w:t xml:space="preserve">- </w:t>
      </w:r>
      <w:r>
        <w:tab/>
        <w:t xml:space="preserve">čistiace a upratovacie práce</w:t>
      </w:r>
      <w:r/>
    </w:p>
    <w:p>
      <w:pPr>
        <w:pStyle w:val="1232"/>
      </w:pPr>
      <w:r>
        <w:t xml:space="preserve">- </w:t>
      </w:r>
      <w:r>
        <w:tab/>
        <w:t xml:space="preserve">organizovanie kultúrnych, spoločenských a športových podujatí</w:t>
      </w:r>
      <w:r/>
    </w:p>
    <w:p>
      <w:pPr>
        <w:pStyle w:val="1232"/>
      </w:pPr>
      <w:r>
        <w:t xml:space="preserve">- </w:t>
      </w:r>
      <w:r>
        <w:tab/>
        <w:t xml:space="preserve">technicko-organizačné zabezpečenie školení, seminárov a  vzdelávacích podujatí v rozsahu voľnej živnosti</w:t>
      </w:r>
      <w:r/>
    </w:p>
    <w:p>
      <w:pPr>
        <w:pStyle w:val="1232"/>
      </w:pPr>
      <w:r>
        <w:t xml:space="preserve">- </w:t>
      </w:r>
      <w:r>
        <w:tab/>
        <w:t xml:space="preserve">sprostredkovateľská činnosť v rozsahu voľnej živnosti</w:t>
      </w:r>
      <w:r/>
    </w:p>
    <w:p>
      <w:pPr>
        <w:pStyle w:val="1232"/>
      </w:pPr>
      <w:r>
        <w:t xml:space="preserve">- </w:t>
      </w:r>
      <w:r>
        <w:tab/>
        <w:t xml:space="preserve">podnikateľské poradenstvo v rozsahu voľnej živnosti</w:t>
      </w:r>
      <w:r/>
    </w:p>
    <w:p>
      <w:pPr>
        <w:pStyle w:val="1232"/>
      </w:pPr>
      <w:r>
        <w:t xml:space="preserve">- </w:t>
      </w:r>
      <w:r>
        <w:tab/>
        <w:t xml:space="preserve">reklamná, propagačná a inzertná činnosť</w:t>
      </w:r>
      <w:r/>
    </w:p>
    <w:p>
      <w:pPr>
        <w:pStyle w:val="1232"/>
      </w:pPr>
      <w:r>
        <w:t xml:space="preserve">- </w:t>
      </w:r>
      <w:r>
        <w:tab/>
        <w:t xml:space="preserve">prenájom hnuteľných vecí v rozsahu voľnej živnosti</w:t>
      </w:r>
      <w:r/>
    </w:p>
    <w:p>
      <w:pPr>
        <w:pStyle w:val="1232"/>
      </w:pPr>
      <w:r>
        <w:t xml:space="preserve">- </w:t>
      </w:r>
      <w:r>
        <w:tab/>
        <w:t xml:space="preserve">prenájom nehnuteľností s poskytovaním iných než základných služieb spojených s prenájmom</w:t>
      </w:r>
      <w:r/>
    </w:p>
    <w:p>
      <w:pPr>
        <w:pStyle w:val="1232"/>
        <w:ind w:left="708" w:hanging="282"/>
      </w:pPr>
      <w:r>
        <w:t xml:space="preserve">- </w:t>
      </w:r>
      <w:r>
        <w:tab/>
        <w:t xml:space="preserve">osobná cestná doprava vykonávaná cestnými osobnými vozidlami, ktorých celková obsaditeľnosť nepresahuje 9 osôb vrátane vodiča s výnimkou vozidiel taxislužby</w:t>
      </w:r>
      <w:r/>
    </w:p>
    <w:p>
      <w:r/>
      <w:r/>
    </w:p>
    <w:p>
      <w:r/>
      <w:r/>
    </w:p>
    <w:p>
      <w:pPr>
        <w:pStyle w:val="1218"/>
        <w:numPr>
          <w:ilvl w:val="0"/>
          <w:numId w:val="2"/>
        </w:numPr>
      </w:pPr>
      <w:r>
        <w:t xml:space="preserve">Dátum schválenia účtovnej závierky za predchádzajúce účtovné obdobie</w:t>
      </w:r>
      <w:r/>
    </w:p>
    <w:p>
      <w:pPr>
        <w:pStyle w:val="1232"/>
        <w:ind w:hanging="426"/>
      </w:pPr>
      <w:r>
        <w:tab/>
      </w:r>
      <w:r>
        <w:t xml:space="preserve">Účtovná závierka</w:t>
      </w:r>
      <w:r>
        <w:t xml:space="preserve"> Spoločnosti k 31. decembru 2022</w:t>
      </w:r>
      <w:r>
        <w:t xml:space="preserve">, za predchádzajúce účtovné obdobie, bola schválená valným zhromaždením Spoločnosti </w:t>
      </w:r>
      <w:r>
        <w:t xml:space="preserve">dňa </w:t>
      </w:r>
      <w:r>
        <w:t xml:space="preserve">27</w:t>
      </w:r>
      <w:r>
        <w:t xml:space="preserve">.</w:t>
      </w:r>
      <w:r>
        <w:t xml:space="preserve">03</w:t>
      </w:r>
      <w:r>
        <w:t xml:space="preserve">.</w:t>
      </w:r>
      <w:r>
        <w:t xml:space="preserve"> 2023</w:t>
      </w:r>
      <w:r>
        <w:t xml:space="preserve">.</w:t>
      </w:r>
      <w:r/>
    </w:p>
    <w:p>
      <w:pPr>
        <w:pStyle w:val="1232"/>
      </w:pPr>
      <w:r/>
      <w:r/>
    </w:p>
    <w:p>
      <w:pPr>
        <w:pStyle w:val="1218"/>
        <w:numPr>
          <w:ilvl w:val="0"/>
          <w:numId w:val="2"/>
        </w:numPr>
      </w:pPr>
      <w:r>
        <w:t xml:space="preserve">Právny dôvod na zostavenie účtovnej závierky</w:t>
      </w:r>
      <w:r/>
    </w:p>
    <w:p>
      <w:pPr>
        <w:pStyle w:val="1232"/>
        <w:ind w:hanging="66"/>
      </w:pPr>
      <w:r>
        <w:t xml:space="preserve">Účtovná závierka</w:t>
      </w:r>
      <w:r>
        <w:t xml:space="preserve"> Spoločnosti k 31. decembru 2022</w:t>
      </w:r>
      <w:r>
        <w:t xml:space="preserve"> je zostavená ako riadna účtovná závierka podľa § 17 ods. 6 zákona NR SR č. 431/2002 Z. z. o účtovníctve za účtovné obdobie od </w:t>
      </w:r>
      <w:r>
        <w:t xml:space="preserve">01. januára</w:t>
      </w:r>
      <w:r>
        <w:t xml:space="preserve"> </w:t>
      </w:r>
      <w:r>
        <w:t xml:space="preserve">2022 do 31. decembra 2022</w:t>
      </w:r>
      <w:r>
        <w:t xml:space="preserve">.</w:t>
      </w:r>
      <w:r/>
    </w:p>
    <w:p>
      <w:pPr>
        <w:pStyle w:val="1232"/>
        <w:ind w:hanging="66"/>
      </w:pPr>
      <w:r/>
      <w:r/>
    </w:p>
    <w:p>
      <w:pPr>
        <w:pStyle w:val="1232"/>
        <w:ind w:hanging="66"/>
        <w:rPr>
          <w:szCs w:val="18"/>
        </w:rPr>
      </w:pPr>
      <w:r>
        <w:rPr>
          <w:szCs w:val="18"/>
        </w:rPr>
        <w:t xml:space="preserve">Účtovná závierka je určená pre používateľov, ktorí majú primerané znalosti o obchodných a ekonomických činnostiach a účtovníctve a ktorí analyzujú tieto informácie s primeranou pozornosťou. </w:t>
      </w:r>
      <w:r>
        <w:rPr>
          <w:szCs w:val="18"/>
        </w:rPr>
        <w:t xml:space="preserve">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  <w:r/>
    </w:p>
    <w:p>
      <w:pPr>
        <w:pStyle w:val="1232"/>
        <w:ind w:hanging="66"/>
        <w:rPr>
          <w:szCs w:val="18"/>
        </w:rPr>
      </w:pPr>
      <w:r>
        <w:rPr>
          <w:szCs w:val="18"/>
        </w:rPr>
      </w:r>
      <w:r/>
    </w:p>
    <w:p>
      <w:pPr>
        <w:pStyle w:val="1218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  <w:r/>
    </w:p>
    <w:p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nespĺňa podmienky uvedené v § 22 ods. 10 zákona o účtovníctve definujúce povinnosť zostavenia konsolidovanej účtovnej závierky, a preto Spoločnosť nezostavuje konsolidov</w:t>
      </w:r>
      <w:r>
        <w:rPr>
          <w:sz w:val="18"/>
          <w:szCs w:val="18"/>
        </w:rPr>
        <w:t xml:space="preserve">anú účtovnú závierku za rok 2022</w:t>
      </w:r>
      <w:r>
        <w:rPr>
          <w:sz w:val="18"/>
          <w:szCs w:val="18"/>
        </w:rPr>
        <w:t xml:space="preserve"> a ani sa nezahŕňa do žiadnej konsolidovanej účtovnej závierky.</w:t>
      </w:r>
      <w:r/>
    </w:p>
    <w:p>
      <w:pPr>
        <w:rPr>
          <w:sz w:val="18"/>
          <w:szCs w:val="18"/>
        </w:rPr>
      </w:pPr>
      <w:r>
        <w:rPr>
          <w:sz w:val="18"/>
          <w:szCs w:val="18"/>
        </w:rPr>
      </w:r>
      <w:r/>
    </w:p>
    <w:p>
      <w:pPr>
        <w:pStyle w:val="1218"/>
        <w:rPr>
          <w:szCs w:val="18"/>
        </w:rPr>
      </w:pPr>
      <w:r>
        <w:rPr>
          <w:szCs w:val="18"/>
        </w:rPr>
      </w:r>
      <w:r/>
    </w:p>
    <w:p>
      <w:pPr>
        <w:pStyle w:val="1218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</w:t>
      </w:r>
      <w:r>
        <w:rPr>
          <w:szCs w:val="18"/>
        </w:rPr>
        <w:t xml:space="preserve">očet zamestnancov </w:t>
      </w:r>
      <w:r/>
    </w:p>
    <w:p>
      <w:pPr>
        <w:pStyle w:val="1232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>
        <w:rPr>
          <w:szCs w:val="18"/>
        </w:rPr>
        <w:t xml:space="preserve"> </w:t>
      </w:r>
      <w:r>
        <w:rPr>
          <w:szCs w:val="18"/>
        </w:rPr>
        <w:t xml:space="preserve">v roku 2022</w:t>
      </w:r>
      <w:r>
        <w:rPr>
          <w:szCs w:val="18"/>
        </w:rPr>
        <w:t xml:space="preserve"> </w:t>
      </w:r>
      <w:r>
        <w:rPr>
          <w:szCs w:val="18"/>
        </w:rPr>
        <w:t xml:space="preserve">zamestnávala priemerne </w:t>
      </w:r>
      <w:r>
        <w:rPr>
          <w:szCs w:val="18"/>
        </w:rPr>
        <w:t xml:space="preserve">72</w:t>
      </w:r>
      <w:r>
        <w:rPr>
          <w:szCs w:val="18"/>
        </w:rPr>
        <w:t xml:space="preserve"> </w:t>
      </w:r>
      <w:r>
        <w:rPr>
          <w:szCs w:val="18"/>
        </w:rPr>
        <w:t xml:space="preserve">zamestnancov.</w:t>
      </w:r>
      <w:r>
        <w:rPr>
          <w:szCs w:val="18"/>
        </w:rPr>
        <w:t xml:space="preserve"> (r.2021</w:t>
      </w:r>
      <w:r>
        <w:rPr>
          <w:szCs w:val="18"/>
        </w:rPr>
        <w:t xml:space="preserve"> – </w:t>
      </w:r>
      <w:r>
        <w:rPr>
          <w:szCs w:val="18"/>
        </w:rPr>
        <w:t xml:space="preserve">74 zamestnancov)</w:t>
      </w:r>
      <w:r/>
    </w:p>
    <w:p>
      <w:pPr>
        <w:pStyle w:val="1232"/>
        <w:ind w:left="0" w:firstLine="360"/>
        <w:rPr>
          <w:szCs w:val="18"/>
        </w:rPr>
      </w:pPr>
      <w:r>
        <w:rPr>
          <w:szCs w:val="18"/>
        </w:rPr>
      </w:r>
      <w:r/>
    </w:p>
    <w:p>
      <w:pPr>
        <w:pStyle w:val="1232"/>
        <w:ind w:left="0" w:firstLine="360"/>
        <w:rPr>
          <w:szCs w:val="18"/>
        </w:rPr>
      </w:pPr>
      <w:r>
        <w:rPr>
          <w:szCs w:val="18"/>
        </w:rPr>
      </w:r>
      <w:r/>
    </w:p>
    <w:p>
      <w:pPr>
        <w:ind w:left="360"/>
        <w:rPr>
          <w:sz w:val="18"/>
          <w:szCs w:val="18"/>
        </w:rPr>
      </w:pPr>
      <w:r>
        <w:rPr>
          <w:sz w:val="18"/>
          <w:szCs w:val="18"/>
        </w:rPr>
      </w:r>
      <w:r/>
    </w:p>
    <w:p>
      <w:pPr>
        <w:pStyle w:val="1217"/>
        <w:spacing w:before="120" w:after="60"/>
      </w:pPr>
      <w:r>
        <w:t xml:space="preserve">Informácie o</w:t>
      </w:r>
      <w:r>
        <w:t xml:space="preserve"> orgánoch účtovnej jednotky</w:t>
      </w:r>
      <w:r>
        <w:t xml:space="preserve"> </w:t>
      </w:r>
      <w:r/>
    </w:p>
    <w:p>
      <w:pPr>
        <w:pStyle w:val="1232"/>
      </w:pPr>
      <w:r/>
      <w:r/>
    </w:p>
    <w:p>
      <w:pPr>
        <w:pStyle w:val="1232"/>
        <w:ind w:left="360"/>
        <w:rPr>
          <w:szCs w:val="18"/>
        </w:rPr>
      </w:pPr>
      <w:r>
        <w:rPr>
          <w:szCs w:val="18"/>
        </w:rPr>
        <w:t xml:space="preserve">Č</w:t>
      </w:r>
      <w:r>
        <w:rPr>
          <w:szCs w:val="18"/>
        </w:rPr>
        <w:t xml:space="preserve">lenom štatutárne</w:t>
      </w:r>
      <w:r>
        <w:rPr>
          <w:szCs w:val="18"/>
        </w:rPr>
        <w:t xml:space="preserve">ho</w:t>
      </w:r>
      <w:r>
        <w:rPr>
          <w:szCs w:val="18"/>
        </w:rPr>
        <w:t xml:space="preserve"> orgánu, ani členom dozo</w:t>
      </w:r>
      <w:r>
        <w:rPr>
          <w:szCs w:val="18"/>
        </w:rPr>
        <w:t xml:space="preserve">r</w:t>
      </w:r>
      <w:r>
        <w:rPr>
          <w:szCs w:val="18"/>
        </w:rPr>
        <w:t xml:space="preserve">ných orgánov  neboli v roku 2022</w:t>
      </w:r>
      <w:r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>
        <w:rPr>
          <w:szCs w:val="18"/>
        </w:rPr>
        <w:t xml:space="preserve">ré sa vyúčtovávajú   (v roku 2021</w:t>
      </w:r>
      <w:r>
        <w:rPr>
          <w:szCs w:val="18"/>
        </w:rPr>
        <w:t xml:space="preserve">: žiadne).</w:t>
      </w:r>
      <w:r/>
    </w:p>
    <w:p>
      <w:pPr>
        <w:pStyle w:val="1232"/>
        <w:jc w:val="left"/>
        <w:rPr>
          <w:szCs w:val="18"/>
        </w:rPr>
      </w:pPr>
      <w:r>
        <w:rPr>
          <w:szCs w:val="18"/>
        </w:rPr>
      </w:r>
      <w:r/>
    </w:p>
    <w:p>
      <w:pPr>
        <w:pStyle w:val="1232"/>
        <w:jc w:val="left"/>
        <w:rPr>
          <w:szCs w:val="18"/>
        </w:rPr>
      </w:pPr>
      <w:r>
        <w:rPr>
          <w:szCs w:val="18"/>
        </w:rPr>
      </w:r>
      <w:r/>
    </w:p>
    <w:p>
      <w:pPr>
        <w:pStyle w:val="1232"/>
        <w:jc w:val="left"/>
        <w:rPr>
          <w:szCs w:val="18"/>
        </w:rPr>
      </w:pPr>
      <w:r>
        <w:rPr>
          <w:szCs w:val="18"/>
        </w:rPr>
      </w:r>
      <w:r/>
    </w:p>
    <w:p>
      <w:pPr>
        <w:pStyle w:val="1217"/>
        <w:spacing w:before="120" w:after="60"/>
      </w:pPr>
      <w:r/>
      <w:bookmarkStart w:id="2" w:name="_Toc530739899"/>
      <w:r>
        <w:t xml:space="preserve">Informácie o</w:t>
      </w:r>
      <w:r>
        <w:t xml:space="preserve"> PRIJATÝCH POSTUPOCH</w:t>
      </w:r>
      <w:r>
        <w:t xml:space="preserve">  </w:t>
      </w:r>
      <w:bookmarkEnd w:id="2"/>
      <w:r/>
      <w:r/>
    </w:p>
    <w:p>
      <w:pPr>
        <w:pStyle w:val="1232"/>
      </w:pPr>
      <w:r/>
      <w:r/>
    </w:p>
    <w:p>
      <w:pPr>
        <w:pStyle w:val="1241"/>
        <w:ind w:left="426"/>
      </w:pPr>
      <w:r>
        <w:t xml:space="preserve">Východiská pre zostavenie účtovnej závierky</w:t>
      </w:r>
      <w:r/>
    </w:p>
    <w:p>
      <w:pPr>
        <w:pStyle w:val="1232"/>
        <w:ind w:left="450"/>
      </w:pPr>
      <w:r>
        <w:t xml:space="preserve">Účtovná závierka bola zostavená za predpokladu nepretržitého trvania Spoločnosti .</w:t>
      </w:r>
      <w:r>
        <w:t xml:space="preserve"> </w:t>
      </w:r>
      <w:r>
        <w:t xml:space="preserve">Účtovné metódy a všeobecné účtovné zásady boli účtovnou jednotkou konzistentne aplikované</w:t>
      </w:r>
      <w:r>
        <w:t xml:space="preserve">.</w:t>
      </w:r>
      <w:r>
        <w:t xml:space="preserve"> </w:t>
      </w:r>
      <w:r>
        <w:t xml:space="preserve">V účtovnom období 2022</w:t>
      </w:r>
      <w:r>
        <w:t xml:space="preserve"> </w:t>
      </w:r>
      <w:r>
        <w:t xml:space="preserve">s</w:t>
      </w:r>
      <w:r>
        <w:t xml:space="preserve">poločnosť nevykonala žiadne opravy významných chýb minulých účtovných období.</w:t>
      </w:r>
      <w:r>
        <w:t xml:space="preserve"> </w:t>
      </w:r>
      <w:r/>
    </w:p>
    <w:p>
      <w:pPr>
        <w:pStyle w:val="1232"/>
        <w:ind w:left="450"/>
      </w:pPr>
      <w:r/>
      <w:r/>
    </w:p>
    <w:p>
      <w:pPr>
        <w:pStyle w:val="1232"/>
        <w:ind w:left="450"/>
      </w:pPr>
      <w:r/>
      <w:r/>
    </w:p>
    <w:p>
      <w:pPr>
        <w:pStyle w:val="1232"/>
        <w:ind w:left="450"/>
      </w:pPr>
      <w:r/>
      <w:r/>
    </w:p>
    <w:p>
      <w:pPr>
        <w:pStyle w:val="1232"/>
        <w:ind w:left="709"/>
      </w:pPr>
      <w:r/>
      <w:r/>
    </w:p>
    <w:p>
      <w:pPr>
        <w:pStyle w:val="1232"/>
        <w:ind w:left="709"/>
      </w:pPr>
      <w:r/>
      <w:r/>
    </w:p>
    <w:p>
      <w:pPr>
        <w:pStyle w:val="1232"/>
        <w:ind w:left="709"/>
      </w:pPr>
      <w:r/>
      <w:r/>
    </w:p>
    <w:p>
      <w:pPr>
        <w:pStyle w:val="1232"/>
        <w:ind w:left="709"/>
      </w:pPr>
      <w:r/>
      <w:r/>
    </w:p>
    <w:p>
      <w:pPr>
        <w:pStyle w:val="1232"/>
        <w:ind w:left="709"/>
      </w:pPr>
      <w:r/>
      <w:r/>
    </w:p>
    <w:p>
      <w:pPr>
        <w:pStyle w:val="1232"/>
        <w:ind w:left="709"/>
      </w:pPr>
      <w:r/>
      <w:r/>
    </w:p>
    <w:p>
      <w:pPr>
        <w:pStyle w:val="1232"/>
        <w:ind w:left="709"/>
      </w:pPr>
      <w:r/>
      <w:r/>
    </w:p>
    <w:p>
      <w:pPr>
        <w:pStyle w:val="1241"/>
        <w:ind w:left="426" w:hanging="426"/>
        <w:tabs>
          <w:tab w:val="clear" w:pos="360" w:leader="none"/>
        </w:tabs>
      </w:pPr>
      <w:r>
        <w:t xml:space="preserve">D</w:t>
      </w:r>
      <w:r>
        <w:t xml:space="preserve">lhodobý nehmotný a dlhodobý hmotný majetok</w:t>
      </w:r>
      <w:r/>
    </w:p>
    <w:p>
      <w:pPr>
        <w:pStyle w:val="1241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Dlhodobý majetok nakupovan</w:t>
      </w:r>
      <w:r>
        <w:rPr>
          <w:b w:val="0"/>
        </w:rPr>
        <w:t xml:space="preserve">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  <w:r/>
    </w:p>
    <w:p>
      <w:pPr>
        <w:pStyle w:val="1232"/>
        <w:ind w:left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</w:r>
      <w:r/>
    </w:p>
    <w:p>
      <w:pPr>
        <w:pStyle w:val="1232"/>
      </w:pPr>
      <w:r>
        <w:t xml:space="preserve">Odpisy dlhodobého nehmotného majetku sú stanovené vychádzajúc z predpokladanej doby jeho používania a predpokladaného priebehu jeho opotrebenia. Odpisovať sa začína </w:t>
      </w:r>
      <w:r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>
        <w:t xml:space="preserve">2</w:t>
      </w:r>
      <w:r>
        <w:t xml:space="preserve"> </w:t>
      </w:r>
      <w:r>
        <w:t xml:space="preserve">400</w:t>
      </w:r>
      <w:r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  <w:r/>
    </w:p>
    <w:p>
      <w:pPr>
        <w:pStyle w:val="1232"/>
      </w:pPr>
      <w:r/>
      <w:r/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>
        <w:trPr>
          <w:trHeight w:val="250"/>
        </w:trPr>
        <w:tc>
          <w:tcPr>
            <w:gridSpan w:val="2"/>
            <w:tcW w:w="3402" w:type="dxa"/>
            <w:textDirection w:val="lrTb"/>
            <w:noWrap w:val="false"/>
          </w:tcPr>
          <w:p>
            <w:pPr>
              <w:pStyle w:val="1240"/>
            </w:pPr>
            <w:r>
              <w:br w:type="page" w:clear="all"/>
            </w:r>
            <w:r/>
          </w:p>
        </w:tc>
        <w:tc>
          <w:tcPr>
            <w:tcW w:w="1559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Predpokladaná</w:t>
            </w:r>
            <w:r/>
          </w:p>
        </w:tc>
        <w:tc>
          <w:tcPr>
            <w:tcW w:w="222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W w:w="1842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Metóda</w:t>
            </w:r>
            <w:r/>
          </w:p>
        </w:tc>
        <w:tc>
          <w:tcPr>
            <w:tcW w:w="222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W w:w="1730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Ročná odpisová</w:t>
            </w:r>
            <w:r/>
          </w:p>
        </w:tc>
      </w:tr>
      <w:tr>
        <w:trPr>
          <w:trHeight w:val="250"/>
        </w:trPr>
        <w:tc>
          <w:tcPr>
            <w:tcBorders>
              <w:bottom w:val="single" w:color="auto" w:sz="4" w:space="0"/>
            </w:tcBorders>
            <w:tcW w:w="2976" w:type="dxa"/>
            <w:textDirection w:val="lrTb"/>
            <w:noWrap w:val="false"/>
          </w:tcPr>
          <w:p>
            <w:pPr>
              <w:pStyle w:val="1240"/>
            </w:pPr>
            <w:r/>
            <w:r/>
          </w:p>
        </w:tc>
        <w:tc>
          <w:tcPr>
            <w:tcBorders>
              <w:bottom w:val="single" w:color="auto" w:sz="4" w:space="0"/>
            </w:tcBorders>
            <w:tcW w:w="426" w:type="dxa"/>
            <w:textDirection w:val="lrTb"/>
            <w:noWrap w:val="false"/>
          </w:tcPr>
          <w:p>
            <w:pPr>
              <w:pStyle w:val="1240"/>
            </w:pPr>
            <w:r/>
            <w:r/>
          </w:p>
        </w:tc>
        <w:tc>
          <w:tcPr>
            <w:tcBorders>
              <w:bottom w:val="single" w:color="auto" w:sz="4" w:space="0"/>
            </w:tcBorders>
            <w:tcW w:w="1559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doba používania</w:t>
            </w:r>
            <w:r>
              <w:br/>
              <w:t xml:space="preserve">v rokoch</w:t>
            </w:r>
            <w:r/>
          </w:p>
        </w:tc>
        <w:tc>
          <w:tcPr>
            <w:tcBorders>
              <w:bottom w:val="single" w:color="auto" w:sz="4" w:space="0"/>
            </w:tcBorders>
            <w:tcW w:w="222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Borders>
              <w:bottom w:val="single" w:color="auto" w:sz="4" w:space="0"/>
            </w:tcBorders>
            <w:tcW w:w="1842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odpisovania</w:t>
            </w:r>
            <w:r/>
          </w:p>
        </w:tc>
        <w:tc>
          <w:tcPr>
            <w:tcBorders>
              <w:bottom w:val="single" w:color="auto" w:sz="4" w:space="0"/>
            </w:tcBorders>
            <w:tcW w:w="222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Borders>
              <w:bottom w:val="single" w:color="auto" w:sz="4" w:space="0"/>
            </w:tcBorders>
            <w:tcW w:w="1730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sadzba v %</w:t>
            </w:r>
            <w:r/>
          </w:p>
        </w:tc>
      </w:tr>
      <w:tr>
        <w:trPr>
          <w:trHeight w:val="245"/>
        </w:trPr>
        <w:tc>
          <w:tcPr>
            <w:gridSpan w:val="2"/>
            <w:tcW w:w="3402" w:type="dxa"/>
            <w:textDirection w:val="lrTb"/>
            <w:noWrap w:val="false"/>
          </w:tcPr>
          <w:p>
            <w:pPr>
              <w:pStyle w:val="1240"/>
              <w:ind w:hanging="84"/>
            </w:pPr>
            <w:r>
              <w:t xml:space="preserve">Oceniteľné práva (vecné bremeno)</w:t>
            </w:r>
            <w:r/>
          </w:p>
        </w:tc>
        <w:tc>
          <w:tcPr>
            <w:tcW w:w="1559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3</w:t>
            </w:r>
            <w:r/>
          </w:p>
        </w:tc>
        <w:tc>
          <w:tcPr>
            <w:tcW w:w="222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W w:w="1842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lineárna</w:t>
            </w:r>
            <w:r/>
          </w:p>
        </w:tc>
        <w:tc>
          <w:tcPr>
            <w:tcW w:w="222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W w:w="1730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33,33</w:t>
            </w:r>
            <w:r/>
          </w:p>
        </w:tc>
      </w:tr>
    </w:tbl>
    <w:p>
      <w:pPr>
        <w:pStyle w:val="1232"/>
        <w:rPr>
          <w:sz w:val="22"/>
          <w:szCs w:val="22"/>
        </w:rPr>
      </w:pPr>
      <w:r>
        <w:rPr>
          <w:sz w:val="22"/>
          <w:szCs w:val="22"/>
        </w:rPr>
      </w:r>
      <w:r/>
    </w:p>
    <w:p>
      <w:pPr>
        <w:pStyle w:val="1232"/>
        <w:rPr>
          <w:szCs w:val="18"/>
        </w:rPr>
      </w:pPr>
      <w:r>
        <w:t xml:space="preserve">Odpisy dlhodobého hmotného majetku sú stanovené vychádzajúc z predpokladanej doby jeho  používania a predpokladaného priebehu jeho opotrebenia. Spoločnosť začí</w:t>
      </w:r>
      <w:r>
        <w:t xml:space="preserve">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>
        <w:rPr>
          <w:sz w:val="22"/>
          <w:szCs w:val="22"/>
          <w:lang w:eastAsia="sk-SK"/>
        </w:rPr>
        <w:t xml:space="preserve">. </w:t>
      </w:r>
      <w:r>
        <w:rPr>
          <w:szCs w:val="18"/>
        </w:rPr>
        <w:t xml:space="preserve">Predpokladaná doba používania, metóda odpisovania a odpisová sadzba sú uvedené v nasledujúcej tabuľke:</w:t>
      </w:r>
      <w:r/>
    </w:p>
    <w:p>
      <w:pPr>
        <w:pStyle w:val="1232"/>
        <w:rPr>
          <w:szCs w:val="18"/>
        </w:rPr>
      </w:pPr>
      <w:r>
        <w:rPr>
          <w:szCs w:val="18"/>
        </w:rPr>
      </w:r>
      <w:r/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>
        <w:trPr>
          <w:trHeight w:val="11"/>
        </w:trPr>
        <w:tc>
          <w:tcPr>
            <w:gridSpan w:val="2"/>
            <w:tcW w:w="3200" w:type="dxa"/>
            <w:textDirection w:val="lrTb"/>
            <w:noWrap w:val="false"/>
          </w:tcPr>
          <w:p>
            <w:pPr>
              <w:pStyle w:val="1240"/>
            </w:pPr>
            <w:r/>
            <w:r/>
          </w:p>
        </w:tc>
        <w:tc>
          <w:tcPr>
            <w:tcW w:w="2036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Predpokladaná</w:t>
            </w:r>
            <w:r/>
          </w:p>
        </w:tc>
        <w:tc>
          <w:tcPr>
            <w:tcW w:w="145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W w:w="1744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Metóda</w:t>
            </w:r>
            <w:r/>
          </w:p>
        </w:tc>
        <w:tc>
          <w:tcPr>
            <w:tcW w:w="146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W w:w="1744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Ročná odpisová </w:t>
            </w:r>
            <w:r/>
          </w:p>
        </w:tc>
      </w:tr>
      <w:tr>
        <w:trPr>
          <w:trHeight w:val="11"/>
        </w:trPr>
        <w:tc>
          <w:tcPr>
            <w:tcBorders>
              <w:bottom w:val="single" w:color="auto" w:sz="4" w:space="0"/>
            </w:tcBorders>
            <w:tcW w:w="3053" w:type="dxa"/>
            <w:textDirection w:val="lrTb"/>
            <w:noWrap w:val="false"/>
          </w:tcPr>
          <w:p>
            <w:pPr>
              <w:pStyle w:val="1240"/>
            </w:pPr>
            <w:r>
              <w:t xml:space="preserve">Druh</w:t>
            </w:r>
            <w:r/>
          </w:p>
        </w:tc>
        <w:tc>
          <w:tcPr>
            <w:tcBorders>
              <w:bottom w:val="single" w:color="auto" w:sz="4" w:space="0"/>
            </w:tcBorders>
            <w:tcW w:w="147" w:type="dxa"/>
            <w:textDirection w:val="lrTb"/>
            <w:noWrap w:val="false"/>
          </w:tcPr>
          <w:p>
            <w:pPr>
              <w:pStyle w:val="1240"/>
            </w:pPr>
            <w:r/>
            <w:r/>
          </w:p>
        </w:tc>
        <w:tc>
          <w:tcPr>
            <w:tcBorders>
              <w:bottom w:val="single" w:color="auto" w:sz="4" w:space="0"/>
            </w:tcBorders>
            <w:tcW w:w="2036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doba používania v rokoch</w:t>
            </w:r>
            <w:r/>
          </w:p>
        </w:tc>
        <w:tc>
          <w:tcPr>
            <w:tcBorders>
              <w:bottom w:val="single" w:color="auto" w:sz="4" w:space="0"/>
            </w:tcBorders>
            <w:tcW w:w="145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Borders>
              <w:bottom w:val="single" w:color="auto" w:sz="4" w:space="0"/>
            </w:tcBorders>
            <w:tcW w:w="1744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odpisovania</w:t>
            </w:r>
            <w:r/>
          </w:p>
        </w:tc>
        <w:tc>
          <w:tcPr>
            <w:tcBorders>
              <w:bottom w:val="single" w:color="auto" w:sz="4" w:space="0"/>
            </w:tcBorders>
            <w:tcW w:w="146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Borders>
              <w:bottom w:val="single" w:color="auto" w:sz="4" w:space="0"/>
            </w:tcBorders>
            <w:tcW w:w="1744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sadzba v %</w:t>
            </w:r>
            <w:r/>
          </w:p>
        </w:tc>
      </w:tr>
      <w:tr>
        <w:trPr>
          <w:trHeight w:val="11"/>
        </w:trPr>
        <w:tc>
          <w:tcPr>
            <w:tcW w:w="3053" w:type="dxa"/>
            <w:textDirection w:val="lrTb"/>
            <w:noWrap w:val="false"/>
          </w:tcPr>
          <w:p>
            <w:pPr>
              <w:pStyle w:val="1240"/>
            </w:pPr>
            <w:r/>
            <w:r/>
          </w:p>
        </w:tc>
        <w:tc>
          <w:tcPr>
            <w:tcW w:w="147" w:type="dxa"/>
            <w:textDirection w:val="lrTb"/>
            <w:noWrap w:val="false"/>
          </w:tcPr>
          <w:p>
            <w:pPr>
              <w:pStyle w:val="1240"/>
            </w:pPr>
            <w:r/>
            <w:r/>
          </w:p>
        </w:tc>
        <w:tc>
          <w:tcPr>
            <w:tcW w:w="2036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W w:w="145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W w:w="1744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W w:w="146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W w:w="1744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</w:tr>
      <w:tr>
        <w:trPr>
          <w:trHeight w:val="11"/>
        </w:trPr>
        <w:tc>
          <w:tcPr>
            <w:gridSpan w:val="2"/>
            <w:tcW w:w="3200" w:type="dxa"/>
            <w:textDirection w:val="lrTb"/>
            <w:noWrap w:val="false"/>
          </w:tcPr>
          <w:p>
            <w:pPr>
              <w:pStyle w:val="1240"/>
            </w:pPr>
            <w:r>
              <w:t xml:space="preserve">Samostatné hnuteľné veci</w:t>
            </w:r>
            <w:r/>
          </w:p>
        </w:tc>
        <w:tc>
          <w:tcPr>
            <w:tcW w:w="2036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6</w:t>
            </w:r>
            <w:r/>
          </w:p>
        </w:tc>
        <w:tc>
          <w:tcPr>
            <w:tcW w:w="145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W w:w="1744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rovnomerne</w:t>
            </w:r>
            <w:r/>
          </w:p>
        </w:tc>
        <w:tc>
          <w:tcPr>
            <w:tcW w:w="146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W w:w="1744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16,67</w:t>
            </w:r>
            <w:r/>
          </w:p>
        </w:tc>
      </w:tr>
      <w:tr>
        <w:trPr>
          <w:trHeight w:val="339"/>
        </w:trPr>
        <w:tc>
          <w:tcPr>
            <w:gridSpan w:val="2"/>
            <w:tcW w:w="3200" w:type="dxa"/>
            <w:textDirection w:val="lrTb"/>
            <w:noWrap w:val="false"/>
          </w:tcPr>
          <w:p>
            <w:pPr>
              <w:pStyle w:val="1240"/>
            </w:pPr>
            <w:r>
              <w:t xml:space="preserve">Drobný dlhodobý hmotný majetok</w:t>
            </w:r>
            <w:r/>
          </w:p>
        </w:tc>
        <w:tc>
          <w:tcPr>
            <w:tcW w:w="2036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rôzna</w:t>
            </w:r>
            <w:r/>
          </w:p>
        </w:tc>
        <w:tc>
          <w:tcPr>
            <w:tcW w:w="145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W w:w="1744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jednorazový odpis</w:t>
            </w:r>
            <w:r/>
          </w:p>
        </w:tc>
        <w:tc>
          <w:tcPr>
            <w:tcW w:w="146" w:type="dxa"/>
            <w:textDirection w:val="lrTb"/>
            <w:noWrap w:val="false"/>
          </w:tcPr>
          <w:p>
            <w:pPr>
              <w:pStyle w:val="1240"/>
              <w:jc w:val="center"/>
            </w:pPr>
            <w:r/>
            <w:r/>
          </w:p>
        </w:tc>
        <w:tc>
          <w:tcPr>
            <w:tcW w:w="1744" w:type="dxa"/>
            <w:textDirection w:val="lrTb"/>
            <w:noWrap w:val="false"/>
          </w:tcPr>
          <w:p>
            <w:pPr>
              <w:pStyle w:val="1240"/>
              <w:jc w:val="center"/>
            </w:pPr>
            <w:r>
              <w:t xml:space="preserve">100</w:t>
            </w:r>
            <w:r/>
          </w:p>
          <w:p>
            <w:pPr>
              <w:pStyle w:val="1240"/>
              <w:jc w:val="center"/>
            </w:pPr>
            <w:r/>
            <w:r/>
          </w:p>
          <w:p>
            <w:pPr>
              <w:pStyle w:val="1240"/>
              <w:jc w:val="center"/>
            </w:pPr>
            <w:r/>
            <w:r/>
          </w:p>
        </w:tc>
      </w:tr>
    </w:tbl>
    <w:p>
      <w:pPr>
        <w:pStyle w:val="1232"/>
        <w:rPr>
          <w:szCs w:val="18"/>
        </w:rPr>
      </w:pPr>
      <w:r>
        <w:rPr>
          <w:szCs w:val="18"/>
        </w:rPr>
        <w:t xml:space="preserve">Metódy odpisovania,</w:t>
      </w:r>
      <w:r>
        <w:rPr>
          <w:szCs w:val="18"/>
        </w:rPr>
        <w:t xml:space="preserve"> doby použiteľnosti a</w:t>
      </w:r>
      <w:r>
        <w:rPr>
          <w:szCs w:val="18"/>
        </w:rPr>
        <w:t xml:space="preserve"> </w:t>
      </w:r>
      <w:r>
        <w:rPr>
          <w:szCs w:val="18"/>
        </w:rPr>
        <w:t xml:space="preserve">z</w:t>
      </w:r>
      <w:r>
        <w:rPr>
          <w:szCs w:val="18"/>
        </w:rPr>
        <w:t xml:space="preserve">o</w:t>
      </w:r>
      <w:r>
        <w:rPr>
          <w:szCs w:val="18"/>
        </w:rPr>
        <w:t xml:space="preserve">st</w:t>
      </w:r>
      <w:r>
        <w:rPr>
          <w:szCs w:val="18"/>
        </w:rPr>
        <w:t xml:space="preserve">atkové </w:t>
      </w:r>
      <w:r>
        <w:rPr>
          <w:szCs w:val="18"/>
        </w:rPr>
        <w:t xml:space="preserve">hodnoty sa prehodnocujú ku dňu, ku ktorému sa zostavuje účtovná závierka, a ak je to potrebné, urobia sa úpravy. </w:t>
      </w:r>
      <w:r/>
    </w:p>
    <w:p>
      <w:pPr>
        <w:pStyle w:val="1232"/>
        <w:rPr>
          <w:szCs w:val="18"/>
        </w:rPr>
      </w:pPr>
      <w:r>
        <w:rPr>
          <w:szCs w:val="18"/>
        </w:rPr>
      </w:r>
      <w:r/>
    </w:p>
    <w:p>
      <w:pPr>
        <w:pStyle w:val="1232"/>
        <w:rPr>
          <w:i/>
          <w:szCs w:val="18"/>
        </w:rPr>
      </w:pPr>
      <w:r>
        <w:rPr>
          <w:b/>
          <w:i/>
          <w:szCs w:val="18"/>
        </w:rPr>
        <w:t xml:space="preserve">Posúdenie zníženia hodnoty majetku</w:t>
      </w:r>
      <w:r/>
    </w:p>
    <w:p>
      <w:pPr>
        <w:pStyle w:val="1232"/>
        <w:rPr>
          <w:i/>
          <w:szCs w:val="18"/>
        </w:rPr>
      </w:pPr>
      <w:r>
        <w:rPr>
          <w:i/>
          <w:szCs w:val="18"/>
        </w:rPr>
      </w:r>
      <w:r/>
    </w:p>
    <w:p>
      <w:pPr>
        <w:pStyle w:val="1232"/>
        <w:rPr>
          <w:i/>
          <w:szCs w:val="18"/>
        </w:rPr>
      </w:pPr>
      <w:r>
        <w:t xml:space="preserve">Opravné položky sa tvoria</w:t>
      </w:r>
      <w:r>
        <w:t xml:space="preserve">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/>
    </w:p>
    <w:p>
      <w:pPr>
        <w:pStyle w:val="1249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</w:r>
      <w:r/>
    </w:p>
    <w:p>
      <w:pPr>
        <w:pStyle w:val="1232"/>
      </w:pPr>
      <w:r>
        <w:t xml:space="preserve">Faktory, ktoré sú považované za dôležité pri  posudzovaní zníženia hodnoty majetku sú: </w:t>
      </w:r>
      <w:r/>
    </w:p>
    <w:p>
      <w:pPr>
        <w:pStyle w:val="1232"/>
        <w:numPr>
          <w:ilvl w:val="0"/>
          <w:numId w:val="6"/>
        </w:numPr>
        <w:ind w:left="766"/>
        <w:tabs>
          <w:tab w:val="clear" w:pos="340" w:leader="none"/>
          <w:tab w:val="num" w:pos="766" w:leader="none"/>
        </w:tabs>
      </w:pPr>
      <w:r>
        <w:t xml:space="preserve">technologický pokrok,</w:t>
      </w:r>
      <w:r/>
    </w:p>
    <w:p>
      <w:pPr>
        <w:pStyle w:val="1232"/>
        <w:numPr>
          <w:ilvl w:val="0"/>
          <w:numId w:val="6"/>
        </w:numPr>
        <w:ind w:left="766"/>
        <w:tabs>
          <w:tab w:val="clear" w:pos="340" w:leader="none"/>
          <w:tab w:val="num" w:pos="766" w:leader="none"/>
        </w:tabs>
      </w:pPr>
      <w:r>
        <w:t xml:space="preserve">významne nedostatočné prevádzkové výsledky v porovnaní s historickými alebo plánovanými prevádzkovými výsledkami,</w:t>
      </w:r>
      <w:r/>
    </w:p>
    <w:p>
      <w:pPr>
        <w:pStyle w:val="1232"/>
        <w:numPr>
          <w:ilvl w:val="0"/>
          <w:numId w:val="6"/>
        </w:numPr>
        <w:ind w:left="766"/>
        <w:tabs>
          <w:tab w:val="clear" w:pos="340" w:leader="none"/>
          <w:tab w:val="num" w:pos="766" w:leader="none"/>
        </w:tabs>
      </w:pPr>
      <w:r>
        <w:t xml:space="preserve">významné zmeny v spôsobe použitia majetku Spoločnosti alebo celkovej zmeny stratégie Spoločnosti,</w:t>
      </w:r>
      <w:r/>
    </w:p>
    <w:p>
      <w:pPr>
        <w:pStyle w:val="1232"/>
        <w:numPr>
          <w:ilvl w:val="0"/>
          <w:numId w:val="6"/>
        </w:numPr>
        <w:ind w:left="766"/>
        <w:tabs>
          <w:tab w:val="clear" w:pos="340" w:leader="none"/>
          <w:tab w:val="num" w:pos="766" w:leader="none"/>
        </w:tabs>
      </w:pPr>
      <w:r>
        <w:t xml:space="preserve">zastaralosť</w:t>
      </w:r>
      <w:r>
        <w:t xml:space="preserve"> produktov.</w:t>
      </w:r>
      <w:r/>
    </w:p>
    <w:p>
      <w:pPr>
        <w:pStyle w:val="1232"/>
      </w:pPr>
      <w:r/>
      <w:r/>
    </w:p>
    <w:p>
      <w:pPr>
        <w:pStyle w:val="1232"/>
      </w:pPr>
      <w:r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 xml:space="preserve">vypočíta</w:t>
      </w:r>
      <w:r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>
        <w:t xml:space="preserve">analýzy nadhodnotili peňažné toky alebo ak sa zmenia podmienky v</w:t>
      </w:r>
      <w:r>
        <w:t xml:space="preserve"> </w:t>
      </w:r>
      <w:r>
        <w:t xml:space="preserve">budúcnosti</w:t>
      </w:r>
      <w:r>
        <w:t xml:space="preserve">.</w:t>
      </w:r>
      <w:r/>
    </w:p>
    <w:p>
      <w:pPr>
        <w:pStyle w:val="1232"/>
      </w:pPr>
      <w:r>
        <w:t xml:space="preserve"> </w:t>
      </w:r>
      <w:r/>
    </w:p>
    <w:p>
      <w:pPr>
        <w:pStyle w:val="1232"/>
        <w:rPr>
          <w:szCs w:val="18"/>
        </w:rPr>
      </w:pPr>
      <w:r>
        <w:rPr>
          <w:szCs w:val="18"/>
        </w:rPr>
      </w:r>
      <w:r/>
    </w:p>
    <w:p>
      <w:pPr>
        <w:pStyle w:val="1232"/>
        <w:rPr>
          <w:szCs w:val="18"/>
        </w:rPr>
      </w:pPr>
      <w:r>
        <w:rPr>
          <w:szCs w:val="18"/>
        </w:rPr>
      </w:r>
      <w:r/>
    </w:p>
    <w:p>
      <w:pPr>
        <w:pStyle w:val="1232"/>
        <w:rPr>
          <w:szCs w:val="18"/>
        </w:rPr>
      </w:pPr>
      <w:r>
        <w:rPr>
          <w:szCs w:val="18"/>
        </w:rPr>
      </w:r>
      <w:r/>
    </w:p>
    <w:p>
      <w:pPr>
        <w:pStyle w:val="1232"/>
        <w:rPr>
          <w:szCs w:val="18"/>
        </w:rPr>
      </w:pPr>
      <w:r>
        <w:rPr>
          <w:szCs w:val="18"/>
        </w:rPr>
      </w:r>
      <w:r/>
    </w:p>
    <w:p>
      <w:pPr>
        <w:pStyle w:val="1232"/>
        <w:rPr>
          <w:szCs w:val="18"/>
        </w:rPr>
      </w:pPr>
      <w:r>
        <w:rPr>
          <w:szCs w:val="18"/>
        </w:rPr>
      </w:r>
      <w:r/>
    </w:p>
    <w:p>
      <w:pPr>
        <w:pStyle w:val="1232"/>
        <w:rPr>
          <w:szCs w:val="18"/>
        </w:rPr>
      </w:pPr>
      <w:r>
        <w:rPr>
          <w:szCs w:val="18"/>
        </w:rPr>
      </w:r>
      <w:r/>
    </w:p>
    <w:p>
      <w:pPr>
        <w:pStyle w:val="1232"/>
        <w:ind w:left="0"/>
        <w:rPr>
          <w:sz w:val="22"/>
          <w:szCs w:val="22"/>
        </w:rPr>
      </w:pPr>
      <w:r>
        <w:rPr>
          <w:sz w:val="22"/>
          <w:szCs w:val="22"/>
        </w:rPr>
      </w:r>
      <w:r/>
    </w:p>
    <w:p>
      <w:pPr>
        <w:pStyle w:val="1241"/>
        <w:ind w:left="426"/>
      </w:pPr>
      <w:r>
        <w:t xml:space="preserve">Pohľadávky</w:t>
      </w:r>
      <w:r/>
    </w:p>
    <w:p>
      <w:pPr>
        <w:pStyle w:val="1232"/>
      </w:pPr>
      <w:r>
        <w:t xml:space="preserve">Pohľadávky pri i</w:t>
      </w:r>
      <w:r>
        <w:t xml:space="preserve">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  <w:r/>
    </w:p>
    <w:p>
      <w:pPr>
        <w:pStyle w:val="1232"/>
      </w:pPr>
      <w:r/>
      <w:r/>
    </w:p>
    <w:p>
      <w:pPr>
        <w:pStyle w:val="1232"/>
      </w:pPr>
      <w:r/>
      <w:r/>
    </w:p>
    <w:p>
      <w:pPr>
        <w:pStyle w:val="1232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</w:t>
      </w:r>
      <w:r>
        <w:rPr>
          <w:szCs w:val="18"/>
        </w:rPr>
        <w:t xml:space="preserve">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  <w:r/>
    </w:p>
    <w:p>
      <w:pPr>
        <w:pStyle w:val="1232"/>
      </w:pPr>
      <w:r/>
      <w:r/>
    </w:p>
    <w:p>
      <w:pPr>
        <w:pStyle w:val="1232"/>
      </w:pPr>
      <w:r/>
      <w:r/>
    </w:p>
    <w:p>
      <w:pPr>
        <w:pStyle w:val="1241"/>
        <w:ind w:left="426"/>
      </w:pPr>
      <w:r>
        <w:t xml:space="preserve">Finančné účty</w:t>
      </w:r>
      <w:r/>
    </w:p>
    <w:p>
      <w:pPr>
        <w:pStyle w:val="1241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 xml:space="preserve">sa vyjadruje opravnou položkou.</w:t>
      </w:r>
      <w:r/>
    </w:p>
    <w:p>
      <w:pPr>
        <w:pStyle w:val="1241"/>
        <w:numPr>
          <w:ilvl w:val="0"/>
          <w:numId w:val="0"/>
        </w:numPr>
        <w:ind w:left="360"/>
      </w:pPr>
      <w:r/>
      <w:r/>
    </w:p>
    <w:p>
      <w:pPr>
        <w:pStyle w:val="1241"/>
        <w:numPr>
          <w:ilvl w:val="0"/>
          <w:numId w:val="0"/>
        </w:numPr>
        <w:ind w:left="360"/>
      </w:pPr>
      <w:r/>
      <w:r/>
    </w:p>
    <w:p>
      <w:pPr>
        <w:pStyle w:val="1241"/>
      </w:pPr>
      <w:r>
        <w:t xml:space="preserve">Náklady budúcich období a príjmy budúcich období</w:t>
      </w:r>
      <w:r/>
    </w:p>
    <w:p>
      <w:pPr>
        <w:pStyle w:val="1232"/>
      </w:pPr>
      <w:r>
        <w:t xml:space="preserve">Náklady budúcich období a príjmy budúcich období sa vykazujú vo výške, ktorá je potrebná na dodržanie zásady vecnej a časovej súvislosti s účtovným obdobím.</w:t>
      </w:r>
      <w:r/>
    </w:p>
    <w:p>
      <w:pPr>
        <w:pStyle w:val="1241"/>
        <w:numPr>
          <w:ilvl w:val="0"/>
          <w:numId w:val="0"/>
        </w:numPr>
        <w:ind w:left="426"/>
      </w:pPr>
      <w:r/>
      <w:r/>
    </w:p>
    <w:p>
      <w:pPr>
        <w:pStyle w:val="1241"/>
        <w:numPr>
          <w:ilvl w:val="0"/>
          <w:numId w:val="0"/>
        </w:numPr>
        <w:ind w:left="426"/>
      </w:pPr>
      <w:r/>
      <w:r/>
    </w:p>
    <w:p>
      <w:pPr>
        <w:pStyle w:val="1241"/>
        <w:ind w:left="426"/>
      </w:pPr>
      <w:r>
        <w:t xml:space="preserve">Záväzky</w:t>
      </w:r>
      <w:r/>
    </w:p>
    <w:p>
      <w:pPr>
        <w:pStyle w:val="1232"/>
      </w:pPr>
      <w:r>
        <w:t xml:space="preserve">Záväzky pri ich vz</w:t>
      </w:r>
      <w:r>
        <w:t xml:space="preserve">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/>
    </w:p>
    <w:p>
      <w:pPr>
        <w:pStyle w:val="1232"/>
        <w:ind w:left="0"/>
      </w:pPr>
      <w:r/>
      <w:r/>
    </w:p>
    <w:p>
      <w:pPr>
        <w:pStyle w:val="1232"/>
        <w:ind w:left="0"/>
      </w:pPr>
      <w:r/>
      <w:r/>
    </w:p>
    <w:p>
      <w:pPr>
        <w:pStyle w:val="1241"/>
        <w:ind w:left="426" w:hanging="426"/>
        <w:tabs>
          <w:tab w:val="clear" w:pos="360" w:leader="none"/>
        </w:tabs>
        <w:rPr>
          <w:szCs w:val="18"/>
        </w:rPr>
      </w:pPr>
      <w:r>
        <w:rPr>
          <w:szCs w:val="18"/>
        </w:rPr>
        <w:t xml:space="preserve">Rezervy</w:t>
      </w:r>
      <w:r/>
    </w:p>
    <w:p>
      <w:pPr>
        <w:pStyle w:val="1241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Rezerva je záväzok predstavujúci existujúcu povinnosť Spoločnosti, ktorá vznikla z minulých uda</w:t>
      </w:r>
      <w:r>
        <w:rPr>
          <w:b w:val="0"/>
        </w:rPr>
        <w:t xml:space="preserve">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  <w:r/>
    </w:p>
    <w:p>
      <w:pPr>
        <w:pStyle w:val="1241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</w:r>
      <w:r/>
    </w:p>
    <w:p>
      <w:pPr>
        <w:pStyle w:val="1241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Tvorba rezervy sa účtuje na vecne príslušný nákladový alebo majetkový účet, ku ktorému záväzok pri</w:t>
      </w:r>
      <w:r>
        <w:rPr>
          <w:b w:val="0"/>
        </w:rPr>
        <w:t xml:space="preserve">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  <w:r/>
    </w:p>
    <w:p>
      <w:pPr>
        <w:pStyle w:val="1241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</w:r>
      <w:r/>
    </w:p>
    <w:p>
      <w:pPr>
        <w:pStyle w:val="1241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  <w:r/>
    </w:p>
    <w:p>
      <w:pPr>
        <w:pStyle w:val="1241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</w:r>
      <w:r/>
    </w:p>
    <w:p>
      <w:pPr>
        <w:pStyle w:val="1241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Rezervy na nevyfakturované dodávky majetku sa nevykazujú s vplyvom na výsledok hospodárenia a oceňujú sa v odhadovanej výške záväzku</w:t>
      </w:r>
      <w:r>
        <w:rPr>
          <w:b w:val="0"/>
        </w:rPr>
        <w:t xml:space="preserve">.</w:t>
      </w:r>
      <w:r/>
    </w:p>
    <w:p>
      <w:pPr>
        <w:pStyle w:val="1232"/>
      </w:pPr>
      <w:r/>
      <w:r/>
    </w:p>
    <w:p>
      <w:pPr>
        <w:pStyle w:val="1232"/>
      </w:pPr>
      <w:r/>
      <w:r/>
    </w:p>
    <w:p>
      <w:pPr>
        <w:pStyle w:val="1241"/>
        <w:ind w:left="426" w:hanging="426"/>
        <w:tabs>
          <w:tab w:val="clear" w:pos="360" w:leader="none"/>
        </w:tabs>
        <w:rPr>
          <w:szCs w:val="18"/>
        </w:rPr>
      </w:pPr>
      <w:r>
        <w:rPr>
          <w:szCs w:val="18"/>
        </w:rPr>
        <w:t xml:space="preserve">Výdavky budúcich období a výnosy budúcich období</w:t>
      </w:r>
      <w:r/>
    </w:p>
    <w:p>
      <w:pPr>
        <w:pStyle w:val="1232"/>
        <w:rPr>
          <w:szCs w:val="18"/>
        </w:rPr>
      </w:pPr>
      <w:r>
        <w:rPr>
          <w:szCs w:val="18"/>
        </w:rPr>
        <w:t xml:space="preserve">Výdavky budúcich období a výnosy budúcich období sa vykazujú vo výške, ktorá je potrebná na dodržanie zásady vecnej a časovej súvislosti s účtovným obdobím.</w:t>
      </w:r>
      <w:r/>
    </w:p>
    <w:p>
      <w:pPr>
        <w:pStyle w:val="1232"/>
      </w:pPr>
      <w:r/>
      <w:r/>
    </w:p>
    <w:p>
      <w:pPr>
        <w:pStyle w:val="1232"/>
      </w:pPr>
      <w:r/>
      <w:r/>
    </w:p>
    <w:p>
      <w:pPr>
        <w:pStyle w:val="1241"/>
        <w:ind w:left="426"/>
      </w:pPr>
      <w:r>
        <w:t xml:space="preserve">Výnosy</w:t>
      </w:r>
      <w:r/>
    </w:p>
    <w:p>
      <w:pPr>
        <w:pStyle w:val="1232"/>
      </w:pPr>
      <w:r>
        <w:t xml:space="preserve"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r/>
    </w:p>
    <w:p>
      <w:pPr>
        <w:pStyle w:val="1232"/>
      </w:pPr>
      <w:r/>
      <w:r/>
    </w:p>
    <w:p>
      <w:pPr>
        <w:pStyle w:val="1241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Tržby z predaja výrobkov a tovaru </w:t>
      </w:r>
      <w:r>
        <w:rPr>
          <w:b w:val="0"/>
        </w:rPr>
        <w:t xml:space="preserve">sa vyka</w:t>
      </w:r>
      <w:r>
        <w:rPr>
          <w:b w:val="0"/>
        </w:rPr>
        <w:t xml:space="preserve">zujú </w:t>
      </w:r>
      <w:r>
        <w:rPr>
          <w:b w:val="0"/>
        </w:rPr>
        <w:t xml:space="preserve">v deň splnenia dodávky podľa Obchodného zákonníka, podľa </w:t>
      </w:r>
      <w:r>
        <w:rPr>
          <w:b w:val="0"/>
        </w:rPr>
        <w:t xml:space="preserve">Incoterms</w:t>
      </w:r>
      <w:r>
        <w:rPr>
          <w:b w:val="0"/>
        </w:rPr>
        <w:t xml:space="preserve"> alebo iných podmienok dohodnutých v zmluve. </w:t>
      </w:r>
      <w:r/>
    </w:p>
    <w:p>
      <w:pPr>
        <w:pStyle w:val="1241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</w:r>
      <w:r/>
    </w:p>
    <w:p>
      <w:pPr>
        <w:pStyle w:val="1241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Tržby z predaja služieb sa vykazujú v účtovnom období, v ktorom boli služby poskytnuté.</w:t>
      </w:r>
      <w:r/>
    </w:p>
    <w:p>
      <w:pPr>
        <w:pStyle w:val="1241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>
        <w:rPr>
          <w:b w:val="0"/>
        </w:rPr>
        <w:t xml:space="preserve">rovnomerne v účtovných obdobiach, ktorých sa vecne a časovo týkajú / na základe časového rozlíšenia metódou efektívnej úrokovej miery.</w:t>
      </w:r>
      <w:r/>
    </w:p>
    <w:p>
      <w:pPr>
        <w:pStyle w:val="1241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</w:r>
      <w:r/>
    </w:p>
    <w:p>
      <w:pPr>
        <w:pStyle w:val="1241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Výnosy z dividend sa zaúčtujú v čase vzniku práva Spoločnosti na prijatie platby. </w:t>
      </w:r>
      <w:r/>
    </w:p>
    <w:p>
      <w:pPr>
        <w:pStyle w:val="1241"/>
        <w:numPr>
          <w:ilvl w:val="0"/>
          <w:numId w:val="0"/>
        </w:numPr>
        <w:ind w:left="360" w:hanging="360"/>
        <w:rPr>
          <w:b w:val="0"/>
        </w:rPr>
      </w:pPr>
      <w:r>
        <w:rPr>
          <w:b w:val="0"/>
        </w:rPr>
      </w:r>
      <w:r/>
    </w:p>
    <w:p>
      <w:pPr>
        <w:pStyle w:val="1241"/>
        <w:numPr>
          <w:ilvl w:val="0"/>
          <w:numId w:val="0"/>
        </w:numPr>
        <w:ind w:left="360" w:hanging="360"/>
        <w:rPr>
          <w:b w:val="0"/>
        </w:rPr>
      </w:pPr>
      <w:r>
        <w:rPr>
          <w:b w:val="0"/>
        </w:rPr>
      </w:r>
      <w:r/>
    </w:p>
    <w:p>
      <w:pPr>
        <w:pStyle w:val="1241"/>
        <w:ind w:left="426" w:hanging="426"/>
        <w:tabs>
          <w:tab w:val="clear" w:pos="360" w:leader="none"/>
        </w:tabs>
        <w:rPr>
          <w:szCs w:val="18"/>
        </w:rPr>
      </w:pPr>
      <w:r>
        <w:rPr>
          <w:szCs w:val="18"/>
        </w:rPr>
        <w:t xml:space="preserve">Porovnateľné údaje</w:t>
      </w:r>
      <w:r/>
    </w:p>
    <w:p>
      <w:pPr>
        <w:pStyle w:val="1241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  <w:r/>
    </w:p>
    <w:p>
      <w:pPr>
        <w:pStyle w:val="1241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</w:r>
      <w:r/>
    </w:p>
    <w:p>
      <w:pPr>
        <w:pStyle w:val="1241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</w:r>
      <w:r/>
    </w:p>
    <w:p>
      <w:pPr>
        <w:pStyle w:val="1241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</w:r>
      <w:r/>
    </w:p>
    <w:p>
      <w:pPr>
        <w:pStyle w:val="1241"/>
        <w:ind w:left="426" w:hanging="426"/>
        <w:tabs>
          <w:tab w:val="clear" w:pos="360" w:leader="none"/>
        </w:tabs>
        <w:rPr>
          <w:szCs w:val="18"/>
        </w:rPr>
      </w:pPr>
      <w:r>
        <w:rPr>
          <w:szCs w:val="18"/>
        </w:rPr>
        <w:t xml:space="preserve">Oprava chýb minulých období</w:t>
      </w:r>
      <w:r/>
    </w:p>
    <w:p>
      <w:pPr>
        <w:pStyle w:val="1232"/>
        <w:rPr>
          <w:szCs w:val="18"/>
        </w:rPr>
      </w:pPr>
      <w:r/>
      <w:bookmarkStart w:id="3" w:name="_Toc530739900"/>
      <w:r>
        <w:rPr>
          <w:szCs w:val="18"/>
        </w:rPr>
        <w:t xml:space="preserve">Ak Spoločnosť zistí v bežnom účtovnom období významnú chybu týkajúcu sa minulých účtovných období, opraví túto chybu na účtoch 428 - Nerozdelený zisk minulých rokov a</w:t>
      </w:r>
      <w:r>
        <w:rPr>
          <w:szCs w:val="18"/>
        </w:rPr>
        <w:t xml:space="preserve"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 xml:space="preserve"> </w:t>
      </w:r>
      <w:r>
        <w:rPr>
          <w:szCs w:val="18"/>
        </w:rPr>
        <w:t xml:space="preserve">bežnom účtovnom období na príslušný nákladový alebo výnosový účet. </w:t>
      </w:r>
      <w:r>
        <w:rPr>
          <w:szCs w:val="18"/>
        </w:rPr>
        <w:t xml:space="preserve">Spoločnosť v roku 2022</w:t>
      </w:r>
      <w:r>
        <w:rPr>
          <w:szCs w:val="18"/>
        </w:rPr>
        <w:t xml:space="preserve"> nevykonala žiadnu významnú opravu minulých období.</w:t>
      </w:r>
      <w:r/>
    </w:p>
    <w:p>
      <w:r/>
      <w:r/>
    </w:p>
    <w:p>
      <w:r/>
      <w:bookmarkEnd w:id="3"/>
      <w:r/>
    </w:p>
    <w:p>
      <w:pPr>
        <w:pStyle w:val="1217"/>
        <w:tabs>
          <w:tab w:val="num" w:pos="2062" w:leader="none"/>
        </w:tabs>
      </w:pPr>
      <w:r>
        <w:t xml:space="preserve">informáciE K POLOŽKÁM súvahy a VÝKAZU ZISKOV A STRÁT</w:t>
      </w:r>
      <w:r/>
    </w:p>
    <w:p>
      <w:pPr>
        <w:pStyle w:val="1232"/>
        <w:ind w:left="315"/>
      </w:pPr>
      <w:r/>
      <w:r/>
    </w:p>
    <w:p>
      <w:pPr>
        <w:pStyle w:val="1232"/>
        <w:ind w:left="0"/>
      </w:pPr>
      <w:r/>
      <w:bookmarkStart w:id="4" w:name="_Toc530739908"/>
      <w:r/>
      <w:r/>
    </w:p>
    <w:p>
      <w:pPr>
        <w:pStyle w:val="1218"/>
        <w:numPr>
          <w:ilvl w:val="0"/>
          <w:numId w:val="7"/>
        </w:numPr>
        <w:ind w:left="426" w:hanging="426"/>
      </w:pPr>
      <w:r/>
      <w:bookmarkStart w:id="5" w:name="_Toc530739909"/>
      <w:r/>
      <w:bookmarkEnd w:id="4"/>
      <w:r>
        <w:t xml:space="preserve">Záväzky</w:t>
      </w:r>
      <w:bookmarkEnd w:id="5"/>
      <w:r/>
      <w:r/>
    </w:p>
    <w:p>
      <w:pPr>
        <w:pStyle w:val="1232"/>
      </w:pPr>
      <w:r/>
      <w:r/>
    </w:p>
    <w:p>
      <w:pPr>
        <w:pStyle w:val="1232"/>
      </w:pPr>
      <w:r>
        <w:rPr>
          <w:szCs w:val="18"/>
        </w:rPr>
        <w:t xml:space="preserve">Štruktúra záväzkov (okrem </w:t>
      </w:r>
      <w:r>
        <w:rPr>
          <w:szCs w:val="18"/>
        </w:rPr>
        <w:t xml:space="preserve">záväzkov zo sociálneho fondu a odloženého daňového záväzku</w:t>
      </w:r>
      <w:r>
        <w:rPr>
          <w:szCs w:val="18"/>
        </w:rPr>
        <w:t xml:space="preserve">) podľa zostatkovej doby splatnosti je uvedená v nasledujúcom prehľade:</w:t>
      </w:r>
      <w:r/>
    </w:p>
    <w:p>
      <w:pPr>
        <w:pStyle w:val="1232"/>
      </w:pPr>
      <w:r/>
      <w:bookmarkStart w:id="6" w:name="_MON_1508918652"/>
      <w:r/>
      <w:bookmarkEnd w:id="6"/>
      <w:r>
        <w:rPr>
          <w:szCs w:val="18"/>
        </w:rPr>
      </w:r>
      <w:r>
        <w:rPr>
          <w:szCs w:val="18"/>
        </w:rPr>
        <w:object w:dxaOrig="8715" w:dyaOrig="2355">
          <v:shapetype type="#_x0000_t75" o:spt="75" coordsize="21600,21600" o:preferrelative="t" path="m@4@5l@4@11@9@11@9@5xe"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</v:shapetype>
          <v:shape id="_x0000_i0" o:spid="_x0000_s0" type="#_x0000_t75" style="width:435.8pt;height:117.8pt;mso-wrap-distance-left:0.0pt;mso-wrap-distance-top:0.0pt;mso-wrap-distance-right:0.0pt;mso-wrap-distance-bottom:0.0pt;" filled="f" stroked="f">
            <v:path textboxrect="0,0,0,0"/>
            <v:imagedata r:id="rId14" o:title=""/>
          </v:shape>
          <o:OLEObject DrawAspect="Content" r:id="rId15" ObjectID="_1525040" ProgID="Excel.Sheet.12" ShapeID="_x0000_i0" Type="Embed"/>
        </w:object>
      </w:r>
      <w:r>
        <w:rPr>
          <w:szCs w:val="18"/>
        </w:rPr>
      </w:r>
      <w:r/>
    </w:p>
    <w:p>
      <w:pPr>
        <w:pStyle w:val="1232"/>
      </w:pPr>
      <w:r/>
      <w:r/>
    </w:p>
    <w:p>
      <w:pPr>
        <w:pStyle w:val="1232"/>
      </w:pPr>
      <w:r/>
      <w:r/>
    </w:p>
    <w:p>
      <w:pPr>
        <w:pStyle w:val="1217"/>
        <w:numPr>
          <w:ilvl w:val="0"/>
          <w:numId w:val="5"/>
        </w:numPr>
        <w:spacing w:before="120" w:after="60"/>
      </w:pPr>
      <w:r/>
      <w:bookmarkStart w:id="7" w:name="_Toc530739924"/>
      <w:r>
        <w:t xml:space="preserve">Informácie o INÝCH AKTÍVACH A PASÍVACH</w:t>
      </w:r>
      <w:r/>
    </w:p>
    <w:p>
      <w:pPr>
        <w:ind w:left="360"/>
      </w:pPr>
      <w:r/>
      <w:r/>
    </w:p>
    <w:p>
      <w:pPr>
        <w:pStyle w:val="1239"/>
        <w:numPr>
          <w:ilvl w:val="0"/>
          <w:numId w:val="8"/>
        </w:numPr>
        <w:ind w:left="709" w:hanging="283"/>
        <w:rPr>
          <w:b/>
          <w:sz w:val="18"/>
        </w:rPr>
      </w:pPr>
      <w:r>
        <w:rPr>
          <w:b/>
          <w:sz w:val="18"/>
        </w:rPr>
        <w:t xml:space="preserve">Podmienen</w:t>
      </w:r>
      <w:r>
        <w:rPr>
          <w:b/>
          <w:sz w:val="18"/>
        </w:rPr>
        <w:t xml:space="preserve">ý</w:t>
      </w:r>
      <w:r>
        <w:rPr>
          <w:b/>
          <w:sz w:val="18"/>
        </w:rPr>
        <w:t xml:space="preserve"> </w:t>
      </w:r>
      <w:r>
        <w:rPr>
          <w:b/>
          <w:sz w:val="18"/>
        </w:rPr>
        <w:t xml:space="preserve">majetok</w:t>
      </w:r>
      <w:r/>
    </w:p>
    <w:p>
      <w:pPr>
        <w:rPr>
          <w:b/>
          <w:sz w:val="18"/>
        </w:rPr>
      </w:pPr>
      <w:r>
        <w:rPr>
          <w:b/>
          <w:sz w:val="18"/>
        </w:rPr>
      </w:r>
      <w:r/>
    </w:p>
    <w:p>
      <w:pPr>
        <w:ind w:left="360"/>
      </w:pPr>
      <w:r>
        <w:t xml:space="preserve">Spoločnosť nemá obsahovú náplň</w:t>
      </w:r>
      <w:r>
        <w:t xml:space="preserve">.</w:t>
      </w:r>
      <w:r/>
    </w:p>
    <w:p>
      <w:pPr>
        <w:ind w:left="360"/>
      </w:pPr>
      <w:r/>
      <w:r/>
    </w:p>
    <w:p>
      <w:pPr>
        <w:pStyle w:val="1239"/>
        <w:numPr>
          <w:ilvl w:val="0"/>
          <w:numId w:val="8"/>
        </w:numPr>
        <w:ind w:left="709" w:hanging="283"/>
        <w:rPr>
          <w:b/>
          <w:sz w:val="18"/>
        </w:rPr>
      </w:pPr>
      <w:r>
        <w:rPr>
          <w:b/>
          <w:sz w:val="18"/>
        </w:rPr>
        <w:t xml:space="preserve">Podmienené záväzky</w:t>
      </w:r>
      <w:r/>
    </w:p>
    <w:p>
      <w:pPr>
        <w:rPr>
          <w:b/>
          <w:sz w:val="18"/>
        </w:rPr>
      </w:pPr>
      <w:r>
        <w:rPr>
          <w:b/>
          <w:sz w:val="18"/>
        </w:rPr>
      </w:r>
      <w:bookmarkEnd w:id="7"/>
      <w:r/>
    </w:p>
    <w:p>
      <w:pPr>
        <w:pStyle w:val="1232"/>
        <w:rPr>
          <w:szCs w:val="18"/>
        </w:rPr>
      </w:pPr>
      <w:r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</w:t>
      </w:r>
      <w:r>
        <w:rPr>
          <w:szCs w:val="18"/>
        </w:rPr>
        <w:t xml:space="preserve">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  <w:r/>
    </w:p>
    <w:p>
      <w:pPr>
        <w:pStyle w:val="1232"/>
      </w:pPr>
      <w:r/>
      <w:r/>
    </w:p>
    <w:p>
      <w:r/>
      <w:r/>
    </w:p>
    <w:p>
      <w:pPr>
        <w:pStyle w:val="1239"/>
        <w:numPr>
          <w:ilvl w:val="0"/>
          <w:numId w:val="8"/>
        </w:numPr>
        <w:ind w:left="709" w:hanging="283"/>
        <w:rPr>
          <w:b/>
        </w:rPr>
      </w:pPr>
      <w:r>
        <w:rPr>
          <w:b/>
        </w:rPr>
        <w:t xml:space="preserve">Ostatné finančné povinnosti</w:t>
      </w:r>
      <w:r/>
    </w:p>
    <w:p>
      <w:pPr>
        <w:pStyle w:val="1232"/>
        <w:rPr>
          <w:szCs w:val="18"/>
        </w:rPr>
      </w:pPr>
      <w:r>
        <w:rPr>
          <w:szCs w:val="18"/>
        </w:rPr>
      </w:r>
      <w:r/>
    </w:p>
    <w:p>
      <w:pPr>
        <w:pStyle w:val="1232"/>
      </w:pPr>
      <w:r>
        <w:t xml:space="preserve">Spoločno</w:t>
      </w:r>
      <w:r>
        <w:t xml:space="preserve">s</w:t>
      </w:r>
      <w:r>
        <w:t xml:space="preserve">ť nemá pre ostatné finančné povinnosti obsahovú náplň</w:t>
      </w:r>
      <w:r/>
    </w:p>
    <w:p>
      <w:pPr>
        <w:pStyle w:val="1232"/>
      </w:pPr>
      <w:r/>
      <w:r/>
    </w:p>
    <w:p>
      <w:pPr>
        <w:pStyle w:val="1218"/>
        <w:numPr>
          <w:ilvl w:val="0"/>
          <w:numId w:val="8"/>
        </w:numPr>
        <w:ind w:left="709" w:hanging="283"/>
        <w:rPr>
          <w:szCs w:val="18"/>
        </w:rPr>
      </w:pPr>
      <w:r>
        <w:rPr>
          <w:szCs w:val="18"/>
        </w:rPr>
        <w:t xml:space="preserve">Prenajatý majetok</w:t>
      </w:r>
      <w:bookmarkStart w:id="8" w:name="_GoBack"/>
      <w:r/>
      <w:bookmarkEnd w:id="8"/>
      <w:r/>
      <w:r/>
    </w:p>
    <w:p>
      <w:pPr>
        <w:pStyle w:val="1232"/>
        <w:rPr>
          <w:szCs w:val="18"/>
        </w:rPr>
      </w:pPr>
      <w:r>
        <w:rPr>
          <w:szCs w:val="18"/>
        </w:rPr>
      </w:r>
      <w:r/>
    </w:p>
    <w:p>
      <w:pPr>
        <w:pStyle w:val="1232"/>
        <w:rPr>
          <w:szCs w:val="18"/>
        </w:rPr>
      </w:pPr>
      <w:r>
        <w:rPr>
          <w:szCs w:val="18"/>
        </w:rPr>
        <w:t xml:space="preserve">Spoločnosť </w:t>
      </w:r>
      <w:r>
        <w:rPr>
          <w:szCs w:val="18"/>
        </w:rPr>
        <w:t xml:space="preserve">ne</w:t>
      </w:r>
      <w:r>
        <w:rPr>
          <w:szCs w:val="18"/>
        </w:rPr>
        <w:t xml:space="preserve">prenajíma </w:t>
      </w:r>
      <w:r>
        <w:rPr>
          <w:szCs w:val="18"/>
        </w:rPr>
        <w:t xml:space="preserve">žiadny</w:t>
      </w:r>
      <w:r>
        <w:rPr>
          <w:szCs w:val="18"/>
        </w:rPr>
        <w:t xml:space="preserve"> dlhodobý hmotný majetok. </w:t>
      </w:r>
      <w:r/>
    </w:p>
    <w:p>
      <w:pPr>
        <w:pStyle w:val="1232"/>
      </w:pPr>
      <w:r/>
      <w:r/>
    </w:p>
    <w:p>
      <w:pPr>
        <w:pStyle w:val="1232"/>
        <w:rPr>
          <w:szCs w:val="18"/>
        </w:rPr>
      </w:pPr>
      <w:r>
        <w:rPr>
          <w:szCs w:val="18"/>
        </w:rPr>
      </w:r>
      <w:r/>
    </w:p>
    <w:p>
      <w:pPr>
        <w:pStyle w:val="1232"/>
      </w:pPr>
      <w:r/>
      <w:r/>
    </w:p>
    <w:p>
      <w:pPr>
        <w:pStyle w:val="1217"/>
        <w:numPr>
          <w:ilvl w:val="0"/>
          <w:numId w:val="5"/>
        </w:numPr>
        <w:spacing w:before="120" w:after="60"/>
      </w:pPr>
      <w:r/>
      <w:bookmarkStart w:id="9" w:name="_Toc530739925"/>
      <w:r>
        <w:t xml:space="preserve">Informácie o skutočnostiach, ktoré nastali po dni, ku ktorému sa zostavuje účtovná závierka, do dňa zostavenia účtovnej závierky</w:t>
      </w:r>
      <w:bookmarkEnd w:id="9"/>
      <w:r/>
      <w:r/>
    </w:p>
    <w:p>
      <w:pPr>
        <w:pStyle w:val="1217"/>
        <w:numPr>
          <w:ilvl w:val="0"/>
          <w:numId w:val="0"/>
        </w:numPr>
        <w:ind w:left="360"/>
        <w:spacing w:before="120" w:after="60"/>
      </w:pPr>
      <w:r/>
      <w:r/>
    </w:p>
    <w:p>
      <w:pPr>
        <w:pStyle w:val="1232"/>
      </w:pPr>
      <w:r/>
      <w:bookmarkStart w:id="10" w:name="OLE_LINK1"/>
      <w:r/>
      <w:bookmarkStart w:id="11" w:name="OLE_LINK2"/>
      <w:r>
        <w:t xml:space="preserve">Spoločnosť neidentifik</w:t>
      </w:r>
      <w:r>
        <w:t xml:space="preserve">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>
        <w:t xml:space="preserve">2022</w:t>
      </w:r>
      <w:r>
        <w:t xml:space="preserve"> </w:t>
      </w:r>
      <w:r>
        <w:t xml:space="preserve">do 31. decembra 2022</w:t>
      </w:r>
      <w:r>
        <w:t xml:space="preserve">.</w:t>
      </w:r>
      <w:bookmarkEnd w:id="10"/>
      <w:r/>
      <w:bookmarkEnd w:id="11"/>
      <w:r/>
      <w:r/>
    </w:p>
    <w:p>
      <w:pPr>
        <w:ind w:left="426"/>
        <w:jc w:val="both"/>
        <w:rPr>
          <w:szCs w:val="18"/>
        </w:rPr>
      </w:pPr>
      <w:r>
        <w:rPr>
          <w:szCs w:val="18"/>
        </w:rPr>
      </w:r>
      <w:r/>
    </w:p>
    <w:p>
      <w:r>
        <w:t xml:space="preserve">   </w:t>
      </w:r>
      <w:r/>
    </w:p>
    <w:p>
      <w:pPr>
        <w:pStyle w:val="1232"/>
        <w:ind w:left="0"/>
        <w:rPr>
          <w:szCs w:val="18"/>
        </w:rPr>
      </w:pPr>
      <w:r>
        <w:rPr>
          <w:szCs w:val="18"/>
        </w:rPr>
      </w:r>
      <w:r/>
    </w:p>
    <w:sectPr>
      <w:headerReference w:type="default" r:id="rId9"/>
      <w:headerReference w:type="first" r:id="rId10"/>
      <w:footerReference w:type="default" r:id="rId11"/>
      <w:footerReference w:type="first" r:id="rId12"/>
      <w:footnotePr/>
      <w:endnotePr/>
      <w:type w:val="nextPage"/>
      <w:pgSz w:w="11906" w:h="16838" w:orient="portrait"/>
      <w:pgMar w:top="993" w:right="1133" w:bottom="1134" w:left="1276" w:header="675" w:footer="408" w:gutter="0"/>
      <w:pgNumType w:start="1"/>
      <w:cols w:num="1" w:sep="0" w:space="708" w:equalWidth="1"/>
      <w:docGrid w:linePitch="36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r>
        <w:separator/>
      </w:r>
      <w:r/>
    </w:p>
  </w:endnote>
  <w:endnote w:type="continuationSeparator" w:id="0">
    <w:p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</w:font>
  <w:font w:name="Wingdings">
    <w:panose1 w:val="05000000000000000000"/>
  </w:font>
  <w:font w:name="Courier New">
    <w:panose1 w:val="02070309020205020404"/>
  </w:font>
  <w:font w:name="Tahoma">
    <w:panose1 w:val="020B0604030504040204"/>
  </w:font>
  <w:font w:name="Univers 45 Light">
    <w:panose1 w:val="02000603000000000000"/>
  </w:font>
  <w:font w:name="Times">
    <w:panose1 w:val="02020603050405020304"/>
  </w:font>
  <w:font w:name="Times New Roman">
    <w:panose1 w:val="02020603050405020304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sdt>
    <w:sdtPr>
      <w15:appearance w15:val="boundingBox"/>
      <w:id w:val="-306784411"/>
      <w:docPartObj>
        <w:docPartGallery w:val="Page Numbers (Bottom of Page)"/>
        <w:docPartUnique w:val="true"/>
      </w:docPartObj>
      <w:rPr/>
    </w:sdtPr>
    <w:sdtContent>
      <w:p>
        <w:pPr>
          <w:pStyle w:val="1226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t xml:space="preserve">3</w:t>
        </w:r>
        <w:r>
          <w:fldChar w:fldCharType="end"/>
        </w:r>
        <w:r/>
      </w:p>
    </w:sdtContent>
  </w:sdt>
  <w:p>
    <w:pPr>
      <w:pStyle w:val="1226"/>
    </w:pPr>
    <w:r/>
    <w:r/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sdt>
    <w:sdtPr>
      <w15:appearance w15:val="boundingBox"/>
      <w:id w:val="-103808122"/>
      <w:docPartObj>
        <w:docPartGallery w:val="Page Numbers (Bottom of Page)"/>
        <w:docPartUnique w:val="true"/>
      </w:docPartObj>
      <w:rPr/>
    </w:sdtPr>
    <w:sdtContent>
      <w:p>
        <w:pPr>
          <w:pStyle w:val="1226"/>
          <w:jc w:val="center"/>
        </w:pPr>
        <w:r>
          <w:t xml:space="preserve">1</w:t>
        </w:r>
        <w:r/>
      </w:p>
    </w:sdtContent>
  </w:sdt>
  <w:p>
    <w:pPr>
      <w:pStyle w:val="1226"/>
      <w:tabs>
        <w:tab w:val="clear" w:pos="9072" w:leader="none"/>
        <w:tab w:val="right" w:pos="9214" w:leader="none"/>
      </w:tabs>
      <w:rPr>
        <w:sz w:val="16"/>
        <w:szCs w:val="16"/>
      </w:rPr>
    </w:pPr>
    <w:r>
      <w:rPr>
        <w:sz w:val="16"/>
        <w:szCs w:val="16"/>
      </w:rPr>
    </w:r>
    <w:r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r>
        <w:separator/>
      </w:r>
      <w:r/>
    </w:p>
  </w:footnote>
  <w:footnote w:type="continuationSeparator" w:id="0">
    <w:p>
      <w:r>
        <w:continuationSeparator/>
      </w:r>
      <w:r/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tbl>
    <w:tblPr>
      <w:tblW w:w="9976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>
      <w:trPr>
        <w:trHeight w:val="126"/>
      </w:trPr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2835" w:type="dxa"/>
          <w:vAlign w:val="center"/>
          <w:textDirection w:val="lrTb"/>
          <w:noWrap w:val="false"/>
        </w:tcPr>
        <w:p>
          <w:pPr>
            <w:pStyle w:val="1224"/>
            <w:ind w:firstLine="2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Poznámky: 2Mservices s.r.o.</w:t>
          </w:r>
          <w:r/>
        </w:p>
      </w:tc>
      <w:tc>
        <w:tcPr>
          <w:shd w:val="clear" w:color="auto" w:fill="auto"/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4317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>
            <w:rPr>
              <w:sz w:val="18"/>
              <w:szCs w:val="18"/>
            </w:rPr>
            <w:t xml:space="preserve">IČO</w:t>
          </w:r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280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</w:r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single" w:color="auto" w:sz="4" w:space="0"/>
          </w:tcBorders>
          <w:tcW w:w="281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3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6</w:t>
          </w:r>
          <w:r/>
        </w:p>
      </w:tc>
      <w:tc>
        <w:tcPr>
          <w:gridSpan w:val="2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6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8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1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1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0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6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8</w:t>
          </w:r>
          <w:r/>
        </w:p>
      </w:tc>
    </w:tr>
    <w:tr>
      <w:trPr>
        <w:trHeight w:val="174"/>
      </w:trPr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2835" w:type="dxa"/>
          <w:vAlign w:val="center"/>
          <w:textDirection w:val="lrTb"/>
          <w:noWrap w:val="false"/>
        </w:tcPr>
        <w:p>
          <w:pPr>
            <w:pStyle w:val="1224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</w:r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single" w:color="auto" w:sz="4" w:space="0"/>
          </w:tcBorders>
          <w:tcW w:w="4317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>
            <w:rPr>
              <w:sz w:val="18"/>
              <w:szCs w:val="18"/>
            </w:rPr>
            <w:t xml:space="preserve">DIČ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0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1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0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</w:t>
          </w:r>
          <w:r/>
        </w:p>
      </w:tc>
      <w:tc>
        <w:tcPr>
          <w:gridSpan w:val="2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8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0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4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5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3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7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9</w:t>
          </w:r>
          <w:r/>
        </w:p>
      </w:tc>
    </w:tr>
  </w:tbl>
  <w:p>
    <w:pPr>
      <w:pStyle w:val="1224"/>
    </w:pPr>
    <w:r/>
    <w:r/>
  </w:p>
  <w:p>
    <w:pPr>
      <w:pStyle w:val="1224"/>
      <w:jc w:val="right"/>
      <w:tabs>
        <w:tab w:val="center" w:pos="4820" w:leader="none"/>
        <w:tab w:val="right" w:pos="9214" w:leader="none"/>
      </w:tabs>
      <w:rPr>
        <w:sz w:val="18"/>
      </w:rPr>
    </w:pPr>
    <w:r>
      <w:rPr>
        <w:sz w:val="18"/>
      </w:rPr>
    </w:r>
    <w:r/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tbl>
    <w:tblPr>
      <w:tblW w:w="10337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>
      <w:trPr>
        <w:trHeight w:val="126"/>
      </w:trPr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3119" w:type="dxa"/>
          <w:vAlign w:val="center"/>
          <w:textDirection w:val="lrTb"/>
          <w:noWrap w:val="false"/>
        </w:tcPr>
        <w:p>
          <w:pPr>
            <w:pStyle w:val="1224"/>
            <w:ind w:right="-418" w:firstLine="2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</w:t>
          </w:r>
          <w:r>
            <w:rPr>
              <w:sz w:val="18"/>
              <w:szCs w:val="18"/>
            </w:rPr>
            <w:t xml:space="preserve">: </w:t>
          </w:r>
          <w:r>
            <w:rPr>
              <w:sz w:val="18"/>
              <w:szCs w:val="18"/>
            </w:rPr>
            <w:t xml:space="preserve">2Mservices</w:t>
          </w:r>
          <w:r>
            <w:rPr>
              <w:sz w:val="18"/>
              <w:szCs w:val="18"/>
            </w:rPr>
            <w:t xml:space="preserve"> s.r.o.</w:t>
          </w:r>
          <w:r/>
        </w:p>
      </w:tc>
      <w:tc>
        <w:tcPr>
          <w:shd w:val="clear" w:color="auto" w:fill="auto"/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4394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>
            <w:rPr>
              <w:sz w:val="18"/>
              <w:szCs w:val="18"/>
            </w:rPr>
            <w:t xml:space="preserve">IČO</w:t>
          </w:r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280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</w:r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single" w:color="auto" w:sz="4" w:space="0"/>
          </w:tcBorders>
          <w:tcW w:w="281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3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6</w:t>
          </w:r>
          <w:r/>
        </w:p>
      </w:tc>
      <w:tc>
        <w:tcPr>
          <w:gridSpan w:val="2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6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8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1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1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0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6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8</w:t>
          </w:r>
          <w:r/>
        </w:p>
      </w:tc>
    </w:tr>
    <w:tr>
      <w:trPr>
        <w:trHeight w:val="174"/>
      </w:trPr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3119" w:type="dxa"/>
          <w:vAlign w:val="center"/>
          <w:textDirection w:val="lrTb"/>
          <w:noWrap w:val="false"/>
        </w:tcPr>
        <w:p>
          <w:pPr>
            <w:pStyle w:val="1224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</w:r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single" w:color="auto" w:sz="4" w:space="0"/>
          </w:tcBorders>
          <w:tcW w:w="4394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>
            <w:rPr>
              <w:sz w:val="18"/>
              <w:szCs w:val="18"/>
            </w:rPr>
            <w:t xml:space="preserve">DIČ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0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1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0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</w:t>
          </w:r>
          <w:r/>
        </w:p>
      </w:tc>
      <w:tc>
        <w:tcPr>
          <w:gridSpan w:val="2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8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0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4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5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3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7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24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9</w:t>
          </w:r>
          <w:r/>
        </w:p>
      </w:tc>
    </w:tr>
  </w:tbl>
  <w:p>
    <w:pPr>
      <w:pStyle w:val="1224"/>
      <w:jc w:val="right"/>
      <w:tabs>
        <w:tab w:val="center" w:pos="4820" w:leader="none"/>
        <w:tab w:val="right" w:pos="9214" w:leader="none"/>
      </w:tabs>
      <w:rPr>
        <w:sz w:val="18"/>
      </w:rPr>
    </w:pPr>
    <w:r>
      <w:rPr>
        <w:sz w:val="18"/>
      </w:rPr>
    </w:r>
    <w:r/>
  </w:p>
  <w:p>
    <w:pPr>
      <w:pStyle w:val="1224"/>
      <w:jc w:val="right"/>
      <w:tabs>
        <w:tab w:val="center" w:pos="4820" w:leader="none"/>
        <w:tab w:val="right" w:pos="9214" w:leader="none"/>
      </w:tabs>
      <w:rPr>
        <w:sz w:val="18"/>
      </w:rPr>
    </w:pPr>
    <w:r>
      <w:rPr>
        <w:sz w:val="18"/>
      </w:rPr>
    </w:r>
    <w:r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hybridMultilevel"/>
    <w:lvl w:ilvl="0">
      <w:start w:val="1"/>
      <w:numFmt w:val="bullet"/>
      <w:isLgl w:val="false"/>
      <w:suff w:val="tab"/>
      <w:lvlText w:val="-"/>
      <w:lvlJc w:val="left"/>
      <w:pPr>
        <w:ind w:left="786" w:hanging="360"/>
      </w:pPr>
      <w:rPr>
        <w:rFonts w:hint="default" w:ascii="Times New Roman" w:hAnsi="Times New Roman" w:eastAsia="Times New Roman" w:cs="Times New Roman"/>
      </w:rPr>
    </w:lvl>
    <w:lvl w:ilvl="1">
      <w:start w:val="1"/>
      <w:numFmt w:val="bullet"/>
      <w:isLgl w:val="false"/>
      <w:suff w:val="tab"/>
      <w:lvlText w:val="o"/>
      <w:lvlJc w:val="left"/>
      <w:pPr>
        <w:ind w:left="1506" w:hanging="360"/>
      </w:pPr>
      <w:rPr>
        <w:rFonts w:hint="default" w:ascii="Courier New" w:hAnsi="Courier New" w:cs="Courier New"/>
      </w:rPr>
    </w:lvl>
    <w:lvl w:ilvl="2">
      <w:start w:val="1"/>
      <w:numFmt w:val="bullet"/>
      <w:isLgl w:val="false"/>
      <w:suff w:val="tab"/>
      <w:lvlText w:val=""/>
      <w:lvlJc w:val="left"/>
      <w:pPr>
        <w:ind w:left="2226" w:hanging="360"/>
      </w:pPr>
      <w:rPr>
        <w:rFonts w:hint="default" w:ascii="Wingdings" w:hAnsi="Wingdings"/>
      </w:rPr>
    </w:lvl>
    <w:lvl w:ilvl="3">
      <w:start w:val="1"/>
      <w:numFmt w:val="bullet"/>
      <w:isLgl w:val="false"/>
      <w:suff w:val="tab"/>
      <w:lvlText w:val=""/>
      <w:lvlJc w:val="left"/>
      <w:pPr>
        <w:ind w:left="2946" w:hanging="360"/>
      </w:pPr>
      <w:rPr>
        <w:rFonts w:hint="default" w:ascii="Symbol" w:hAnsi="Symbol"/>
      </w:rPr>
    </w:lvl>
    <w:lvl w:ilvl="4">
      <w:start w:val="1"/>
      <w:numFmt w:val="bullet"/>
      <w:isLgl w:val="false"/>
      <w:suff w:val="tab"/>
      <w:lvlText w:val="o"/>
      <w:lvlJc w:val="left"/>
      <w:pPr>
        <w:ind w:left="3666" w:hanging="360"/>
      </w:pPr>
      <w:rPr>
        <w:rFonts w:hint="default" w:ascii="Courier New" w:hAnsi="Courier New" w:cs="Courier New"/>
      </w:rPr>
    </w:lvl>
    <w:lvl w:ilvl="5">
      <w:start w:val="1"/>
      <w:numFmt w:val="bullet"/>
      <w:isLgl w:val="false"/>
      <w:suff w:val="tab"/>
      <w:lvlText w:val=""/>
      <w:lvlJc w:val="left"/>
      <w:pPr>
        <w:ind w:left="4386" w:hanging="360"/>
      </w:pPr>
      <w:rPr>
        <w:rFonts w:hint="default" w:ascii="Wingdings" w:hAnsi="Wingdings"/>
      </w:rPr>
    </w:lvl>
    <w:lvl w:ilvl="6">
      <w:start w:val="1"/>
      <w:numFmt w:val="bullet"/>
      <w:isLgl w:val="false"/>
      <w:suff w:val="tab"/>
      <w:lvlText w:val=""/>
      <w:lvlJc w:val="left"/>
      <w:pPr>
        <w:ind w:left="5106" w:hanging="360"/>
      </w:pPr>
      <w:rPr>
        <w:rFonts w:hint="default" w:ascii="Symbol" w:hAnsi="Symbol"/>
      </w:rPr>
    </w:lvl>
    <w:lvl w:ilvl="7">
      <w:start w:val="1"/>
      <w:numFmt w:val="bullet"/>
      <w:isLgl w:val="false"/>
      <w:suff w:val="tab"/>
      <w:lvlText w:val="o"/>
      <w:lvlJc w:val="left"/>
      <w:pPr>
        <w:ind w:left="5826" w:hanging="360"/>
      </w:pPr>
      <w:rPr>
        <w:rFonts w:hint="default" w:ascii="Courier New" w:hAnsi="Courier New" w:cs="Courier New"/>
      </w:rPr>
    </w:lvl>
    <w:lvl w:ilvl="8">
      <w:start w:val="1"/>
      <w:numFmt w:val="bullet"/>
      <w:isLgl w:val="false"/>
      <w:suff w:val="tab"/>
      <w:lvlText w:val=""/>
      <w:lvlJc w:val="left"/>
      <w:pPr>
        <w:ind w:left="6546" w:hanging="360"/>
      </w:pPr>
      <w:rPr>
        <w:rFonts w:hint="default" w:ascii="Wingdings" w:hAnsi="Wingdings"/>
      </w:rPr>
    </w:lvl>
  </w:abstractNum>
  <w:abstractNum w:abstractNumId="1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>
      <w:start w:val="1"/>
      <w:numFmt w:val="lowerLetter"/>
      <w:isLgl w:val="false"/>
      <w:suff w:val="tab"/>
      <w:lvlText w:val="%2."/>
      <w:lvlJc w:val="left"/>
      <w:pPr>
        <w:ind w:left="1506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226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946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66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86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106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826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546" w:hanging="180"/>
      </w:pPr>
    </w:lvl>
  </w:abstractNum>
  <w:abstractNum w:abstractNumId="2">
    <w:multiLevelType w:val="hybridMultilevel"/>
    <w:lvl w:ilvl="0">
      <w:start w:val="1"/>
      <w:numFmt w:val="bullet"/>
      <w:isLgl w:val="false"/>
      <w:suff w:val="tab"/>
      <w:lvlText w:val=""/>
      <w:lvlJc w:val="left"/>
      <w:pPr>
        <w:ind w:left="340" w:hanging="340"/>
        <w:tabs>
          <w:tab w:val="num" w:pos="340" w:leader="none"/>
        </w:tabs>
      </w:pPr>
      <w:rPr>
        <w:rFonts w:hint="default" w:ascii="Symbol" w:hAnsi="Symbol"/>
        <w:color w:val="auto"/>
        <w:sz w:val="22"/>
      </w:r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hint="default" w:ascii="Courier New" w:hAnsi="Courier New" w:eastAsia="Courier New" w:cs="Courier New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hint="default" w:ascii="Wingdings" w:hAnsi="Wingdings" w:eastAsia="Wingdings" w:cs="Wingdings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hint="default" w:ascii="Symbol" w:hAnsi="Symbol" w:eastAsia="Symbol" w:cs="Symbol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hint="default" w:ascii="Courier New" w:hAnsi="Courier New" w:eastAsia="Courier New" w:cs="Courier New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hint="default" w:ascii="Wingdings" w:hAnsi="Wingdings" w:eastAsia="Wingdings" w:cs="Wingdings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hint="default" w:ascii="Symbol" w:hAnsi="Symbol" w:eastAsia="Symbol" w:cs="Symbol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hint="default" w:ascii="Courier New" w:hAnsi="Courier New" w:eastAsia="Courier New" w:cs="Courier New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hint="default" w:ascii="Wingdings" w:hAnsi="Wingdings" w:eastAsia="Wingdings" w:cs="Wingdings"/>
      </w:rPr>
    </w:lvl>
  </w:abstractNum>
  <w:abstractNum w:abstractNumId="3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isLgl w:val="false"/>
      <w:suff w:val="tab"/>
      <w:lvlText w:val="%2."/>
      <w:lvlJc w:val="left"/>
      <w:pPr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480" w:hanging="180"/>
      </w:pPr>
    </w:lvl>
  </w:abstractNum>
  <w:abstractNum w:abstractNumId="4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vanish w:val="0"/>
        <w:color w:val="000000"/>
        <w:spacing w:val="0"/>
        <w:position w:val="0"/>
        <w:u w:val="none"/>
        <w:vertAlign w:val="baseline"/>
        <w14:textOutline w14:w="0" w14:cap="rnd" w14:cmpd="sng" w14:algn="ctr">
          <w14:noFill/>
          <w14:prstDash w14:val="solid"/>
          <w14:bevel/>
        </w14:textOutline>
        <w14:ligatures w14:val="none"/>
      </w:r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hint="default" w:ascii="Courier New" w:hAnsi="Courier New" w:eastAsia="Courier New" w:cs="Courier New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hint="default" w:ascii="Wingdings" w:hAnsi="Wingdings" w:eastAsia="Wingdings" w:cs="Wingdings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hint="default" w:ascii="Symbol" w:hAnsi="Symbol" w:eastAsia="Symbol" w:cs="Symbol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hint="default" w:ascii="Courier New" w:hAnsi="Courier New" w:eastAsia="Courier New" w:cs="Courier New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hint="default" w:ascii="Wingdings" w:hAnsi="Wingdings" w:eastAsia="Wingdings" w:cs="Wingdings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hint="default" w:ascii="Symbol" w:hAnsi="Symbol" w:eastAsia="Symbol" w:cs="Symbol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hint="default" w:ascii="Courier New" w:hAnsi="Courier New" w:eastAsia="Courier New" w:cs="Courier New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hint="default" w:ascii="Wingdings" w:hAnsi="Wingdings" w:eastAsia="Wingdings" w:cs="Wingdings"/>
      </w:rPr>
    </w:lvl>
  </w:abstractNum>
  <w:abstractNum w:abstractNumId="5">
    <w:multiLevelType w:val="hybridMultilevel"/>
    <w:lvl w:ilvl="0">
      <w:start w:val="902"/>
      <w:numFmt w:val="bullet"/>
      <w:isLgl w:val="false"/>
      <w:suff w:val="tab"/>
      <w:lvlText w:val="-"/>
      <w:lvlJc w:val="left"/>
      <w:pPr>
        <w:ind w:left="360" w:hanging="360"/>
        <w:tabs>
          <w:tab w:val="num" w:pos="360" w:leader="none"/>
        </w:tabs>
      </w:pPr>
      <w:rPr>
        <w:rFonts w:hint="default"/>
      </w:r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hint="default" w:ascii="Courier New" w:hAnsi="Courier New" w:eastAsia="Courier New" w:cs="Courier New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hint="default" w:ascii="Wingdings" w:hAnsi="Wingdings" w:eastAsia="Wingdings" w:cs="Wingdings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hint="default" w:ascii="Symbol" w:hAnsi="Symbol" w:eastAsia="Symbol" w:cs="Symbol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hint="default" w:ascii="Courier New" w:hAnsi="Courier New" w:eastAsia="Courier New" w:cs="Courier New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hint="default" w:ascii="Wingdings" w:hAnsi="Wingdings" w:eastAsia="Wingdings" w:cs="Wingdings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hint="default" w:ascii="Symbol" w:hAnsi="Symbol" w:eastAsia="Symbol" w:cs="Symbol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hint="default" w:ascii="Courier New" w:hAnsi="Courier New" w:eastAsia="Courier New" w:cs="Courier New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hint="default" w:ascii="Wingdings" w:hAnsi="Wingdings" w:eastAsia="Wingdings" w:cs="Wingdings"/>
      </w:rPr>
    </w:lvl>
  </w:abstractNum>
  <w:abstractNum w:abstractNumId="6">
    <w:multiLevelType w:val="hybridMultilevel"/>
    <w:lvl w:ilvl="0">
      <w:start w:val="1"/>
      <w:numFmt w:val="upperLetter"/>
      <w:pStyle w:val="1217"/>
      <w:isLgl w:val="false"/>
      <w:suff w:val="tab"/>
      <w:lvlText w:val="%1."/>
      <w:lvlJc w:val="left"/>
      <w:pPr>
        <w:ind w:left="360" w:hanging="360"/>
        <w:tabs>
          <w:tab w:val="num" w:pos="360" w:leader="none"/>
        </w:tabs>
      </w:pPr>
      <w:rPr>
        <w:rFonts w:hint="default" w:cs="Times New Roman"/>
      </w:r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hint="default" w:ascii="Courier New" w:hAnsi="Courier New" w:eastAsia="Courier New" w:cs="Courier New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hint="default" w:ascii="Wingdings" w:hAnsi="Wingdings" w:eastAsia="Wingdings" w:cs="Wingdings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hint="default" w:ascii="Symbol" w:hAnsi="Symbol" w:eastAsia="Symbol" w:cs="Symbol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hint="default" w:ascii="Courier New" w:hAnsi="Courier New" w:eastAsia="Courier New" w:cs="Courier New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hint="default" w:ascii="Wingdings" w:hAnsi="Wingdings" w:eastAsia="Wingdings" w:cs="Wingdings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hint="default" w:ascii="Symbol" w:hAnsi="Symbol" w:eastAsia="Symbol" w:cs="Symbol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hint="default" w:ascii="Courier New" w:hAnsi="Courier New" w:eastAsia="Courier New" w:cs="Courier New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hint="default" w:ascii="Wingdings" w:hAnsi="Wingdings" w:eastAsia="Wingdings" w:cs="Wingdings"/>
      </w:rPr>
    </w:lvl>
  </w:abstractNum>
  <w:abstractNum w:abstractNumId="7">
    <w:multiLevelType w:val="hybridMultilevel"/>
    <w:lvl w:ilvl="0">
      <w:start w:val="1"/>
      <w:numFmt w:val="lowerLetter"/>
      <w:pStyle w:val="1241"/>
      <w:isLgl w:val="false"/>
      <w:suff w:val="tab"/>
      <w:lvlText w:val="(%1)"/>
      <w:lvlJc w:val="left"/>
      <w:pPr>
        <w:ind w:left="360" w:hanging="360"/>
        <w:tabs>
          <w:tab w:val="num" w:pos="360" w:leader="none"/>
        </w:tabs>
      </w:pPr>
      <w:rPr>
        <w:rFonts w:hint="default" w:cs="Times New Roman"/>
      </w:r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hint="default" w:ascii="Courier New" w:hAnsi="Courier New" w:eastAsia="Courier New" w:cs="Courier New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hint="default" w:ascii="Wingdings" w:hAnsi="Wingdings" w:eastAsia="Wingdings" w:cs="Wingdings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hint="default" w:ascii="Symbol" w:hAnsi="Symbol" w:eastAsia="Symbol" w:cs="Symbol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hint="default" w:ascii="Courier New" w:hAnsi="Courier New" w:eastAsia="Courier New" w:cs="Courier New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hint="default" w:ascii="Wingdings" w:hAnsi="Wingdings" w:eastAsia="Wingdings" w:cs="Wingdings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hint="default" w:ascii="Symbol" w:hAnsi="Symbol" w:eastAsia="Symbol" w:cs="Symbol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hint="default" w:ascii="Courier New" w:hAnsi="Courier New" w:eastAsia="Courier New" w:cs="Courier New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hint="default" w:ascii="Wingdings" w:hAnsi="Wingdings" w:eastAsia="Wingdings" w:cs="Wingdings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Theme="minorHAnsi" w:hAnsiTheme="minorHAnsi" w:eastAsiaTheme="minorHAnsi" w:cstheme="minorBidi"/>
        <w:sz w:val="22"/>
        <w:szCs w:val="22"/>
        <w:lang w:val="sk-SK" w:eastAsia="en-US" w:bidi="ar-SA"/>
      </w:rPr>
    </w:rPrDefault>
    <w:pPrDefault>
      <w:pPr>
        <w:spacing w:before="0" w:beforeAutospacing="0" w:after="200" w:afterAutospacing="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character" w:styleId="13">
    <w:name w:val="Heading 1 Char"/>
    <w:basedOn w:val="1221"/>
    <w:link w:val="1217"/>
    <w:uiPriority w:val="9"/>
    <w:rPr>
      <w:rFonts w:ascii="Arial" w:hAnsi="Arial" w:eastAsia="Arial" w:cs="Arial"/>
      <w:sz w:val="40"/>
      <w:szCs w:val="40"/>
    </w:rPr>
  </w:style>
  <w:style w:type="character" w:styleId="15">
    <w:name w:val="Heading 2 Char"/>
    <w:basedOn w:val="1221"/>
    <w:link w:val="1218"/>
    <w:uiPriority w:val="9"/>
    <w:rPr>
      <w:rFonts w:ascii="Arial" w:hAnsi="Arial" w:eastAsia="Arial" w:cs="Arial"/>
      <w:sz w:val="34"/>
    </w:rPr>
  </w:style>
  <w:style w:type="paragraph" w:styleId="16">
    <w:name w:val="Heading 3"/>
    <w:basedOn w:val="1216"/>
    <w:next w:val="1216"/>
    <w:link w:val="17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character" w:styleId="17">
    <w:name w:val="Heading 3 Char"/>
    <w:basedOn w:val="1221"/>
    <w:link w:val="16"/>
    <w:uiPriority w:val="9"/>
    <w:rPr>
      <w:rFonts w:ascii="Arial" w:hAnsi="Arial" w:eastAsia="Arial" w:cs="Arial"/>
      <w:sz w:val="30"/>
      <w:szCs w:val="30"/>
    </w:rPr>
  </w:style>
  <w:style w:type="paragraph" w:styleId="18">
    <w:name w:val="Heading 4"/>
    <w:basedOn w:val="1216"/>
    <w:next w:val="1216"/>
    <w:link w:val="19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character" w:styleId="19">
    <w:name w:val="Heading 4 Char"/>
    <w:basedOn w:val="1221"/>
    <w:link w:val="18"/>
    <w:uiPriority w:val="9"/>
    <w:rPr>
      <w:rFonts w:ascii="Arial" w:hAnsi="Arial" w:eastAsia="Arial" w:cs="Arial"/>
      <w:b/>
      <w:bCs/>
      <w:sz w:val="26"/>
      <w:szCs w:val="26"/>
    </w:rPr>
  </w:style>
  <w:style w:type="paragraph" w:styleId="20">
    <w:name w:val="Heading 5"/>
    <w:basedOn w:val="1216"/>
    <w:next w:val="1216"/>
    <w:link w:val="21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character" w:styleId="21">
    <w:name w:val="Heading 5 Char"/>
    <w:basedOn w:val="1221"/>
    <w:link w:val="20"/>
    <w:uiPriority w:val="9"/>
    <w:rPr>
      <w:rFonts w:ascii="Arial" w:hAnsi="Arial" w:eastAsia="Arial" w:cs="Arial"/>
      <w:b/>
      <w:bCs/>
      <w:sz w:val="24"/>
      <w:szCs w:val="24"/>
    </w:rPr>
  </w:style>
  <w:style w:type="character" w:styleId="23">
    <w:name w:val="Heading 6 Char"/>
    <w:basedOn w:val="1221"/>
    <w:link w:val="1219"/>
    <w:uiPriority w:val="9"/>
    <w:rPr>
      <w:rFonts w:ascii="Arial" w:hAnsi="Arial" w:eastAsia="Arial" w:cs="Arial"/>
      <w:b/>
      <w:bCs/>
      <w:sz w:val="22"/>
      <w:szCs w:val="22"/>
    </w:rPr>
  </w:style>
  <w:style w:type="paragraph" w:styleId="24">
    <w:name w:val="Heading 7"/>
    <w:basedOn w:val="1216"/>
    <w:next w:val="1216"/>
    <w:link w:val="25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character" w:styleId="25">
    <w:name w:val="Heading 7 Char"/>
    <w:basedOn w:val="1221"/>
    <w:link w:val="24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paragraph" w:styleId="26">
    <w:name w:val="Heading 8"/>
    <w:basedOn w:val="1216"/>
    <w:next w:val="1216"/>
    <w:link w:val="27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character" w:styleId="27">
    <w:name w:val="Heading 8 Char"/>
    <w:basedOn w:val="1221"/>
    <w:link w:val="26"/>
    <w:uiPriority w:val="9"/>
    <w:rPr>
      <w:rFonts w:ascii="Arial" w:hAnsi="Arial" w:eastAsia="Arial" w:cs="Arial"/>
      <w:i/>
      <w:iCs/>
      <w:sz w:val="22"/>
      <w:szCs w:val="22"/>
    </w:rPr>
  </w:style>
  <w:style w:type="character" w:styleId="29">
    <w:name w:val="Heading 9 Char"/>
    <w:basedOn w:val="1221"/>
    <w:link w:val="1220"/>
    <w:uiPriority w:val="9"/>
    <w:rPr>
      <w:rFonts w:ascii="Arial" w:hAnsi="Arial" w:eastAsia="Arial" w:cs="Arial"/>
      <w:i/>
      <w:iCs/>
      <w:sz w:val="21"/>
      <w:szCs w:val="21"/>
    </w:rPr>
  </w:style>
  <w:style w:type="paragraph" w:styleId="32">
    <w:name w:val="No Spacing"/>
    <w:uiPriority w:val="1"/>
    <w:qFormat/>
    <w:pPr>
      <w:spacing w:before="0" w:after="0" w:line="240" w:lineRule="auto"/>
    </w:pPr>
  </w:style>
  <w:style w:type="paragraph" w:styleId="33">
    <w:name w:val="Title"/>
    <w:basedOn w:val="1216"/>
    <w:next w:val="1216"/>
    <w:link w:val="34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34">
    <w:name w:val="Title Char"/>
    <w:basedOn w:val="1221"/>
    <w:link w:val="33"/>
    <w:uiPriority w:val="10"/>
    <w:rPr>
      <w:sz w:val="48"/>
      <w:szCs w:val="48"/>
    </w:rPr>
  </w:style>
  <w:style w:type="paragraph" w:styleId="35">
    <w:name w:val="Subtitle"/>
    <w:basedOn w:val="1216"/>
    <w:next w:val="1216"/>
    <w:link w:val="36"/>
    <w:uiPriority w:val="11"/>
    <w:qFormat/>
    <w:pPr>
      <w:spacing w:before="200" w:after="200"/>
    </w:pPr>
    <w:rPr>
      <w:sz w:val="24"/>
      <w:szCs w:val="24"/>
    </w:rPr>
  </w:style>
  <w:style w:type="character" w:styleId="36">
    <w:name w:val="Subtitle Char"/>
    <w:basedOn w:val="1221"/>
    <w:link w:val="35"/>
    <w:uiPriority w:val="11"/>
    <w:rPr>
      <w:sz w:val="24"/>
      <w:szCs w:val="24"/>
    </w:rPr>
  </w:style>
  <w:style w:type="paragraph" w:styleId="37">
    <w:name w:val="Quote"/>
    <w:basedOn w:val="1216"/>
    <w:next w:val="1216"/>
    <w:link w:val="38"/>
    <w:uiPriority w:val="29"/>
    <w:qFormat/>
    <w:pPr>
      <w:ind w:left="720" w:right="720"/>
    </w:pPr>
    <w:rPr>
      <w:i/>
    </w:rPr>
  </w:style>
  <w:style w:type="character" w:styleId="38">
    <w:name w:val="Quote Char"/>
    <w:link w:val="37"/>
    <w:uiPriority w:val="29"/>
    <w:rPr>
      <w:i/>
    </w:rPr>
  </w:style>
  <w:style w:type="paragraph" w:styleId="39">
    <w:name w:val="Intense Quote"/>
    <w:basedOn w:val="1216"/>
    <w:next w:val="1216"/>
    <w:link w:val="40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40">
    <w:name w:val="Intense Quote Char"/>
    <w:link w:val="39"/>
    <w:uiPriority w:val="30"/>
    <w:rPr>
      <w:i/>
    </w:rPr>
  </w:style>
  <w:style w:type="character" w:styleId="42">
    <w:name w:val="Header Char"/>
    <w:basedOn w:val="1221"/>
    <w:link w:val="1224"/>
    <w:uiPriority w:val="99"/>
  </w:style>
  <w:style w:type="character" w:styleId="44">
    <w:name w:val="Footer Char"/>
    <w:basedOn w:val="1221"/>
    <w:link w:val="1226"/>
    <w:uiPriority w:val="99"/>
  </w:style>
  <w:style w:type="paragraph" w:styleId="45">
    <w:name w:val="Caption"/>
    <w:basedOn w:val="1216"/>
    <w:next w:val="1216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46">
    <w:name w:val="Caption Char"/>
    <w:basedOn w:val="45"/>
    <w:link w:val="1226"/>
    <w:uiPriority w:val="99"/>
  </w:style>
  <w:style w:type="table" w:styleId="48">
    <w:name w:val="Table Grid Light"/>
    <w:basedOn w:val="1222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9">
    <w:name w:val="Plain Table 1"/>
    <w:basedOn w:val="1222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0">
    <w:name w:val="Plain Table 2"/>
    <w:basedOn w:val="1222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1">
    <w:name w:val="Plain Table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52">
    <w:name w:val="Plain Table 4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3">
    <w:name w:val="Plain Table 5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54">
    <w:name w:val="Grid Table 1 Light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5">
    <w:name w:val="Grid Table 1 Light - Accent 1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6">
    <w:name w:val="Grid Table 1 Light - Accent 2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7">
    <w:name w:val="Grid Table 1 Light - Accent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8">
    <w:name w:val="Grid Table 1 Light - Accent 4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9">
    <w:name w:val="Grid Table 1 Light - Accent 5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0">
    <w:name w:val="Grid Table 1 Light - Accent 6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1">
    <w:name w:val="Grid Table 2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2">
    <w:name w:val="Grid Table 2 - Accent 1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3">
    <w:name w:val="Grid Table 2 - Accent 2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4">
    <w:name w:val="Grid Table 2 - Accent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5">
    <w:name w:val="Grid Table 2 - Accent 4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6">
    <w:name w:val="Grid Table 2 - Accent 5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7">
    <w:name w:val="Grid Table 2 - Accent 6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">
    <w:name w:val="Grid Table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">
    <w:name w:val="Grid Table 3 - Accent 1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0">
    <w:name w:val="Grid Table 3 - Accent 2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">
    <w:name w:val="Grid Table 3 - Accent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">
    <w:name w:val="Grid Table 3 - Accent 4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">
    <w:name w:val="Grid Table 3 - Accent 5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">
    <w:name w:val="Grid Table 3 - Accent 6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">
    <w:name w:val="Grid Table 4"/>
    <w:basedOn w:val="122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6">
    <w:name w:val="Grid Table 4 - Accent 1"/>
    <w:basedOn w:val="122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ce6f1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ce6f1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5d8dc2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7">
    <w:name w:val="Grid Table 4 - Accent 2"/>
    <w:basedOn w:val="122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d99694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8">
    <w:name w:val="Grid Table 4 - Accent 3"/>
    <w:basedOn w:val="122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9bba59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79">
    <w:name w:val="Grid Table 4 - Accent 4"/>
    <w:basedOn w:val="122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b2a1c6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80">
    <w:name w:val="Grid Table 4 - Accent 5"/>
    <w:basedOn w:val="122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81">
    <w:name w:val="Grid Table 4 - Accent 6"/>
    <w:basedOn w:val="122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82">
    <w:name w:val="Grid Table 5 Dark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83">
    <w:name w:val="Grid Table 5 Dark- Accent 1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ae5f1" w:themeFill="accent1" w:themeFillTint="34"/>
    </w:tblPr>
    <w:tblStylePr w:type="band1Horz">
      <w:tcPr>
        <w:shd w:val="clear" w:color="ffffff" w:themeColor="accent1" w:themeTint="75" w:fill="adc5e0" w:themeFill="accent1" w:themeFillTint="75"/>
      </w:tcPr>
    </w:tblStylePr>
    <w:tblStylePr w:type="band1Vert">
      <w:tcPr>
        <w:shd w:val="clear" w:color="ffffff" w:themeColor="accent1" w:themeTint="75" w:fill="adc5e0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  <w:tcBorders>
          <w:top w:val="single" w:color="000000" w:themeColor="light1" w:sz="4" w:space="0"/>
        </w:tcBorders>
      </w:tcPr>
    </w:tblStylePr>
  </w:style>
  <w:style w:type="table" w:styleId="84">
    <w:name w:val="Grid Table 5 Dark - Accent 2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2dcdb" w:themeFill="accent2" w:themeFillTint="32"/>
    </w:tblPr>
    <w:tblStylePr w:type="band1Horz">
      <w:tcPr>
        <w:shd w:val="clear" w:color="ffffff" w:themeColor="accent2" w:themeTint="75" w:fill="e1adac" w:themeFill="accent2" w:themeFillTint="75"/>
      </w:tcPr>
    </w:tblStylePr>
    <w:tblStylePr w:type="band1Vert">
      <w:tcPr>
        <w:shd w:val="clear" w:color="ffffff" w:themeColor="accent2" w:themeTint="75" w:fill="e1adac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  <w:tcBorders>
          <w:top w:val="single" w:color="000000" w:themeColor="light1" w:sz="4" w:space="0"/>
        </w:tcBorders>
      </w:tcPr>
    </w:tblStylePr>
  </w:style>
  <w:style w:type="table" w:styleId="85">
    <w:name w:val="Grid Table 5 Dark - Accent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af0dd" w:themeFill="accent3" w:themeFillTint="34"/>
    </w:tblPr>
    <w:tblStylePr w:type="band1Horz">
      <w:tcPr>
        <w:shd w:val="clear" w:color="ffffff" w:themeColor="accent3" w:themeTint="75" w:fill="d1dfb2" w:themeFill="accent3" w:themeFillTint="75"/>
      </w:tcPr>
    </w:tblStylePr>
    <w:tblStylePr w:type="band1Vert">
      <w:tcPr>
        <w:shd w:val="clear" w:color="ffffff" w:themeColor="accent3" w:themeTint="75" w:fill="d1dfb2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  <w:tcBorders>
          <w:top w:val="single" w:color="000000" w:themeColor="light1" w:sz="4" w:space="0"/>
        </w:tcBorders>
      </w:tcPr>
    </w:tblStylePr>
  </w:style>
  <w:style w:type="table" w:styleId="86">
    <w:name w:val="Grid Table 5 Dark- Accent 4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e5dfec" w:themeFill="accent4" w:themeFillTint="34"/>
    </w:tblPr>
    <w:tblStylePr w:type="band1Horz">
      <w:tcPr>
        <w:shd w:val="clear" w:color="ffffff" w:themeColor="accent4" w:themeTint="75" w:fill="c4b7d4" w:themeFill="accent4" w:themeFillTint="75"/>
      </w:tcPr>
    </w:tblStylePr>
    <w:tblStylePr w:type="band1Vert">
      <w:tcPr>
        <w:shd w:val="clear" w:color="ffffff" w:themeColor="accent4" w:themeTint="75" w:fill="c4b7d4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  <w:tcBorders>
          <w:top w:val="single" w:color="000000" w:themeColor="light1" w:sz="4" w:space="0"/>
        </w:tcBorders>
      </w:tcPr>
    </w:tblStylePr>
  </w:style>
  <w:style w:type="table" w:styleId="87">
    <w:name w:val="Grid Table 5 Dark - Accent 5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aeef3" w:themeFill="accent5" w:themeFillTint="34"/>
    </w:tblPr>
    <w:tblStylePr w:type="band1Horz">
      <w:tcPr>
        <w:shd w:val="clear" w:color="ffffff" w:themeColor="accent5" w:themeTint="75" w:fill="abd9e4" w:themeFill="accent5" w:themeFillTint="75"/>
      </w:tcPr>
    </w:tblStylePr>
    <w:tblStylePr w:type="band1Vert">
      <w:tcPr>
        <w:shd w:val="clear" w:color="ffffff" w:themeColor="accent5" w:themeTint="75" w:fill="abd9e4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  <w:tcBorders>
          <w:top w:val="single" w:color="000000" w:themeColor="light1" w:sz="4" w:space="0"/>
        </w:tcBorders>
      </w:tcPr>
    </w:tblStylePr>
  </w:style>
  <w:style w:type="table" w:styleId="88">
    <w:name w:val="Grid Table 5 Dark - Accent 6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fde9d8" w:themeFill="accent6" w:themeFillTint="34"/>
    </w:tblPr>
    <w:tblStylePr w:type="band1Horz">
      <w:tcPr>
        <w:shd w:val="clear" w:color="ffffff" w:themeColor="accent6" w:themeTint="75" w:fill="fbcda8" w:themeFill="accent6" w:themeFillTint="75"/>
      </w:tcPr>
    </w:tblStylePr>
    <w:tblStylePr w:type="band1Vert">
      <w:tcPr>
        <w:shd w:val="clear" w:color="ffffff" w:themeColor="accent6" w:themeTint="75" w:fill="fbcd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  <w:tcBorders>
          <w:top w:val="single" w:color="000000" w:themeColor="light1" w:sz="4" w:space="0"/>
        </w:tcBorders>
      </w:tcPr>
    </w:tblStylePr>
  </w:style>
  <w:style w:type="table" w:styleId="89">
    <w:name w:val="Grid Table 6 Colorful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90">
    <w:name w:val="Grid Table 6 Colorful - Accent 1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tcPr>
        <w:shd w:val="clear" w:color="ffffff" w:themeColor="accent1" w:themeTint="34" w:fill="dae5f1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e70a3" w:themeColor="accent1" w:themeTint="80" w:themeShade="95"/>
      </w:rPr>
    </w:tblStylePr>
    <w:tblStylePr w:type="firstRow">
      <w:rPr>
        <w:b/>
        <w:color w:val="3e70a3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e70a3" w:themeColor="accent1" w:themeTint="80" w:themeShade="95"/>
      </w:rPr>
    </w:tblStylePr>
    <w:tblStylePr w:type="lastRow">
      <w:rPr>
        <w:b/>
        <w:color w:val="3e70a3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91">
    <w:name w:val="Grid Table 6 Colorful - Accent 2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tcPr>
        <w:shd w:val="clear" w:color="ffffff" w:themeColor="accent2" w:themeTint="32" w:fill="f2dcdb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9c3a37" w:themeColor="accent2" w:themeTint="97" w:themeShade="95"/>
      </w:rPr>
    </w:tblStylePr>
    <w:tblStylePr w:type="firstRow">
      <w:rPr>
        <w:b/>
        <w:color w:val="9c3a37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9c3a37" w:themeColor="accent2" w:themeTint="97" w:themeShade="95"/>
      </w:rPr>
    </w:tblStylePr>
    <w:tblStylePr w:type="lastRow">
      <w:rPr>
        <w:b/>
        <w:color w:val="9c3a37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92">
    <w:name w:val="Grid Table 6 Colorful - Accent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tcPr>
        <w:shd w:val="clear" w:color="ffffff" w:themeColor="accent3" w:themeTint="34" w:fill="eaf0d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5c702f" w:themeColor="accent3" w:themeTint="FE" w:themeShade="95"/>
      </w:rPr>
    </w:tblStylePr>
    <w:tblStylePr w:type="firstRow">
      <w:rPr>
        <w:b/>
        <w:color w:val="5c702f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5c702f" w:themeColor="accent3" w:themeTint="FE" w:themeShade="95"/>
      </w:rPr>
    </w:tblStylePr>
    <w:tblStylePr w:type="lastRow">
      <w:rPr>
        <w:b/>
        <w:color w:val="5c702f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93">
    <w:name w:val="Grid Table 6 Colorful - Accent 4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tcPr>
        <w:shd w:val="clear" w:color="ffffff" w:themeColor="accent4" w:themeTint="34" w:fill="e5dfec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664f82" w:themeColor="accent4" w:themeTint="9A" w:themeShade="95"/>
      </w:rPr>
    </w:tblStylePr>
    <w:tblStylePr w:type="firstRow">
      <w:rPr>
        <w:b/>
        <w:color w:val="664f82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664f82" w:themeColor="accent4" w:themeTint="9A" w:themeShade="95"/>
      </w:rPr>
    </w:tblStylePr>
    <w:tblStylePr w:type="lastRow">
      <w:rPr>
        <w:b/>
        <w:color w:val="664f82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94">
    <w:name w:val="Grid Table 6 Colorful - Accent 5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tcPr>
        <w:shd w:val="clear" w:color="ffffff" w:themeColor="accent5" w:themeTint="34" w:fill="daeef3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66777" w:themeColor="accent5" w:themeShade="95"/>
      </w:rPr>
    </w:tblStylePr>
    <w:tblStylePr w:type="firstRow">
      <w:rPr>
        <w:b/>
        <w:color w:val="266777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66777" w:themeColor="accent5" w:themeShade="95"/>
      </w:rPr>
    </w:tblStylePr>
    <w:tblStylePr w:type="lastRow">
      <w:rPr>
        <w:b/>
        <w:color w:val="266777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5">
    <w:name w:val="Grid Table 6 Colorful - Accent 6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tcPr>
        <w:shd w:val="clear" w:color="ffffff" w:themeColor="accent6" w:themeTint="34" w:fill="fde9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66777" w:themeColor="accent5" w:themeShade="95"/>
      </w:rPr>
    </w:tblStylePr>
    <w:tblStylePr w:type="firstRow">
      <w:rPr>
        <w:b/>
        <w:color w:val="266777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66777" w:themeColor="accent5" w:themeShade="95"/>
      </w:rPr>
    </w:tblStylePr>
    <w:tblStylePr w:type="lastRow">
      <w:rPr>
        <w:b/>
        <w:color w:val="266777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6">
    <w:name w:val="Grid Table 7 Colorful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</w:style>
  <w:style w:type="table" w:styleId="97">
    <w:name w:val="Grid Table 7 Colorful - Accent 1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e70a3" w:themeColor="accent1" w:themeTint="80" w:themeShade="95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tcPr>
        <w:shd w:val="clear" w:color="ffffff" w:themeColor="accent1" w:themeTint="34" w:fill="dae5f1" w:themeFill="accent1" w:themeFillTint="34"/>
      </w:tcPr>
    </w:tblStylePr>
    <w:tblStylePr w:type="band2Horz">
      <w:rPr>
        <w:rFonts w:ascii="Arial" w:hAnsi="Arial"/>
        <w:color w:val="3e70a3" w:themeColor="accent1" w:themeTint="80" w:themeShade="95"/>
        <w:sz w:val="22"/>
      </w:rPr>
    </w:tblStylePr>
    <w:tblStylePr w:type="firstCol">
      <w:rPr>
        <w:rFonts w:ascii="Arial" w:hAnsi="Arial"/>
        <w:i/>
        <w:color w:val="3e70a3" w:themeColor="accen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e70a3" w:themeColor="accen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e70a3" w:themeColor="accent1" w:themeTint="80" w:themeShade="95"/>
        <w:sz w:val="22"/>
      </w:r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e70a3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</w:style>
  <w:style w:type="table" w:styleId="98">
    <w:name w:val="Grid Table 7 Colorful - Accent 2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9c3a37" w:themeColor="accent2" w:themeTint="97" w:themeShade="95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tcPr>
        <w:shd w:val="clear" w:color="ffffff" w:themeColor="accent2" w:themeTint="32" w:fill="f2dcdb" w:themeFill="accent2" w:themeFillTint="32"/>
      </w:tcPr>
    </w:tblStylePr>
    <w:tblStylePr w:type="band2Horz">
      <w:rPr>
        <w:rFonts w:ascii="Arial" w:hAnsi="Arial"/>
        <w:color w:val="9c3a37" w:themeColor="accent2" w:themeTint="97" w:themeShade="95"/>
        <w:sz w:val="22"/>
      </w:rPr>
    </w:tblStylePr>
    <w:tblStylePr w:type="firstCol">
      <w:rPr>
        <w:rFonts w:ascii="Arial" w:hAnsi="Arial"/>
        <w:i/>
        <w:color w:val="9c3a37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c3a37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</w:style>
  <w:style w:type="table" w:styleId="99">
    <w:name w:val="Grid Table 7 Colorful - Accent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5c702f" w:themeColor="accent3" w:themeTint="FE" w:themeShade="95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tcPr>
        <w:shd w:val="clear" w:color="ffffff" w:themeColor="accent3" w:themeTint="34" w:fill="eaf0dd" w:themeFill="accent3" w:themeFillTint="34"/>
      </w:tcPr>
    </w:tblStylePr>
    <w:tblStylePr w:type="band2Horz">
      <w:rPr>
        <w:rFonts w:ascii="Arial" w:hAnsi="Arial"/>
        <w:color w:val="5c702f" w:themeColor="accent3" w:themeTint="FE" w:themeShade="95"/>
        <w:sz w:val="22"/>
      </w:rPr>
    </w:tblStylePr>
    <w:tblStylePr w:type="firstCol">
      <w:rPr>
        <w:rFonts w:ascii="Arial" w:hAnsi="Arial"/>
        <w:i/>
        <w:color w:val="5c702f" w:themeColor="accent3" w:themeTint="FE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5c702f" w:themeColor="accent3" w:themeTint="FE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5c702f" w:themeColor="accent3" w:themeTint="FE" w:themeShade="95"/>
        <w:sz w:val="22"/>
      </w:r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5c702f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</w:style>
  <w:style w:type="table" w:styleId="100">
    <w:name w:val="Grid Table 7 Colorful - Accent 4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664f82" w:themeColor="accent4" w:themeTint="9A" w:themeShade="95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tcPr>
        <w:shd w:val="clear" w:color="ffffff" w:themeColor="accent4" w:themeTint="34" w:fill="e5dfec" w:themeFill="accent4" w:themeFillTint="34"/>
      </w:tcPr>
    </w:tblStylePr>
    <w:tblStylePr w:type="band2Horz">
      <w:rPr>
        <w:rFonts w:ascii="Arial" w:hAnsi="Arial"/>
        <w:color w:val="664f82" w:themeColor="accent4" w:themeTint="9A" w:themeShade="95"/>
        <w:sz w:val="22"/>
      </w:rPr>
    </w:tblStylePr>
    <w:tblStylePr w:type="firstCol">
      <w:rPr>
        <w:rFonts w:ascii="Arial" w:hAnsi="Arial"/>
        <w:i/>
        <w:color w:val="664f82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64f82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</w:style>
  <w:style w:type="table" w:styleId="101">
    <w:name w:val="Grid Table 7 Colorful - Accent 5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66777" w:themeColor="accent5" w:themeShade="95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tcPr>
        <w:shd w:val="clear" w:color="ffffff" w:themeColor="accent5" w:themeTint="34" w:fill="daeef3" w:themeFill="accent5" w:themeFillTint="34"/>
      </w:tcPr>
    </w:tblStylePr>
    <w:tblStylePr w:type="band2Horz">
      <w:rPr>
        <w:rFonts w:ascii="Arial" w:hAnsi="Arial"/>
        <w:color w:val="266777" w:themeColor="accent5" w:themeShade="95"/>
        <w:sz w:val="22"/>
      </w:rPr>
    </w:tblStylePr>
    <w:tblStylePr w:type="firstCol">
      <w:rPr>
        <w:rFonts w:ascii="Arial" w:hAnsi="Arial"/>
        <w:i/>
        <w:color w:val="266777" w:themeColor="accent5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66777" w:themeColor="accent5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66777" w:themeColor="accent5" w:themeShade="95"/>
        <w:sz w:val="22"/>
      </w:r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66777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</w:style>
  <w:style w:type="table" w:styleId="102">
    <w:name w:val="Grid Table 7 Colorful - Accent 6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b05307" w:themeColor="accent6" w:themeShade="95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tcPr>
        <w:shd w:val="clear" w:color="ffffff" w:themeColor="accent6" w:themeTint="34" w:fill="fde9d8" w:themeFill="accent6" w:themeFillTint="34"/>
      </w:tcPr>
    </w:tblStylePr>
    <w:tblStylePr w:type="band2Horz">
      <w:rPr>
        <w:rFonts w:ascii="Arial" w:hAnsi="Arial"/>
        <w:color w:val="b05307" w:themeColor="accent6" w:themeShade="95"/>
        <w:sz w:val="22"/>
      </w:rPr>
    </w:tblStylePr>
    <w:tblStylePr w:type="firstCol">
      <w:rPr>
        <w:rFonts w:ascii="Arial" w:hAnsi="Arial"/>
        <w:i/>
        <w:color w:val="b05307" w:themeColor="accent6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b05307" w:themeColor="accent6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b05307" w:themeColor="accent6" w:themeShade="95"/>
        <w:sz w:val="22"/>
      </w:r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b05307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</w:style>
  <w:style w:type="table" w:styleId="103">
    <w:name w:val="List Table 1 Light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4">
    <w:name w:val="List Table 1 Light - Accent 1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5">
    <w:name w:val="List Table 1 Light - Accent 2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6">
    <w:name w:val="List Table 1 Light - Accent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7">
    <w:name w:val="List Table 1 Light - Accent 4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8">
    <w:name w:val="List Table 1 Light - Accent 5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9">
    <w:name w:val="List Table 1 Light - Accent 6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0">
    <w:name w:val="List Table 2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111">
    <w:name w:val="List Table 2 - Accent 1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112">
    <w:name w:val="List Table 2 - Accent 2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113">
    <w:name w:val="List Table 2 - Accent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114">
    <w:name w:val="List Table 2 - Accent 4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115">
    <w:name w:val="List Table 2 - Accent 5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116">
    <w:name w:val="List Table 2 - Accent 6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117">
    <w:name w:val="List Table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8">
    <w:name w:val="List Table 3 - Accent 1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9">
    <w:name w:val="List Table 3 - Accent 2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0">
    <w:name w:val="List Table 3 - Accent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3d69b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1">
    <w:name w:val="List Table 3 - Accent 4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2">
    <w:name w:val="List Table 3 - Accent 5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91cddc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3">
    <w:name w:val="List Table 3 - Accent 6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f9bf90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4">
    <w:name w:val="List Table 4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5">
    <w:name w:val="List Table 4 - Accent 1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6">
    <w:name w:val="List Table 4 - Accent 2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7">
    <w:name w:val="List Table 4 - Accent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8">
    <w:name w:val="List Table 4 - Accent 4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9">
    <w:name w:val="List Table 4 - Accent 5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0">
    <w:name w:val="List Table 4 - Accent 6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1">
    <w:name w:val="List Table 5 Dark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2">
    <w:name w:val="List Table 5 Dark - Accent 1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f81bd" w:themeFill="accent1"/>
    </w:tblPr>
    <w:tblStylePr w:type="band1Horz"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4f81bd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4f81bd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3">
    <w:name w:val="List Table 5 Dark - Accent 2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d99694" w:themeFill="accent2" w:themeFillTint="97"/>
    </w:tblPr>
    <w:tblStylePr w:type="band1Horz">
      <w:tcPr>
        <w:shd w:val="clear" w:color="ffffff" w:themeColor="accent2" w:themeTint="97" w:fill="d99694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d99694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d99694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d99694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4">
    <w:name w:val="List Table 5 Dark - Accent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3d69b" w:themeFill="accent3" w:themeFillTint="98"/>
    </w:tblPr>
    <w:tblStylePr w:type="band1Horz">
      <w:tcPr>
        <w:shd w:val="clear" w:color="ffffff" w:themeColor="accent3" w:themeTint="98" w:fill="c3d69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3d69b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3d69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3d69b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5">
    <w:name w:val="List Table 5 Dark - Accent 4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b2a1c6" w:themeFill="accent4" w:themeFillTint="9A"/>
    </w:tblPr>
    <w:tblStylePr w:type="band1Horz">
      <w:tcPr>
        <w:shd w:val="clear" w:color="ffffff" w:themeColor="accent4" w:themeTint="9A" w:fill="b2a1c6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b2a1c6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b2a1c6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b2a1c6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6">
    <w:name w:val="List Table 5 Dark - Accent 5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91cddc" w:themeFill="accent5" w:themeFillTint="9A"/>
    </w:tblPr>
    <w:tblStylePr w:type="band1Horz">
      <w:tcPr>
        <w:shd w:val="clear" w:color="ffffff" w:themeColor="accent5" w:themeTint="9A" w:fill="91cdd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91cddc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91cdd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91cddc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7">
    <w:name w:val="List Table 5 Dark - Accent 6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f9bf90" w:themeFill="accent6" w:themeFillTint="98"/>
    </w:tblPr>
    <w:tblStylePr w:type="band1Horz">
      <w:tcPr>
        <w:shd w:val="clear" w:color="ffffff" w:themeColor="accent6" w:themeTint="98" w:fill="f9bf90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f9bf90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f9bf90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f9bf90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8">
    <w:name w:val="List Table 6 Colorful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139">
    <w:name w:val="List Table 6 Colorful - Accent 1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a4b71" w:themeColor="accent1" w:themeShade="95"/>
      </w:rPr>
    </w:tblStylePr>
    <w:tblStylePr w:type="firstRow">
      <w:rPr>
        <w:b/>
        <w:color w:val="2a4b71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a4b71" w:themeColor="accent1" w:themeShade="95"/>
      </w:rPr>
    </w:tblStylePr>
    <w:tblStylePr w:type="lastRow">
      <w:rPr>
        <w:b/>
        <w:color w:val="2a4b71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140">
    <w:name w:val="List Table 6 Colorful - Accent 2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9c3a37" w:themeColor="accent2" w:themeTint="97" w:themeShade="95"/>
      </w:rPr>
    </w:tblStylePr>
    <w:tblStylePr w:type="firstRow">
      <w:rPr>
        <w:b/>
        <w:color w:val="9c3a37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9c3a37" w:themeColor="accent2" w:themeTint="97" w:themeShade="95"/>
      </w:rPr>
    </w:tblStylePr>
    <w:tblStylePr w:type="lastRow">
      <w:rPr>
        <w:b/>
        <w:color w:val="9c3a37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141">
    <w:name w:val="List Table 6 Colorful - Accent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c983f" w:themeColor="accent3" w:themeTint="98" w:themeShade="95"/>
      </w:rPr>
    </w:tblStylePr>
    <w:tblStylePr w:type="firstRow">
      <w:rPr>
        <w:b/>
        <w:color w:val="7c983f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c983f" w:themeColor="accent3" w:themeTint="98" w:themeShade="95"/>
      </w:rPr>
    </w:tblStylePr>
    <w:tblStylePr w:type="lastRow">
      <w:rPr>
        <w:b/>
        <w:color w:val="7c983f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142">
    <w:name w:val="List Table 6 Colorful - Accent 4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664f82" w:themeColor="accent4" w:themeTint="9A" w:themeShade="95"/>
      </w:rPr>
    </w:tblStylePr>
    <w:tblStylePr w:type="firstRow">
      <w:rPr>
        <w:b/>
        <w:color w:val="664f82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664f82" w:themeColor="accent4" w:themeTint="9A" w:themeShade="95"/>
      </w:rPr>
    </w:tblStylePr>
    <w:tblStylePr w:type="lastRow">
      <w:rPr>
        <w:b/>
        <w:color w:val="664f82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143">
    <w:name w:val="List Table 6 Colorful - Accent 5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8aa0" w:themeColor="accent5" w:themeTint="9A" w:themeShade="95"/>
      </w:rPr>
    </w:tblStylePr>
    <w:tblStylePr w:type="firstRow">
      <w:rPr>
        <w:b/>
        <w:color w:val="338aa0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8aa0" w:themeColor="accent5" w:themeTint="9A" w:themeShade="95"/>
      </w:rPr>
    </w:tblStylePr>
    <w:tblStylePr w:type="lastRow">
      <w:rPr>
        <w:b/>
        <w:color w:val="338aa0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144">
    <w:name w:val="List Table 6 Colorful - Accent 6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d9680c" w:themeColor="accent6" w:themeTint="98" w:themeShade="95"/>
      </w:rPr>
    </w:tblStylePr>
    <w:tblStylePr w:type="firstRow">
      <w:rPr>
        <w:b/>
        <w:color w:val="d9680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d9680c" w:themeColor="accent6" w:themeTint="98" w:themeShade="95"/>
      </w:rPr>
    </w:tblStylePr>
    <w:tblStylePr w:type="lastRow">
      <w:rPr>
        <w:b/>
        <w:color w:val="d9680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145">
    <w:name w:val="List Table 7 Colorful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146">
    <w:name w:val="List Table 7 Colorful - Accent 1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a4b71" w:themeColor="accent1" w:themeShade="95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band2Horz">
      <w:rPr>
        <w:rFonts w:ascii="Arial" w:hAnsi="Arial"/>
        <w:color w:val="2a4b71" w:themeColor="accent1" w:themeShade="95"/>
        <w:sz w:val="22"/>
      </w:rPr>
    </w:tblStylePr>
    <w:tblStylePr w:type="firstCol">
      <w:rPr>
        <w:rFonts w:ascii="Arial" w:hAnsi="Arial"/>
        <w:i/>
        <w:color w:val="2a4b71" w:themeColor="accent1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a4b71" w:themeColor="accent1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a4b71" w:themeColor="accent1" w:themeShade="95"/>
        <w:sz w:val="22"/>
      </w:r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a4b71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2a4b71" w:themeColor="accent1" w:themeShade="95"/>
        <w:sz w:val="22"/>
      </w:rPr>
    </w:tblStylePr>
  </w:style>
  <w:style w:type="table" w:styleId="147">
    <w:name w:val="List Table 7 Colorful - Accent 2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9c3a37" w:themeColor="accent2" w:themeTint="97" w:themeShade="95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band2Horz">
      <w:rPr>
        <w:rFonts w:ascii="Arial" w:hAnsi="Arial"/>
        <w:color w:val="9c3a37" w:themeColor="accent2" w:themeTint="97" w:themeShade="95"/>
        <w:sz w:val="22"/>
      </w:rPr>
    </w:tblStylePr>
    <w:tblStylePr w:type="firstCol">
      <w:rPr>
        <w:rFonts w:ascii="Arial" w:hAnsi="Arial"/>
        <w:i/>
        <w:color w:val="9c3a37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c3a37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9c3a37" w:themeColor="accent2" w:themeTint="97" w:themeShade="95"/>
        <w:sz w:val="22"/>
      </w:rPr>
    </w:tblStylePr>
  </w:style>
  <w:style w:type="table" w:styleId="148">
    <w:name w:val="List Table 7 Colorful - Accent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c983f" w:themeColor="accent3" w:themeTint="98" w:themeShade="95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band2Horz">
      <w:rPr>
        <w:rFonts w:ascii="Arial" w:hAnsi="Arial"/>
        <w:color w:val="7c983f" w:themeColor="accent3" w:themeTint="98" w:themeShade="95"/>
        <w:sz w:val="22"/>
      </w:rPr>
    </w:tblStylePr>
    <w:tblStylePr w:type="firstCol">
      <w:rPr>
        <w:rFonts w:ascii="Arial" w:hAnsi="Arial"/>
        <w:i/>
        <w:color w:val="7c983f" w:themeColor="accent3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c983f" w:themeColor="accent3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c983f" w:themeColor="accent3" w:themeTint="98" w:themeShade="95"/>
        <w:sz w:val="22"/>
      </w:r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c983f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7c983f" w:themeColor="accent3" w:themeTint="98" w:themeShade="95"/>
        <w:sz w:val="22"/>
      </w:rPr>
    </w:tblStylePr>
  </w:style>
  <w:style w:type="table" w:styleId="149">
    <w:name w:val="List Table 7 Colorful - Accent 4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664f82" w:themeColor="accent4" w:themeTint="9A" w:themeShade="95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band2Horz">
      <w:rPr>
        <w:rFonts w:ascii="Arial" w:hAnsi="Arial"/>
        <w:color w:val="664f82" w:themeColor="accent4" w:themeTint="9A" w:themeShade="95"/>
        <w:sz w:val="22"/>
      </w:rPr>
    </w:tblStylePr>
    <w:tblStylePr w:type="firstCol">
      <w:rPr>
        <w:rFonts w:ascii="Arial" w:hAnsi="Arial"/>
        <w:i/>
        <w:color w:val="664f82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64f82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664f82" w:themeColor="accent4" w:themeTint="9A" w:themeShade="95"/>
        <w:sz w:val="22"/>
      </w:rPr>
    </w:tblStylePr>
  </w:style>
  <w:style w:type="table" w:styleId="150">
    <w:name w:val="List Table 7 Colorful - Accent 5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8aa0" w:themeColor="accent5" w:themeTint="9A" w:themeShade="95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band2Horz">
      <w:rPr>
        <w:rFonts w:ascii="Arial" w:hAnsi="Arial"/>
        <w:color w:val="338aa0" w:themeColor="accent5" w:themeTint="9A" w:themeShade="95"/>
        <w:sz w:val="22"/>
      </w:rPr>
    </w:tblStylePr>
    <w:tblStylePr w:type="firstCol">
      <w:rPr>
        <w:rFonts w:ascii="Arial" w:hAnsi="Arial"/>
        <w:i/>
        <w:color w:val="338aa0" w:themeColor="accent5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8aa0" w:themeColor="accent5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38aa0" w:themeColor="accent5" w:themeTint="9A" w:themeShade="95"/>
        <w:sz w:val="22"/>
      </w:r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38aa0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338aa0" w:themeColor="accent5" w:themeTint="9A" w:themeShade="95"/>
        <w:sz w:val="22"/>
      </w:rPr>
    </w:tblStylePr>
  </w:style>
  <w:style w:type="table" w:styleId="151">
    <w:name w:val="List Table 7 Colorful - Accent 6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d9680c" w:themeColor="accent6" w:themeTint="98" w:themeShade="95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band2Horz">
      <w:rPr>
        <w:rFonts w:ascii="Arial" w:hAnsi="Arial"/>
        <w:color w:val="d9680c" w:themeColor="accent6" w:themeTint="98" w:themeShade="95"/>
        <w:sz w:val="22"/>
      </w:rPr>
    </w:tblStylePr>
    <w:tblStylePr w:type="firstCol">
      <w:rPr>
        <w:rFonts w:ascii="Arial" w:hAnsi="Arial"/>
        <w:i/>
        <w:color w:val="d9680c" w:themeColor="accent6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d9680c" w:themeColor="accent6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d9680c" w:themeColor="accent6" w:themeTint="98" w:themeShade="95"/>
        <w:sz w:val="22"/>
      </w:r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d9680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d9680c" w:themeColor="accent6" w:themeTint="98" w:themeShade="95"/>
        <w:sz w:val="22"/>
      </w:rPr>
    </w:tblStylePr>
  </w:style>
  <w:style w:type="table" w:styleId="152">
    <w:name w:val="Lined - Accent"/>
    <w:basedOn w:val="122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3">
    <w:name w:val="Lined - Accent 1"/>
    <w:basedOn w:val="122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</w:style>
  <w:style w:type="table" w:styleId="154">
    <w:name w:val="Lined - Accent 2"/>
    <w:basedOn w:val="122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</w:style>
  <w:style w:type="table" w:styleId="155">
    <w:name w:val="Lined - Accent 3"/>
    <w:basedOn w:val="122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</w:style>
  <w:style w:type="table" w:styleId="156">
    <w:name w:val="Lined - Accent 4"/>
    <w:basedOn w:val="122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</w:style>
  <w:style w:type="table" w:styleId="157">
    <w:name w:val="Lined - Accent 5"/>
    <w:basedOn w:val="122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</w:style>
  <w:style w:type="table" w:styleId="158">
    <w:name w:val="Lined - Accent 6"/>
    <w:basedOn w:val="122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</w:style>
  <w:style w:type="table" w:styleId="159">
    <w:name w:val="Bordered &amp; Lined - Accent"/>
    <w:basedOn w:val="122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60">
    <w:name w:val="Bordered &amp; Lined - Accent 1"/>
    <w:basedOn w:val="122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</w:style>
  <w:style w:type="table" w:styleId="161">
    <w:name w:val="Bordered &amp; Lined - Accent 2"/>
    <w:basedOn w:val="122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</w:style>
  <w:style w:type="table" w:styleId="162">
    <w:name w:val="Bordered &amp; Lined - Accent 3"/>
    <w:basedOn w:val="122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</w:style>
  <w:style w:type="table" w:styleId="163">
    <w:name w:val="Bordered &amp; Lined - Accent 4"/>
    <w:basedOn w:val="122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</w:style>
  <w:style w:type="table" w:styleId="164">
    <w:name w:val="Bordered &amp; Lined - Accent 5"/>
    <w:basedOn w:val="122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</w:style>
  <w:style w:type="table" w:styleId="165">
    <w:name w:val="Bordered &amp; Lined - Accent 6"/>
    <w:basedOn w:val="122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</w:style>
  <w:style w:type="table" w:styleId="166">
    <w:name w:val="Bordered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167">
    <w:name w:val="Bordered - Accent 1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168">
    <w:name w:val="Bordered - Accent 2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169">
    <w:name w:val="Bordered - Accent 3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170">
    <w:name w:val="Bordered - Accent 4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171">
    <w:name w:val="Bordered - Accent 5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172">
    <w:name w:val="Bordered - Accent 6"/>
    <w:basedOn w:val="122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173">
    <w:name w:val="Hyperlink"/>
    <w:uiPriority w:val="99"/>
    <w:unhideWhenUsed/>
    <w:rPr>
      <w:color w:val="0000ff" w:themeColor="hyperlink"/>
      <w:u w:val="single"/>
    </w:rPr>
  </w:style>
  <w:style w:type="paragraph" w:styleId="174">
    <w:name w:val="footnote text"/>
    <w:basedOn w:val="1216"/>
    <w:link w:val="175"/>
    <w:uiPriority w:val="99"/>
    <w:semiHidden/>
    <w:unhideWhenUsed/>
    <w:pPr>
      <w:spacing w:after="40" w:line="240" w:lineRule="auto"/>
    </w:pPr>
    <w:rPr>
      <w:sz w:val="18"/>
    </w:rPr>
  </w:style>
  <w:style w:type="character" w:styleId="175">
    <w:name w:val="Footnote Text Char"/>
    <w:link w:val="174"/>
    <w:uiPriority w:val="99"/>
    <w:rPr>
      <w:sz w:val="18"/>
    </w:rPr>
  </w:style>
  <w:style w:type="paragraph" w:styleId="177">
    <w:name w:val="endnote text"/>
    <w:basedOn w:val="1216"/>
    <w:link w:val="178"/>
    <w:uiPriority w:val="99"/>
    <w:semiHidden/>
    <w:unhideWhenUsed/>
    <w:pPr>
      <w:spacing w:after="0" w:line="240" w:lineRule="auto"/>
    </w:pPr>
    <w:rPr>
      <w:sz w:val="20"/>
    </w:rPr>
  </w:style>
  <w:style w:type="character" w:styleId="178">
    <w:name w:val="Endnote Text Char"/>
    <w:link w:val="177"/>
    <w:uiPriority w:val="99"/>
    <w:rPr>
      <w:sz w:val="20"/>
    </w:rPr>
  </w:style>
  <w:style w:type="character" w:styleId="179">
    <w:name w:val="endnote reference"/>
    <w:basedOn w:val="1221"/>
    <w:uiPriority w:val="99"/>
    <w:semiHidden/>
    <w:unhideWhenUsed/>
    <w:rPr>
      <w:vertAlign w:val="superscript"/>
    </w:rPr>
  </w:style>
  <w:style w:type="paragraph" w:styleId="180">
    <w:name w:val="toc 1"/>
    <w:basedOn w:val="1216"/>
    <w:next w:val="1216"/>
    <w:uiPriority w:val="39"/>
    <w:unhideWhenUsed/>
    <w:pPr>
      <w:ind w:left="0" w:right="0" w:firstLine="0"/>
      <w:spacing w:after="57"/>
    </w:pPr>
  </w:style>
  <w:style w:type="paragraph" w:styleId="181">
    <w:name w:val="toc 2"/>
    <w:basedOn w:val="1216"/>
    <w:next w:val="1216"/>
    <w:uiPriority w:val="39"/>
    <w:unhideWhenUsed/>
    <w:pPr>
      <w:ind w:left="283" w:right="0" w:firstLine="0"/>
      <w:spacing w:after="57"/>
    </w:pPr>
  </w:style>
  <w:style w:type="paragraph" w:styleId="182">
    <w:name w:val="toc 3"/>
    <w:basedOn w:val="1216"/>
    <w:next w:val="1216"/>
    <w:uiPriority w:val="39"/>
    <w:unhideWhenUsed/>
    <w:pPr>
      <w:ind w:left="567" w:right="0" w:firstLine="0"/>
      <w:spacing w:after="57"/>
    </w:pPr>
  </w:style>
  <w:style w:type="paragraph" w:styleId="183">
    <w:name w:val="toc 4"/>
    <w:basedOn w:val="1216"/>
    <w:next w:val="1216"/>
    <w:uiPriority w:val="39"/>
    <w:unhideWhenUsed/>
    <w:pPr>
      <w:ind w:left="850" w:right="0" w:firstLine="0"/>
      <w:spacing w:after="57"/>
    </w:pPr>
  </w:style>
  <w:style w:type="paragraph" w:styleId="184">
    <w:name w:val="toc 5"/>
    <w:basedOn w:val="1216"/>
    <w:next w:val="1216"/>
    <w:uiPriority w:val="39"/>
    <w:unhideWhenUsed/>
    <w:pPr>
      <w:ind w:left="1134" w:right="0" w:firstLine="0"/>
      <w:spacing w:after="57"/>
    </w:pPr>
  </w:style>
  <w:style w:type="paragraph" w:styleId="185">
    <w:name w:val="toc 6"/>
    <w:basedOn w:val="1216"/>
    <w:next w:val="1216"/>
    <w:uiPriority w:val="39"/>
    <w:unhideWhenUsed/>
    <w:pPr>
      <w:ind w:left="1417" w:right="0" w:firstLine="0"/>
      <w:spacing w:after="57"/>
    </w:pPr>
  </w:style>
  <w:style w:type="paragraph" w:styleId="186">
    <w:name w:val="toc 7"/>
    <w:basedOn w:val="1216"/>
    <w:next w:val="1216"/>
    <w:uiPriority w:val="39"/>
    <w:unhideWhenUsed/>
    <w:pPr>
      <w:ind w:left="1701" w:right="0" w:firstLine="0"/>
      <w:spacing w:after="57"/>
    </w:pPr>
  </w:style>
  <w:style w:type="paragraph" w:styleId="187">
    <w:name w:val="toc 8"/>
    <w:basedOn w:val="1216"/>
    <w:next w:val="1216"/>
    <w:uiPriority w:val="39"/>
    <w:unhideWhenUsed/>
    <w:pPr>
      <w:ind w:left="1984" w:right="0" w:firstLine="0"/>
      <w:spacing w:after="57"/>
    </w:pPr>
  </w:style>
  <w:style w:type="paragraph" w:styleId="188">
    <w:name w:val="toc 9"/>
    <w:basedOn w:val="1216"/>
    <w:next w:val="1216"/>
    <w:uiPriority w:val="39"/>
    <w:unhideWhenUsed/>
    <w:pPr>
      <w:ind w:left="2268" w:right="0" w:firstLine="0"/>
      <w:spacing w:after="57"/>
    </w:pPr>
  </w:style>
  <w:style w:type="paragraph" w:styleId="189">
    <w:name w:val="TOC Heading"/>
    <w:uiPriority w:val="39"/>
    <w:unhideWhenUsed/>
  </w:style>
  <w:style w:type="paragraph" w:styleId="190">
    <w:name w:val="table of figures"/>
    <w:basedOn w:val="1216"/>
    <w:next w:val="1216"/>
    <w:uiPriority w:val="99"/>
    <w:unhideWhenUsed/>
    <w:pPr>
      <w:spacing w:after="0" w:afterAutospacing="0"/>
    </w:pPr>
  </w:style>
  <w:style w:type="paragraph" w:styleId="1216" w:default="1">
    <w:name w:val="Normal"/>
    <w:qFormat/>
    <w:pPr>
      <w:spacing w:after="0" w:line="240" w:lineRule="auto"/>
    </w:pPr>
    <w:rPr>
      <w:rFonts w:ascii="Times New Roman" w:hAnsi="Times New Roman" w:eastAsia="Times New Roman" w:cs="Times New Roman"/>
      <w:sz w:val="20"/>
      <w:szCs w:val="20"/>
    </w:rPr>
  </w:style>
  <w:style w:type="paragraph" w:styleId="1217">
    <w:name w:val="Heading 1"/>
    <w:basedOn w:val="1216"/>
    <w:next w:val="1216"/>
    <w:link w:val="1229"/>
    <w:qFormat/>
    <w:pPr>
      <w:numPr>
        <w:numId w:val="1"/>
      </w:numPr>
      <w:keepNext/>
      <w:outlineLvl w:val="0"/>
    </w:pPr>
    <w:rPr>
      <w:b/>
      <w:caps/>
      <w:sz w:val="18"/>
    </w:rPr>
  </w:style>
  <w:style w:type="paragraph" w:styleId="1218">
    <w:name w:val="Heading 2"/>
    <w:basedOn w:val="1216"/>
    <w:next w:val="1216"/>
    <w:link w:val="1230"/>
    <w:qFormat/>
    <w:pPr>
      <w:keepNext/>
      <w:outlineLvl w:val="1"/>
    </w:pPr>
    <w:rPr>
      <w:b/>
      <w:sz w:val="18"/>
    </w:rPr>
  </w:style>
  <w:style w:type="paragraph" w:styleId="1219">
    <w:name w:val="Heading 6"/>
    <w:basedOn w:val="1216"/>
    <w:next w:val="1216"/>
    <w:link w:val="1231"/>
    <w:qFormat/>
    <w:pPr>
      <w:keepNext/>
      <w:outlineLvl w:val="5"/>
    </w:pPr>
    <w:rPr>
      <w:b/>
      <w:caps/>
      <w:sz w:val="32"/>
    </w:rPr>
  </w:style>
  <w:style w:type="paragraph" w:styleId="1220">
    <w:name w:val="Heading 9"/>
    <w:basedOn w:val="1216"/>
    <w:next w:val="1216"/>
    <w:link w:val="1242"/>
    <w:uiPriority w:val="9"/>
    <w:semiHidden/>
    <w:unhideWhenUsed/>
    <w:qFormat/>
    <w:pPr>
      <w:keepLines/>
      <w:keepNext/>
      <w:spacing w:before="200"/>
      <w:outlineLvl w:val="8"/>
    </w:pPr>
    <w:rPr>
      <w:rFonts w:asciiTheme="majorHAnsi" w:hAnsiTheme="majorHAnsi" w:eastAsiaTheme="majorEastAsia" w:cstheme="majorBidi"/>
      <w:i/>
      <w:iCs/>
      <w:color w:val="404040" w:themeColor="text1" w:themeTint="BF"/>
    </w:rPr>
  </w:style>
  <w:style w:type="character" w:styleId="1221" w:default="1">
    <w:name w:val="Default Paragraph Font"/>
    <w:uiPriority w:val="1"/>
    <w:semiHidden/>
    <w:unhideWhenUsed/>
  </w:style>
  <w:style w:type="table" w:styleId="1222" w:default="1">
    <w:name w:val="Normal Table"/>
    <w:uiPriority w:val="99"/>
    <w:semiHidden/>
    <w:unhideWhenUsed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1223" w:default="1">
    <w:name w:val="No List"/>
    <w:uiPriority w:val="99"/>
    <w:semiHidden/>
    <w:unhideWhenUsed/>
  </w:style>
  <w:style w:type="paragraph" w:styleId="1224">
    <w:name w:val="Header"/>
    <w:basedOn w:val="1216"/>
    <w:link w:val="1225"/>
    <w:uiPriority w:val="99"/>
    <w:unhideWhenUsed/>
    <w:pPr>
      <w:tabs>
        <w:tab w:val="center" w:pos="4536" w:leader="none"/>
        <w:tab w:val="right" w:pos="9072" w:leader="none"/>
      </w:tabs>
    </w:pPr>
  </w:style>
  <w:style w:type="character" w:styleId="1225" w:customStyle="1">
    <w:name w:val="Hlavička Char"/>
    <w:basedOn w:val="1221"/>
    <w:link w:val="1224"/>
    <w:uiPriority w:val="99"/>
  </w:style>
  <w:style w:type="paragraph" w:styleId="1226">
    <w:name w:val="Footer"/>
    <w:basedOn w:val="1216"/>
    <w:link w:val="1227"/>
    <w:uiPriority w:val="99"/>
    <w:unhideWhenUsed/>
    <w:pPr>
      <w:tabs>
        <w:tab w:val="center" w:pos="4536" w:leader="none"/>
        <w:tab w:val="right" w:pos="9072" w:leader="none"/>
      </w:tabs>
    </w:pPr>
  </w:style>
  <w:style w:type="character" w:styleId="1227" w:customStyle="1">
    <w:name w:val="Päta Char"/>
    <w:basedOn w:val="1221"/>
    <w:link w:val="1226"/>
    <w:uiPriority w:val="99"/>
  </w:style>
  <w:style w:type="character" w:styleId="1228">
    <w:name w:val="page number"/>
    <w:basedOn w:val="1221"/>
    <w:rPr>
      <w:rFonts w:cs="Times New Roman"/>
    </w:rPr>
  </w:style>
  <w:style w:type="character" w:styleId="1229" w:customStyle="1">
    <w:name w:val="Nadpis 1 Char"/>
    <w:basedOn w:val="1221"/>
    <w:link w:val="1217"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1230" w:customStyle="1">
    <w:name w:val="Nadpis 2 Char"/>
    <w:basedOn w:val="1221"/>
    <w:link w:val="1218"/>
    <w:rPr>
      <w:rFonts w:ascii="Times New Roman" w:hAnsi="Times New Roman" w:eastAsia="Times New Roman" w:cs="Times New Roman"/>
      <w:b/>
      <w:sz w:val="18"/>
      <w:szCs w:val="20"/>
    </w:rPr>
  </w:style>
  <w:style w:type="character" w:styleId="1231" w:customStyle="1">
    <w:name w:val="Nadpis 6 Char"/>
    <w:basedOn w:val="1221"/>
    <w:link w:val="1219"/>
    <w:rPr>
      <w:rFonts w:ascii="Times New Roman" w:hAnsi="Times New Roman" w:eastAsia="Times New Roman" w:cs="Times New Roman"/>
      <w:b/>
      <w:caps/>
      <w:sz w:val="32"/>
      <w:szCs w:val="20"/>
    </w:rPr>
  </w:style>
  <w:style w:type="paragraph" w:styleId="1232">
    <w:name w:val="Body Text"/>
    <w:basedOn w:val="1216"/>
    <w:link w:val="1233"/>
    <w:pPr>
      <w:ind w:left="426"/>
      <w:jc w:val="both"/>
    </w:pPr>
    <w:rPr>
      <w:sz w:val="18"/>
    </w:rPr>
  </w:style>
  <w:style w:type="character" w:styleId="1233" w:customStyle="1">
    <w:name w:val="Základný text Char"/>
    <w:basedOn w:val="1221"/>
    <w:link w:val="1232"/>
    <w:rPr>
      <w:rFonts w:ascii="Times New Roman" w:hAnsi="Times New Roman" w:eastAsia="Times New Roman" w:cs="Times New Roman"/>
      <w:sz w:val="18"/>
      <w:szCs w:val="20"/>
    </w:rPr>
  </w:style>
  <w:style w:type="paragraph" w:styleId="1234" w:customStyle="1">
    <w:name w:val="Uvod"/>
    <w:basedOn w:val="1216"/>
    <w:pPr>
      <w:ind w:left="284" w:hanging="284"/>
      <w:jc w:val="both"/>
    </w:pPr>
    <w:rPr>
      <w:sz w:val="22"/>
    </w:rPr>
  </w:style>
  <w:style w:type="character" w:styleId="1235">
    <w:name w:val="footnote reference"/>
    <w:basedOn w:val="1221"/>
    <w:semiHidden/>
    <w:rPr>
      <w:rFonts w:cs="Times New Roman"/>
      <w:position w:val="6"/>
      <w:sz w:val="16"/>
      <w:szCs w:val="16"/>
    </w:rPr>
  </w:style>
  <w:style w:type="paragraph" w:styleId="1236" w:customStyle="1">
    <w:name w:val="lit_a"/>
    <w:basedOn w:val="1216"/>
    <w:pPr>
      <w:ind w:left="624" w:hanging="340"/>
      <w:jc w:val="both"/>
      <w:spacing w:after="20"/>
    </w:pPr>
    <w:rPr>
      <w:rFonts w:ascii="Times" w:hAnsi="Times"/>
      <w:lang w:val="en-US"/>
    </w:rPr>
  </w:style>
  <w:style w:type="paragraph" w:styleId="1237" w:customStyle="1">
    <w:name w:val="zif"/>
    <w:basedOn w:val="1216"/>
    <w:link w:val="1238"/>
    <w:pPr>
      <w:jc w:val="both"/>
      <w:spacing w:after="80"/>
      <w:tabs>
        <w:tab w:val="left" w:pos="620" w:leader="none"/>
      </w:tabs>
    </w:pPr>
    <w:rPr>
      <w:rFonts w:ascii="Times" w:hAnsi="Times"/>
      <w:lang w:val="en-US"/>
    </w:rPr>
  </w:style>
  <w:style w:type="character" w:styleId="1238" w:customStyle="1">
    <w:name w:val="zif Char"/>
    <w:basedOn w:val="1221"/>
    <w:link w:val="1237"/>
    <w:rPr>
      <w:rFonts w:ascii="Times" w:hAnsi="Times" w:eastAsia="Times New Roman" w:cs="Times New Roman"/>
      <w:sz w:val="20"/>
      <w:szCs w:val="20"/>
      <w:lang w:val="en-US"/>
    </w:rPr>
  </w:style>
  <w:style w:type="paragraph" w:styleId="1239">
    <w:name w:val="List Paragraph"/>
    <w:basedOn w:val="1216"/>
    <w:qFormat/>
    <w:pPr>
      <w:ind w:left="708"/>
    </w:pPr>
  </w:style>
  <w:style w:type="paragraph" w:styleId="1240" w:customStyle="1">
    <w:name w:val="Tabulka"/>
    <w:basedOn w:val="1216"/>
    <w:rPr>
      <w:color w:val="000000"/>
      <w:sz w:val="18"/>
    </w:rPr>
  </w:style>
  <w:style w:type="paragraph" w:styleId="1241" w:customStyle="1">
    <w:name w:val="Pismenka"/>
    <w:basedOn w:val="1232"/>
    <w:pPr>
      <w:numPr>
        <w:numId w:val="3"/>
      </w:numPr>
    </w:pPr>
    <w:rPr>
      <w:b/>
    </w:rPr>
  </w:style>
  <w:style w:type="character" w:styleId="1242" w:customStyle="1">
    <w:name w:val="Nadpis 9 Char"/>
    <w:basedOn w:val="1221"/>
    <w:link w:val="1220"/>
    <w:semiHidden/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</w:rPr>
  </w:style>
  <w:style w:type="paragraph" w:styleId="1243">
    <w:name w:val="Balloon Text"/>
    <w:basedOn w:val="1216"/>
    <w:link w:val="1244"/>
    <w:uiPriority w:val="99"/>
    <w:semiHidden/>
    <w:unhideWhenUsed/>
    <w:rPr>
      <w:rFonts w:ascii="Tahoma" w:hAnsi="Tahoma" w:cs="Tahoma"/>
      <w:sz w:val="16"/>
      <w:szCs w:val="16"/>
    </w:rPr>
  </w:style>
  <w:style w:type="character" w:styleId="1244" w:customStyle="1">
    <w:name w:val="Text bubliny Char"/>
    <w:basedOn w:val="1221"/>
    <w:link w:val="1243"/>
    <w:uiPriority w:val="99"/>
    <w:semiHidden/>
    <w:rPr>
      <w:rFonts w:ascii="Tahoma" w:hAnsi="Tahoma" w:eastAsia="Times New Roman" w:cs="Tahoma"/>
      <w:sz w:val="16"/>
      <w:szCs w:val="16"/>
    </w:rPr>
  </w:style>
  <w:style w:type="paragraph" w:styleId="1245">
    <w:name w:val="Body Text 2"/>
    <w:basedOn w:val="1216"/>
    <w:link w:val="1246"/>
    <w:uiPriority w:val="99"/>
    <w:semiHidden/>
    <w:unhideWhenUsed/>
    <w:pPr>
      <w:spacing w:after="120" w:line="480" w:lineRule="auto"/>
    </w:pPr>
  </w:style>
  <w:style w:type="character" w:styleId="1246" w:customStyle="1">
    <w:name w:val="Základný text 2 Char"/>
    <w:basedOn w:val="1221"/>
    <w:link w:val="1245"/>
    <w:uiPriority w:val="99"/>
    <w:semiHidden/>
    <w:rPr>
      <w:rFonts w:ascii="Times New Roman" w:hAnsi="Times New Roman" w:eastAsia="Times New Roman" w:cs="Times New Roman"/>
      <w:sz w:val="20"/>
      <w:szCs w:val="20"/>
    </w:rPr>
  </w:style>
  <w:style w:type="table" w:styleId="1247">
    <w:name w:val="Table Grid"/>
    <w:basedOn w:val="1222"/>
    <w:pPr>
      <w:spacing w:after="0" w:line="240" w:lineRule="auto"/>
    </w:pPr>
    <w:rPr>
      <w:rFonts w:ascii="Times New Roman" w:hAnsi="Times New Roman" w:eastAsia="Times New Roman" w:cs="Times New Roman"/>
      <w:sz w:val="20"/>
      <w:szCs w:val="20"/>
      <w:lang w:eastAsia="sk-SK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1248" w:customStyle="1">
    <w:name w:val="ra"/>
    <w:basedOn w:val="1221"/>
  </w:style>
  <w:style w:type="paragraph" w:styleId="1249" w:customStyle="1">
    <w:name w:val="Accounting Policy"/>
    <w:basedOn w:val="1216"/>
    <w:link w:val="1250"/>
    <w:uiPriority w:val="99"/>
    <w:pPr>
      <w:spacing w:line="260" w:lineRule="atLeast"/>
      <w:tabs>
        <w:tab w:val="left" w:pos="1531" w:leader="none"/>
        <w:tab w:val="left" w:pos="1871" w:leader="none"/>
      </w:tabs>
    </w:pPr>
    <w:rPr>
      <w:rFonts w:ascii="Univers 45 Light" w:hAnsi="Univers 45 Light" w:cs="Univers 45 Light"/>
      <w:color w:val="000000"/>
      <w:lang w:val="en-NZ" w:eastAsia="en-NZ"/>
    </w:rPr>
  </w:style>
  <w:style w:type="character" w:styleId="1250" w:customStyle="1">
    <w:name w:val="Accounting Policy Char"/>
    <w:basedOn w:val="1221"/>
    <w:link w:val="1249"/>
    <w:uiPriority w:val="99"/>
    <w:rPr>
      <w:rFonts w:ascii="Univers 45 Light" w:hAnsi="Univers 45 Light" w:eastAsia="Times New Roman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Relationship Id="rId9" Type="http://schemas.openxmlformats.org/officeDocument/2006/relationships/header" Target="header1.xml" /><Relationship Id="rId10" Type="http://schemas.openxmlformats.org/officeDocument/2006/relationships/header" Target="header2.xml" /><Relationship Id="rId11" Type="http://schemas.openxmlformats.org/officeDocument/2006/relationships/footer" Target="footer1.xml" /><Relationship Id="rId12" Type="http://schemas.openxmlformats.org/officeDocument/2006/relationships/footer" Target="footer2.xml" /><Relationship Id="rId13" Type="http://schemas.openxmlformats.org/officeDocument/2006/relationships/customXml" Target="../customXml/item1.xml" /><Relationship Id="rId14" Type="http://schemas.openxmlformats.org/officeDocument/2006/relationships/image" Target="media/image1.png"/><Relationship Id="rId15" Type="http://schemas.openxmlformats.org/officeDocument/2006/relationships/package" Target="embeddings/Microsoft_Excel_Worksheet1.xlsx"/></Relationships>
</file>

<file path=word/_rels/endnotes.xml.rels><?xml version="1.0" encoding="UTF-8" standalone="yes"?><Relationships xmlns="http://schemas.openxmlformats.org/package/2006/relationships"></Relationships>
</file>

<file path=word/_rels/footer1.xml.rels><?xml version="1.0" encoding="UTF-8" standalone="yes"?><Relationships xmlns="http://schemas.openxmlformats.org/package/2006/relationships"></Relationships>
</file>

<file path=word/_rels/footer2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_rels/header1.xml.rels><?xml version="1.0" encoding="UTF-8" standalone="yes"?><Relationships xmlns="http://schemas.openxmlformats.org/package/2006/relationships"></Relationships>
</file>

<file path=word/_rels/header2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B6CA46-E1CB-4851-AA91-2C4D00179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Application>ONLYOFFICE/7.2.1.36</Application>
  <Company>KPMG</Company>
  <DocSecurity>0</DocSecurity>
  <HyperlinksChanged>false</HyperlinksChanged>
  <LinksUpToDate>false</LinksUpToDate>
  <ScaleCrop>false</ScaleCrop>
  <SharedDoc>false</SharedDoc>
  <Template>Normal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revision>5</cp:revision>
  <dcterms:created xsi:type="dcterms:W3CDTF">2021-03-29T12:31:00Z</dcterms:created>
  <dcterms:modified xsi:type="dcterms:W3CDTF">2023-03-27T13:53:04Z</dcterms:modified>
</cp:coreProperties>
</file>