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B69108" w14:textId="77777777" w:rsidR="00C81150" w:rsidRPr="002101E6" w:rsidRDefault="00C81150" w:rsidP="00C81150">
      <w:pPr>
        <w:rPr>
          <w:u w:val="single"/>
        </w:rPr>
      </w:pPr>
      <w:r w:rsidRPr="002101E6">
        <w:rPr>
          <w:u w:val="single"/>
        </w:rPr>
        <w:t>Poznámka:</w:t>
      </w:r>
    </w:p>
    <w:p w14:paraId="32E6D6D2" w14:textId="77777777" w:rsidR="00C81150" w:rsidRPr="002101E6" w:rsidRDefault="00C81150" w:rsidP="00C81150">
      <w:pPr>
        <w:rPr>
          <w:snapToGrid w:val="0"/>
          <w:sz w:val="14"/>
          <w:szCs w:val="14"/>
          <w:lang w:eastAsia="sk-SK"/>
        </w:rPr>
      </w:pPr>
    </w:p>
    <w:p w14:paraId="5CCBF3F4"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175AC44A" w14:textId="77777777" w:rsidR="00C81150" w:rsidRPr="002101E6" w:rsidRDefault="00C81150" w:rsidP="00C81150">
      <w:pPr>
        <w:rPr>
          <w:snapToGrid w:val="0"/>
          <w:sz w:val="14"/>
          <w:szCs w:val="14"/>
          <w:lang w:eastAsia="sk-SK"/>
        </w:rPr>
      </w:pPr>
    </w:p>
    <w:p w14:paraId="10290CE6" w14:textId="77777777" w:rsidR="00C81150" w:rsidRPr="002101E6" w:rsidRDefault="00C81150" w:rsidP="00C81150">
      <w:pPr>
        <w:rPr>
          <w:sz w:val="14"/>
          <w:szCs w:val="14"/>
        </w:rPr>
      </w:pPr>
    </w:p>
    <w:p w14:paraId="11E08802" w14:textId="77777777" w:rsidR="00C81150" w:rsidRPr="002101E6" w:rsidRDefault="00C81150" w:rsidP="00C81150">
      <w:pPr>
        <w:pStyle w:val="Nadpis1"/>
      </w:pPr>
      <w:r w:rsidRPr="002101E6">
        <w:t>VŠEOBECNÉ INFORMÁCIE</w:t>
      </w:r>
    </w:p>
    <w:p w14:paraId="6DCE6DE5" w14:textId="77777777" w:rsidR="00C81150" w:rsidRPr="002101E6" w:rsidRDefault="00C81150" w:rsidP="00C81150">
      <w:pPr>
        <w:rPr>
          <w:b/>
          <w:snapToGrid w:val="0"/>
          <w:sz w:val="14"/>
          <w:szCs w:val="14"/>
          <w:u w:val="single"/>
          <w:lang w:eastAsia="sk-SK"/>
        </w:rPr>
      </w:pPr>
    </w:p>
    <w:p w14:paraId="235ADABC" w14:textId="77777777" w:rsidR="00C81150" w:rsidRPr="002101E6" w:rsidRDefault="00C81150" w:rsidP="00C81150">
      <w:pPr>
        <w:pStyle w:val="Nadpis2"/>
      </w:pPr>
      <w:r w:rsidRPr="002101E6">
        <w:t>Základné údaje o spoločnosti</w:t>
      </w:r>
    </w:p>
    <w:p w14:paraId="6F86318A"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5C13420B" w14:textId="77777777" w:rsidTr="001240E4">
        <w:tc>
          <w:tcPr>
            <w:tcW w:w="3969" w:type="dxa"/>
            <w:tcBorders>
              <w:top w:val="single" w:sz="8" w:space="0" w:color="auto"/>
              <w:bottom w:val="dotted" w:sz="4" w:space="0" w:color="auto"/>
            </w:tcBorders>
          </w:tcPr>
          <w:p w14:paraId="0A2773C5" w14:textId="77777777" w:rsidR="0040455C" w:rsidRPr="002101E6" w:rsidRDefault="00C81150" w:rsidP="0040455C">
            <w:pPr>
              <w:rPr>
                <w:b/>
                <w:sz w:val="15"/>
                <w:szCs w:val="15"/>
              </w:rPr>
            </w:pPr>
            <w:r w:rsidRPr="002101E6">
              <w:rPr>
                <w:b/>
                <w:sz w:val="15"/>
                <w:szCs w:val="15"/>
              </w:rPr>
              <w:t>Obchodné meno a</w:t>
            </w:r>
            <w:r w:rsidR="0040455C">
              <w:rPr>
                <w:b/>
                <w:sz w:val="15"/>
                <w:szCs w:val="15"/>
              </w:rPr>
              <w:t> </w:t>
            </w:r>
            <w:r w:rsidRPr="002101E6">
              <w:rPr>
                <w:b/>
                <w:sz w:val="15"/>
                <w:szCs w:val="15"/>
              </w:rPr>
              <w:t>sídlo</w:t>
            </w:r>
            <w:r w:rsidR="0040455C">
              <w:rPr>
                <w:b/>
                <w:sz w:val="15"/>
                <w:szCs w:val="15"/>
              </w:rPr>
              <w:t xml:space="preserve"> </w:t>
            </w:r>
          </w:p>
          <w:p w14:paraId="26911121" w14:textId="77777777" w:rsidR="00C81150" w:rsidRPr="002101E6" w:rsidRDefault="00C81150" w:rsidP="0040455C">
            <w:pPr>
              <w:rPr>
                <w:b/>
                <w:sz w:val="15"/>
                <w:szCs w:val="15"/>
              </w:rPr>
            </w:pPr>
          </w:p>
        </w:tc>
        <w:tc>
          <w:tcPr>
            <w:tcW w:w="5103" w:type="dxa"/>
            <w:tcBorders>
              <w:top w:val="single" w:sz="8" w:space="0" w:color="auto"/>
              <w:bottom w:val="dotted" w:sz="4" w:space="0" w:color="auto"/>
            </w:tcBorders>
          </w:tcPr>
          <w:p w14:paraId="264ADA2F" w14:textId="77777777" w:rsidR="0040455C" w:rsidRDefault="0040455C" w:rsidP="0040455C">
            <w:pPr>
              <w:rPr>
                <w:snapToGrid w:val="0"/>
                <w:sz w:val="15"/>
                <w:szCs w:val="15"/>
                <w:lang w:eastAsia="sk-SK"/>
              </w:rPr>
            </w:pPr>
            <w:r>
              <w:rPr>
                <w:snapToGrid w:val="0"/>
                <w:sz w:val="15"/>
                <w:szCs w:val="15"/>
                <w:lang w:eastAsia="sk-SK"/>
              </w:rPr>
              <w:t xml:space="preserve">Borealis L.A.T Slovakia s.r.o., Pri železničnej stanici, </w:t>
            </w:r>
          </w:p>
          <w:p w14:paraId="20A10395" w14:textId="77777777" w:rsidR="00C81150" w:rsidRPr="002101E6" w:rsidRDefault="0040455C" w:rsidP="0040455C">
            <w:pPr>
              <w:rPr>
                <w:snapToGrid w:val="0"/>
                <w:sz w:val="15"/>
                <w:szCs w:val="15"/>
                <w:lang w:eastAsia="sk-SK"/>
              </w:rPr>
            </w:pPr>
            <w:r>
              <w:rPr>
                <w:snapToGrid w:val="0"/>
                <w:sz w:val="15"/>
                <w:szCs w:val="15"/>
                <w:lang w:eastAsia="sk-SK"/>
              </w:rPr>
              <w:t>946 31 Chotín</w:t>
            </w:r>
          </w:p>
        </w:tc>
      </w:tr>
      <w:tr w:rsidR="00C81150" w:rsidRPr="002101E6" w14:paraId="2D6F6D51" w14:textId="77777777" w:rsidTr="001240E4">
        <w:tc>
          <w:tcPr>
            <w:tcW w:w="3969" w:type="dxa"/>
            <w:tcBorders>
              <w:top w:val="dotted" w:sz="4" w:space="0" w:color="auto"/>
            </w:tcBorders>
          </w:tcPr>
          <w:p w14:paraId="69D994CF"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B2EA9DB" w14:textId="77777777" w:rsidR="0040455C" w:rsidRPr="00502425" w:rsidRDefault="0040455C" w:rsidP="0040455C">
            <w:pPr>
              <w:numPr>
                <w:ilvl w:val="0"/>
                <w:numId w:val="3"/>
              </w:numPr>
              <w:tabs>
                <w:tab w:val="clear" w:pos="720"/>
                <w:tab w:val="num" w:pos="243"/>
              </w:tabs>
              <w:ind w:left="243" w:hanging="243"/>
              <w:rPr>
                <w:snapToGrid w:val="0"/>
                <w:sz w:val="15"/>
                <w:szCs w:val="15"/>
                <w:lang w:eastAsia="sk-SK"/>
              </w:rPr>
            </w:pPr>
            <w:r w:rsidRPr="002C6C53">
              <w:rPr>
                <w:rStyle w:val="ra"/>
                <w:sz w:val="15"/>
                <w:szCs w:val="15"/>
              </w:rPr>
              <w:t>kúpa tovaru za účelom jeho predaja iným prevádzkovateľom živnosti (veľkoobchod) kúpa tovaru za účelom jeho predaja konečnému spotrebiteľovi (maloobchod)</w:t>
            </w:r>
          </w:p>
          <w:p w14:paraId="28371C8A" w14:textId="77777777" w:rsidR="0040455C" w:rsidRPr="002C6C53" w:rsidRDefault="0040455C" w:rsidP="0040455C">
            <w:pPr>
              <w:numPr>
                <w:ilvl w:val="0"/>
                <w:numId w:val="3"/>
              </w:numPr>
              <w:tabs>
                <w:tab w:val="clear" w:pos="720"/>
                <w:tab w:val="num" w:pos="243"/>
              </w:tabs>
              <w:ind w:left="243" w:hanging="243"/>
              <w:rPr>
                <w:rStyle w:val="ra"/>
                <w:snapToGrid w:val="0"/>
                <w:sz w:val="15"/>
                <w:szCs w:val="15"/>
                <w:lang w:eastAsia="sk-SK"/>
              </w:rPr>
            </w:pPr>
            <w:r w:rsidRPr="002C6C53">
              <w:rPr>
                <w:rStyle w:val="ra"/>
                <w:sz w:val="15"/>
                <w:szCs w:val="15"/>
              </w:rPr>
              <w:t>sprostredkovateľská činnosť v oblasti obchodu, výroby a služieb v rozsahu voľnej živnosti</w:t>
            </w:r>
          </w:p>
          <w:p w14:paraId="654E95C6" w14:textId="77777777" w:rsidR="0040455C" w:rsidRPr="002C6C53" w:rsidRDefault="0040455C" w:rsidP="0040455C">
            <w:pPr>
              <w:numPr>
                <w:ilvl w:val="0"/>
                <w:numId w:val="3"/>
              </w:numPr>
              <w:tabs>
                <w:tab w:val="clear" w:pos="720"/>
                <w:tab w:val="num" w:pos="243"/>
              </w:tabs>
              <w:ind w:left="243" w:hanging="243"/>
              <w:rPr>
                <w:rStyle w:val="ra"/>
                <w:snapToGrid w:val="0"/>
                <w:sz w:val="15"/>
                <w:szCs w:val="15"/>
                <w:lang w:eastAsia="sk-SK"/>
              </w:rPr>
            </w:pPr>
            <w:r w:rsidRPr="002C6C53">
              <w:rPr>
                <w:rStyle w:val="ra"/>
                <w:sz w:val="15"/>
                <w:szCs w:val="15"/>
              </w:rPr>
              <w:t>obchodovanie, manipulácia a skladovanie ochranných prostriedkov pre poľnohospodárstvo, vrátane umelých hnojív, technickej močoviny, melamínu, pesticídov, nevýbušných chemikálií a krmivových zmesí s výnimkou žieravín, jedov a zvlášť nebezpečných jedov</w:t>
            </w:r>
          </w:p>
          <w:p w14:paraId="12D4BD40" w14:textId="77777777" w:rsidR="0040455C" w:rsidRPr="002C6C53" w:rsidRDefault="0040455C" w:rsidP="0040455C">
            <w:pPr>
              <w:numPr>
                <w:ilvl w:val="0"/>
                <w:numId w:val="3"/>
              </w:numPr>
              <w:tabs>
                <w:tab w:val="clear" w:pos="720"/>
                <w:tab w:val="num" w:pos="243"/>
              </w:tabs>
              <w:ind w:left="243" w:hanging="243"/>
              <w:rPr>
                <w:rStyle w:val="ra"/>
                <w:snapToGrid w:val="0"/>
                <w:sz w:val="15"/>
                <w:szCs w:val="15"/>
                <w:lang w:eastAsia="sk-SK"/>
              </w:rPr>
            </w:pPr>
            <w:r w:rsidRPr="002C6C53">
              <w:rPr>
                <w:rStyle w:val="ra"/>
                <w:sz w:val="15"/>
                <w:szCs w:val="15"/>
              </w:rPr>
              <w:t>preklad a skladovanie tovarov</w:t>
            </w:r>
          </w:p>
          <w:p w14:paraId="066CFE72" w14:textId="77777777" w:rsidR="0040455C" w:rsidRPr="002C6C53" w:rsidRDefault="0040455C" w:rsidP="0040455C">
            <w:pPr>
              <w:numPr>
                <w:ilvl w:val="0"/>
                <w:numId w:val="3"/>
              </w:numPr>
              <w:tabs>
                <w:tab w:val="clear" w:pos="720"/>
                <w:tab w:val="num" w:pos="243"/>
              </w:tabs>
              <w:ind w:left="243" w:hanging="243"/>
              <w:rPr>
                <w:rStyle w:val="ra"/>
                <w:snapToGrid w:val="0"/>
                <w:sz w:val="15"/>
                <w:szCs w:val="15"/>
                <w:lang w:eastAsia="sk-SK"/>
              </w:rPr>
            </w:pPr>
            <w:r w:rsidRPr="002C6C53">
              <w:rPr>
                <w:rStyle w:val="ra"/>
                <w:sz w:val="15"/>
                <w:szCs w:val="15"/>
              </w:rPr>
              <w:t>manipulácia, balenie, váženie a vzorkovanie tovarov</w:t>
            </w:r>
          </w:p>
          <w:p w14:paraId="1E6A05C0" w14:textId="77777777" w:rsidR="0040455C" w:rsidRPr="002C6C53" w:rsidRDefault="0040455C" w:rsidP="0040455C">
            <w:pPr>
              <w:numPr>
                <w:ilvl w:val="0"/>
                <w:numId w:val="3"/>
              </w:numPr>
              <w:tabs>
                <w:tab w:val="clear" w:pos="720"/>
                <w:tab w:val="num" w:pos="243"/>
              </w:tabs>
              <w:ind w:left="243" w:hanging="243"/>
              <w:rPr>
                <w:rStyle w:val="ra"/>
                <w:snapToGrid w:val="0"/>
                <w:sz w:val="15"/>
                <w:szCs w:val="15"/>
                <w:lang w:eastAsia="sk-SK"/>
              </w:rPr>
            </w:pPr>
            <w:r w:rsidRPr="002C6C53">
              <w:rPr>
                <w:rStyle w:val="ra"/>
                <w:sz w:val="15"/>
                <w:szCs w:val="15"/>
              </w:rPr>
              <w:t>poskytovanie služieb pre poľnohospodársku rastlinnú výrobu</w:t>
            </w:r>
          </w:p>
          <w:p w14:paraId="646B6247" w14:textId="77777777" w:rsidR="0040455C" w:rsidRPr="002C6C53" w:rsidRDefault="0040455C" w:rsidP="0040455C">
            <w:pPr>
              <w:numPr>
                <w:ilvl w:val="0"/>
                <w:numId w:val="3"/>
              </w:numPr>
              <w:tabs>
                <w:tab w:val="clear" w:pos="720"/>
                <w:tab w:val="num" w:pos="243"/>
              </w:tabs>
              <w:ind w:left="243" w:hanging="243"/>
              <w:rPr>
                <w:rStyle w:val="ra"/>
                <w:snapToGrid w:val="0"/>
                <w:sz w:val="15"/>
                <w:szCs w:val="15"/>
                <w:lang w:eastAsia="sk-SK"/>
              </w:rPr>
            </w:pPr>
            <w:r w:rsidRPr="002C6C53">
              <w:rPr>
                <w:rStyle w:val="ra"/>
                <w:sz w:val="15"/>
                <w:szCs w:val="15"/>
              </w:rPr>
              <w:t>prenájom spotrebného, priemyselného tovaru a technologických zariadení</w:t>
            </w:r>
          </w:p>
          <w:p w14:paraId="06A61B3B" w14:textId="77777777" w:rsidR="00C81150" w:rsidRPr="002101E6" w:rsidRDefault="0040455C" w:rsidP="0040455C">
            <w:pPr>
              <w:numPr>
                <w:ilvl w:val="0"/>
                <w:numId w:val="3"/>
              </w:numPr>
              <w:tabs>
                <w:tab w:val="clear" w:pos="720"/>
                <w:tab w:val="num" w:pos="243"/>
              </w:tabs>
              <w:ind w:left="243" w:hanging="243"/>
              <w:rPr>
                <w:snapToGrid w:val="0"/>
                <w:color w:val="FF0000"/>
                <w:sz w:val="15"/>
                <w:szCs w:val="15"/>
                <w:lang w:eastAsia="sk-SK"/>
              </w:rPr>
            </w:pPr>
            <w:r w:rsidRPr="002C6C53">
              <w:rPr>
                <w:rStyle w:val="ra"/>
                <w:sz w:val="15"/>
                <w:szCs w:val="15"/>
              </w:rPr>
              <w:t>prenájom nehnuteľností, bytových a nebytových priestorov bez poskytovania iných než základných služieb spojených s prenájmom</w:t>
            </w:r>
          </w:p>
        </w:tc>
      </w:tr>
    </w:tbl>
    <w:p w14:paraId="26C18FD3" w14:textId="77777777" w:rsidR="00C81150" w:rsidRPr="002101E6" w:rsidRDefault="00C81150" w:rsidP="00C81150">
      <w:pPr>
        <w:rPr>
          <w:snapToGrid w:val="0"/>
          <w:sz w:val="14"/>
          <w:szCs w:val="14"/>
          <w:lang w:eastAsia="sk-SK"/>
        </w:rPr>
      </w:pPr>
    </w:p>
    <w:p w14:paraId="6AB74B7F" w14:textId="7725C4AD" w:rsidR="007D0A3E" w:rsidRPr="002101E6" w:rsidRDefault="007D0A3E" w:rsidP="007D0A3E">
      <w:pPr>
        <w:pStyle w:val="Nadpis2"/>
      </w:pPr>
      <w:r w:rsidRPr="002101E6">
        <w:t>Schválenie účtovnej závierky za rok 20</w:t>
      </w:r>
      <w:r w:rsidR="008121E5">
        <w:t>2</w:t>
      </w:r>
      <w:r w:rsidR="001527B4">
        <w:t>1</w:t>
      </w:r>
    </w:p>
    <w:p w14:paraId="14D829AC" w14:textId="77777777" w:rsidR="007D0A3E" w:rsidRPr="002101E6" w:rsidRDefault="007D0A3E" w:rsidP="007D0A3E">
      <w:pPr>
        <w:rPr>
          <w:sz w:val="14"/>
          <w:szCs w:val="14"/>
          <w:lang w:eastAsia="sk-SK"/>
        </w:rPr>
      </w:pPr>
    </w:p>
    <w:p w14:paraId="7AF70396" w14:textId="1FB6FD79" w:rsidR="001527B4" w:rsidRDefault="001527B4" w:rsidP="001527B4">
      <w:pPr>
        <w:rPr>
          <w:snapToGrid w:val="0"/>
          <w:sz w:val="14"/>
          <w:szCs w:val="14"/>
          <w:lang w:eastAsia="sk-SK"/>
        </w:rPr>
      </w:pPr>
      <w:r w:rsidRPr="007D0A3E">
        <w:rPr>
          <w:snapToGrid w:val="0"/>
          <w:lang w:eastAsia="sk-SK"/>
        </w:rPr>
        <w:t xml:space="preserve">Účtovná závierka spoločnosti za predchádzajúce účtovné obdobie </w:t>
      </w:r>
      <w:r>
        <w:rPr>
          <w:snapToGrid w:val="0"/>
          <w:lang w:eastAsia="sk-SK"/>
        </w:rPr>
        <w:t xml:space="preserve">končiace </w:t>
      </w:r>
      <w:r w:rsidRPr="007D0A3E">
        <w:rPr>
          <w:snapToGrid w:val="0"/>
          <w:lang w:eastAsia="sk-SK"/>
        </w:rPr>
        <w:t>k</w:t>
      </w:r>
      <w:r>
        <w:rPr>
          <w:snapToGrid w:val="0"/>
          <w:lang w:eastAsia="sk-SK"/>
        </w:rPr>
        <w:t> 31.12.2021 ne</w:t>
      </w:r>
      <w:r w:rsidRPr="007D0A3E">
        <w:rPr>
          <w:snapToGrid w:val="0"/>
          <w:lang w:eastAsia="sk-SK"/>
        </w:rPr>
        <w:t xml:space="preserve">bola </w:t>
      </w:r>
      <w:r>
        <w:rPr>
          <w:snapToGrid w:val="0"/>
          <w:lang w:eastAsia="sk-SK"/>
        </w:rPr>
        <w:t xml:space="preserve">do dnešného dňa </w:t>
      </w:r>
      <w:r w:rsidRPr="007D0A3E">
        <w:rPr>
          <w:snapToGrid w:val="0"/>
          <w:lang w:eastAsia="sk-SK"/>
        </w:rPr>
        <w:t>schválená val</w:t>
      </w:r>
      <w:r>
        <w:rPr>
          <w:snapToGrid w:val="0"/>
          <w:lang w:eastAsia="sk-SK"/>
        </w:rPr>
        <w:t>ným zhromaždením spoločnosti</w:t>
      </w:r>
      <w:r w:rsidRPr="007D0A3E">
        <w:rPr>
          <w:snapToGrid w:val="0"/>
          <w:lang w:eastAsia="sk-SK"/>
        </w:rPr>
        <w:t>.</w:t>
      </w:r>
    </w:p>
    <w:p w14:paraId="384CFE7B" w14:textId="77777777" w:rsidR="00C81150" w:rsidRPr="002101E6" w:rsidRDefault="00C81150" w:rsidP="00C81150">
      <w:pPr>
        <w:rPr>
          <w:snapToGrid w:val="0"/>
          <w:sz w:val="14"/>
          <w:szCs w:val="14"/>
          <w:lang w:eastAsia="sk-SK"/>
        </w:rPr>
      </w:pPr>
    </w:p>
    <w:p w14:paraId="7CCB8800" w14:textId="77777777" w:rsidR="00C81150" w:rsidRPr="002101E6" w:rsidRDefault="00C81150" w:rsidP="00C81150">
      <w:pPr>
        <w:rPr>
          <w:snapToGrid w:val="0"/>
          <w:sz w:val="14"/>
          <w:szCs w:val="14"/>
          <w:lang w:eastAsia="sk-SK"/>
        </w:rPr>
      </w:pPr>
    </w:p>
    <w:p w14:paraId="272D679B" w14:textId="77777777" w:rsidR="00C81150" w:rsidRPr="002101E6" w:rsidRDefault="00C81150" w:rsidP="00C81150">
      <w:pPr>
        <w:pStyle w:val="Nadpis2"/>
      </w:pPr>
      <w:r w:rsidRPr="002101E6">
        <w:t>Právny dôvod zostavenia účtovnej závierky</w:t>
      </w:r>
    </w:p>
    <w:p w14:paraId="13EC65AD" w14:textId="77777777" w:rsidR="00162043" w:rsidRPr="002101E6" w:rsidRDefault="00162043" w:rsidP="00C81150">
      <w:pPr>
        <w:rPr>
          <w:snapToGrid w:val="0"/>
          <w:sz w:val="14"/>
          <w:szCs w:val="14"/>
          <w:lang w:eastAsia="sk-SK"/>
        </w:rPr>
      </w:pPr>
    </w:p>
    <w:p w14:paraId="6F055272" w14:textId="4C758DB6" w:rsidR="0040455C" w:rsidRPr="00507587" w:rsidRDefault="0040455C" w:rsidP="0040455C">
      <w:pPr>
        <w:rPr>
          <w:snapToGrid w:val="0"/>
          <w:lang w:eastAsia="sk-SK"/>
        </w:rPr>
      </w:pPr>
      <w:r w:rsidRPr="00507587">
        <w:rPr>
          <w:snapToGrid w:val="0"/>
          <w:lang w:eastAsia="sk-SK"/>
        </w:rPr>
        <w:t xml:space="preserve">Táto účtovná závierka je riadna individuálna účtovná závierka za </w:t>
      </w:r>
      <w:r>
        <w:rPr>
          <w:snapToGrid w:val="0"/>
          <w:lang w:eastAsia="sk-SK"/>
        </w:rPr>
        <w:t>Borealis L.A.T Slovakia s.r.o.</w:t>
      </w:r>
      <w:r w:rsidRPr="00507587">
        <w:rPr>
          <w:snapToGrid w:val="0"/>
          <w:lang w:eastAsia="sk-SK"/>
        </w:rPr>
        <w:t xml:space="preserve"> Bola zostavená za účtovné obdobie od 1. januára do 31. decembra 20</w:t>
      </w:r>
      <w:r w:rsidR="00C1006A">
        <w:rPr>
          <w:snapToGrid w:val="0"/>
          <w:lang w:eastAsia="sk-SK"/>
        </w:rPr>
        <w:t>2</w:t>
      </w:r>
      <w:r w:rsidR="001527B4">
        <w:rPr>
          <w:snapToGrid w:val="0"/>
          <w:lang w:eastAsia="sk-SK"/>
        </w:rPr>
        <w:t>2</w:t>
      </w:r>
      <w:r w:rsidRPr="00507587">
        <w:rPr>
          <w:snapToGrid w:val="0"/>
          <w:lang w:eastAsia="sk-SK"/>
        </w:rPr>
        <w:t xml:space="preserve"> podľa slovenských právnych predpisov, a to zákona o</w:t>
      </w:r>
      <w:r w:rsidRPr="00507587">
        <w:t> </w:t>
      </w:r>
      <w:r w:rsidRPr="00507587">
        <w:rPr>
          <w:snapToGrid w:val="0"/>
          <w:lang w:eastAsia="sk-SK"/>
        </w:rPr>
        <w:t xml:space="preserve">účtovníctve a postupov účtovania pre podnikateľov. </w:t>
      </w:r>
    </w:p>
    <w:p w14:paraId="3A38CCE3" w14:textId="77777777" w:rsidR="00C81150" w:rsidRPr="002101E6" w:rsidRDefault="00C81150" w:rsidP="00C81150">
      <w:pPr>
        <w:rPr>
          <w:snapToGrid w:val="0"/>
          <w:sz w:val="14"/>
          <w:szCs w:val="14"/>
          <w:lang w:eastAsia="sk-SK"/>
        </w:rPr>
      </w:pPr>
    </w:p>
    <w:p w14:paraId="3018E27A" w14:textId="77777777" w:rsidR="00461C0A" w:rsidRPr="002101E6" w:rsidRDefault="00461C0A" w:rsidP="00C81150">
      <w:pPr>
        <w:rPr>
          <w:snapToGrid w:val="0"/>
          <w:sz w:val="14"/>
          <w:szCs w:val="14"/>
          <w:lang w:eastAsia="sk-SK"/>
        </w:rPr>
      </w:pPr>
    </w:p>
    <w:p w14:paraId="45B53D22" w14:textId="77777777" w:rsidR="00C81150" w:rsidRPr="002101E6" w:rsidRDefault="00C81150" w:rsidP="00C81150">
      <w:pPr>
        <w:pStyle w:val="Nadpis2"/>
      </w:pPr>
      <w:r w:rsidRPr="002101E6">
        <w:t>Konsolidovaná účtovná závierka</w:t>
      </w:r>
    </w:p>
    <w:p w14:paraId="54F720E2" w14:textId="77777777" w:rsidR="00C81150" w:rsidRPr="002101E6" w:rsidRDefault="00C81150" w:rsidP="00C81150">
      <w:pPr>
        <w:rPr>
          <w:snapToGrid w:val="0"/>
          <w:sz w:val="10"/>
          <w:szCs w:val="10"/>
          <w:lang w:eastAsia="sk-SK"/>
        </w:rPr>
      </w:pPr>
    </w:p>
    <w:p w14:paraId="27B56EA5" w14:textId="77777777" w:rsidR="00B55DDB" w:rsidRDefault="00B55DDB" w:rsidP="00B55DDB">
      <w:pPr>
        <w:rPr>
          <w:snapToGrid w:val="0"/>
          <w:lang w:eastAsia="sk-SK"/>
        </w:rPr>
      </w:pPr>
      <w:r w:rsidRPr="00B55DDB">
        <w:rPr>
          <w:snapToGrid w:val="0"/>
          <w:lang w:eastAsia="sk-SK"/>
        </w:rPr>
        <w:t>Účtovná závierka spoločnosti sa nezahŕňa do žiadnej konsolidovanej účtovnej závierky.</w:t>
      </w:r>
    </w:p>
    <w:p w14:paraId="76628309" w14:textId="77777777" w:rsidR="007D0A3E" w:rsidRDefault="007D0A3E" w:rsidP="00B55DDB">
      <w:pPr>
        <w:rPr>
          <w:snapToGrid w:val="0"/>
          <w:lang w:eastAsia="sk-SK"/>
        </w:rPr>
      </w:pPr>
    </w:p>
    <w:p w14:paraId="3C49DAF8" w14:textId="77777777" w:rsidR="007D0A3E" w:rsidRPr="002101E6" w:rsidRDefault="007D0A3E" w:rsidP="007D0A3E">
      <w:pPr>
        <w:pStyle w:val="Nadpis2"/>
      </w:pPr>
      <w:r w:rsidRPr="002101E6">
        <w:t>Zamestnanci</w:t>
      </w:r>
    </w:p>
    <w:p w14:paraId="786228BE" w14:textId="77777777" w:rsidR="007D0A3E" w:rsidRPr="002101E6" w:rsidRDefault="007D0A3E" w:rsidP="007D0A3E">
      <w:pPr>
        <w:rPr>
          <w:snapToGrid w:val="0"/>
          <w:sz w:val="14"/>
          <w:szCs w:val="14"/>
          <w:lang w:eastAsia="sk-SK"/>
        </w:rPr>
      </w:pPr>
      <w:r w:rsidRPr="002101E6">
        <w:rPr>
          <w:rFonts w:cs="Arial"/>
          <w:b/>
          <w:bCs/>
          <w:i/>
          <w:iCs/>
          <w:sz w:val="15"/>
          <w:szCs w:val="15"/>
          <w:lang w:eastAsia="sk-SK"/>
        </w:rPr>
        <w:t xml:space="preserve"> </w:t>
      </w:r>
    </w:p>
    <w:p w14:paraId="68C1FA41" w14:textId="77777777" w:rsidR="00DE7B0D" w:rsidRPr="00162043" w:rsidRDefault="00DE7B0D" w:rsidP="00DE7B0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2"/>
        <w:gridCol w:w="2645"/>
        <w:gridCol w:w="2874"/>
      </w:tblGrid>
      <w:tr w:rsidR="00DE7B0D" w:rsidRPr="008B6417" w14:paraId="07A5C7E2" w14:textId="77777777" w:rsidTr="00DE7B0D">
        <w:trPr>
          <w:jc w:val="center"/>
        </w:trPr>
        <w:tc>
          <w:tcPr>
            <w:tcW w:w="3675" w:type="dxa"/>
            <w:tcBorders>
              <w:top w:val="single" w:sz="12" w:space="0" w:color="auto"/>
              <w:bottom w:val="nil"/>
              <w:right w:val="single" w:sz="12" w:space="0" w:color="auto"/>
            </w:tcBorders>
            <w:vAlign w:val="center"/>
          </w:tcPr>
          <w:p w14:paraId="74AA8BEB" w14:textId="77777777" w:rsidR="00DE7B0D" w:rsidRPr="008B6417" w:rsidRDefault="00DE7B0D" w:rsidP="00DE7B0D">
            <w:pPr>
              <w:pStyle w:val="TopHeader"/>
              <w:rPr>
                <w:rFonts w:ascii="Verdana" w:hAnsi="Verdana"/>
                <w:sz w:val="15"/>
                <w:szCs w:val="15"/>
              </w:rPr>
            </w:pPr>
            <w:r w:rsidRPr="008B6417">
              <w:rPr>
                <w:rFonts w:ascii="Verdana" w:hAnsi="Verdana"/>
                <w:sz w:val="15"/>
                <w:szCs w:val="15"/>
              </w:rPr>
              <w:t>Názov položky</w:t>
            </w:r>
          </w:p>
        </w:tc>
        <w:tc>
          <w:tcPr>
            <w:tcW w:w="2632" w:type="dxa"/>
            <w:tcBorders>
              <w:top w:val="single" w:sz="12" w:space="0" w:color="auto"/>
              <w:left w:val="single" w:sz="12" w:space="0" w:color="auto"/>
              <w:bottom w:val="nil"/>
              <w:right w:val="single" w:sz="12" w:space="0" w:color="auto"/>
            </w:tcBorders>
            <w:vAlign w:val="center"/>
          </w:tcPr>
          <w:p w14:paraId="4DC69D52" w14:textId="77777777" w:rsidR="00DE7B0D" w:rsidRPr="008B6417" w:rsidRDefault="00DE7B0D" w:rsidP="00DE7B0D">
            <w:pPr>
              <w:pStyle w:val="TopHeader"/>
              <w:rPr>
                <w:rFonts w:ascii="Verdana" w:hAnsi="Verdana"/>
                <w:sz w:val="15"/>
                <w:szCs w:val="15"/>
              </w:rPr>
            </w:pPr>
            <w:r w:rsidRPr="008B6417">
              <w:rPr>
                <w:rFonts w:ascii="Verdana" w:hAnsi="Verdana"/>
                <w:sz w:val="15"/>
                <w:szCs w:val="15"/>
              </w:rPr>
              <w:t>Bežné účtovné obdobie</w:t>
            </w:r>
          </w:p>
        </w:tc>
        <w:tc>
          <w:tcPr>
            <w:tcW w:w="2860" w:type="dxa"/>
            <w:tcBorders>
              <w:top w:val="single" w:sz="12" w:space="0" w:color="auto"/>
              <w:left w:val="single" w:sz="12" w:space="0" w:color="auto"/>
              <w:bottom w:val="nil"/>
            </w:tcBorders>
            <w:vAlign w:val="center"/>
          </w:tcPr>
          <w:p w14:paraId="578E42CE" w14:textId="77777777" w:rsidR="00DE7B0D" w:rsidRPr="008B6417" w:rsidRDefault="00DE7B0D" w:rsidP="00DE7B0D">
            <w:pPr>
              <w:pStyle w:val="TopHeader"/>
              <w:rPr>
                <w:rFonts w:ascii="Verdana" w:hAnsi="Verdana"/>
                <w:sz w:val="15"/>
                <w:szCs w:val="15"/>
              </w:rPr>
            </w:pPr>
            <w:r w:rsidRPr="008B6417">
              <w:rPr>
                <w:rFonts w:ascii="Verdana" w:hAnsi="Verdana"/>
                <w:sz w:val="15"/>
                <w:szCs w:val="15"/>
              </w:rPr>
              <w:t>Bezprostredne predchádzajúce účtovné obdobie</w:t>
            </w:r>
          </w:p>
        </w:tc>
      </w:tr>
      <w:tr w:rsidR="00DE7B0D" w:rsidRPr="008B6417" w14:paraId="416CDE5D" w14:textId="77777777" w:rsidTr="00DE7B0D">
        <w:trPr>
          <w:jc w:val="center"/>
        </w:trPr>
        <w:tc>
          <w:tcPr>
            <w:tcW w:w="3675" w:type="dxa"/>
            <w:tcBorders>
              <w:top w:val="single" w:sz="12" w:space="0" w:color="auto"/>
              <w:right w:val="single" w:sz="12" w:space="0" w:color="auto"/>
            </w:tcBorders>
            <w:vAlign w:val="center"/>
          </w:tcPr>
          <w:p w14:paraId="7DF1E3EB" w14:textId="77777777" w:rsidR="00DE7B0D" w:rsidRPr="008B6417" w:rsidRDefault="00DE7B0D" w:rsidP="00DE7B0D">
            <w:pPr>
              <w:jc w:val="left"/>
              <w:rPr>
                <w:rFonts w:cs="Arial"/>
                <w:sz w:val="15"/>
                <w:szCs w:val="15"/>
              </w:rPr>
            </w:pPr>
            <w:r w:rsidRPr="008B6417">
              <w:rPr>
                <w:rFonts w:cs="Arial"/>
                <w:sz w:val="15"/>
                <w:szCs w:val="15"/>
              </w:rPr>
              <w:t>Priemerný prepočítaný počet zamestnancov</w:t>
            </w:r>
          </w:p>
        </w:tc>
        <w:tc>
          <w:tcPr>
            <w:tcW w:w="2632" w:type="dxa"/>
            <w:tcBorders>
              <w:top w:val="single" w:sz="12" w:space="0" w:color="auto"/>
              <w:left w:val="single" w:sz="12" w:space="0" w:color="auto"/>
              <w:right w:val="single" w:sz="12" w:space="0" w:color="auto"/>
            </w:tcBorders>
            <w:vAlign w:val="center"/>
          </w:tcPr>
          <w:p w14:paraId="43C19EC3" w14:textId="74B9DF7F" w:rsidR="00DE7B0D" w:rsidRPr="008B6417" w:rsidRDefault="001527B4" w:rsidP="00C1006A">
            <w:pPr>
              <w:spacing w:line="360" w:lineRule="auto"/>
              <w:jc w:val="center"/>
              <w:rPr>
                <w:rFonts w:cs="Arial"/>
                <w:sz w:val="15"/>
                <w:szCs w:val="15"/>
              </w:rPr>
            </w:pPr>
            <w:r>
              <w:rPr>
                <w:rFonts w:cs="Arial"/>
                <w:sz w:val="15"/>
                <w:szCs w:val="15"/>
              </w:rPr>
              <w:t>8</w:t>
            </w:r>
          </w:p>
        </w:tc>
        <w:tc>
          <w:tcPr>
            <w:tcW w:w="2860" w:type="dxa"/>
            <w:tcBorders>
              <w:top w:val="single" w:sz="12" w:space="0" w:color="auto"/>
              <w:left w:val="single" w:sz="12" w:space="0" w:color="auto"/>
            </w:tcBorders>
            <w:vAlign w:val="center"/>
          </w:tcPr>
          <w:p w14:paraId="75F48A5C" w14:textId="0C23051C" w:rsidR="00DE7B0D" w:rsidRPr="008B6417" w:rsidRDefault="008121E5" w:rsidP="007C59A2">
            <w:pPr>
              <w:spacing w:line="360" w:lineRule="auto"/>
              <w:jc w:val="center"/>
              <w:rPr>
                <w:rFonts w:cs="Arial"/>
                <w:sz w:val="15"/>
                <w:szCs w:val="15"/>
              </w:rPr>
            </w:pPr>
            <w:r>
              <w:rPr>
                <w:rFonts w:cs="Arial"/>
                <w:sz w:val="15"/>
                <w:szCs w:val="15"/>
              </w:rPr>
              <w:t>9</w:t>
            </w:r>
          </w:p>
        </w:tc>
      </w:tr>
      <w:tr w:rsidR="00DE7B0D" w:rsidRPr="008B6417" w14:paraId="1271C46B" w14:textId="77777777" w:rsidTr="00DE7B0D">
        <w:trPr>
          <w:trHeight w:val="285"/>
          <w:jc w:val="center"/>
        </w:trPr>
        <w:tc>
          <w:tcPr>
            <w:tcW w:w="3675" w:type="dxa"/>
            <w:tcBorders>
              <w:right w:val="single" w:sz="12" w:space="0" w:color="auto"/>
            </w:tcBorders>
            <w:vAlign w:val="center"/>
          </w:tcPr>
          <w:p w14:paraId="089B61D7" w14:textId="77777777" w:rsidR="00DE7B0D" w:rsidRPr="008B6417" w:rsidRDefault="00DE7B0D" w:rsidP="00DE7B0D">
            <w:pPr>
              <w:jc w:val="left"/>
              <w:rPr>
                <w:rFonts w:cs="Arial"/>
                <w:sz w:val="15"/>
                <w:szCs w:val="15"/>
              </w:rPr>
            </w:pPr>
            <w:r w:rsidRPr="008B6417">
              <w:rPr>
                <w:rFonts w:cs="Arial"/>
                <w:sz w:val="15"/>
                <w:szCs w:val="15"/>
              </w:rPr>
              <w:t>Stav zamestnancov ku dňu, ku ktorému sa zostavuje účtovná závierka, z toho:</w:t>
            </w:r>
          </w:p>
        </w:tc>
        <w:tc>
          <w:tcPr>
            <w:tcW w:w="2632" w:type="dxa"/>
            <w:tcBorders>
              <w:left w:val="single" w:sz="12" w:space="0" w:color="auto"/>
              <w:right w:val="single" w:sz="12" w:space="0" w:color="auto"/>
            </w:tcBorders>
            <w:vAlign w:val="center"/>
          </w:tcPr>
          <w:p w14:paraId="4C053698" w14:textId="23A45C60" w:rsidR="00DE7B0D" w:rsidRPr="008B6417" w:rsidRDefault="001527B4" w:rsidP="00DE7B0D">
            <w:pPr>
              <w:spacing w:line="360" w:lineRule="auto"/>
              <w:jc w:val="center"/>
              <w:rPr>
                <w:rFonts w:cs="Arial"/>
                <w:sz w:val="15"/>
                <w:szCs w:val="15"/>
              </w:rPr>
            </w:pPr>
            <w:r>
              <w:rPr>
                <w:rFonts w:cs="Arial"/>
                <w:sz w:val="15"/>
                <w:szCs w:val="15"/>
              </w:rPr>
              <w:t>7</w:t>
            </w:r>
          </w:p>
        </w:tc>
        <w:tc>
          <w:tcPr>
            <w:tcW w:w="2860" w:type="dxa"/>
            <w:tcBorders>
              <w:left w:val="single" w:sz="12" w:space="0" w:color="auto"/>
            </w:tcBorders>
            <w:vAlign w:val="center"/>
          </w:tcPr>
          <w:p w14:paraId="7F0C359D" w14:textId="3B72A12C" w:rsidR="00DE7B0D" w:rsidRPr="008B6417" w:rsidRDefault="00C1006A" w:rsidP="00DE7B0D">
            <w:pPr>
              <w:spacing w:line="360" w:lineRule="auto"/>
              <w:jc w:val="center"/>
              <w:rPr>
                <w:rFonts w:cs="Arial"/>
                <w:sz w:val="15"/>
                <w:szCs w:val="15"/>
              </w:rPr>
            </w:pPr>
            <w:r>
              <w:rPr>
                <w:rFonts w:cs="Arial"/>
                <w:sz w:val="15"/>
                <w:szCs w:val="15"/>
              </w:rPr>
              <w:t>9</w:t>
            </w:r>
          </w:p>
        </w:tc>
      </w:tr>
      <w:tr w:rsidR="00DE7B0D" w:rsidRPr="008B6417" w14:paraId="02DE6BC2" w14:textId="77777777" w:rsidTr="00DE7B0D">
        <w:trPr>
          <w:trHeight w:val="285"/>
          <w:jc w:val="center"/>
        </w:trPr>
        <w:tc>
          <w:tcPr>
            <w:tcW w:w="3675" w:type="dxa"/>
            <w:tcBorders>
              <w:bottom w:val="single" w:sz="12" w:space="0" w:color="auto"/>
              <w:right w:val="single" w:sz="12" w:space="0" w:color="auto"/>
            </w:tcBorders>
            <w:vAlign w:val="center"/>
          </w:tcPr>
          <w:p w14:paraId="3189046E" w14:textId="77777777" w:rsidR="00DE7B0D" w:rsidRPr="008B6417" w:rsidRDefault="007C59A2" w:rsidP="00DE7B0D">
            <w:pPr>
              <w:jc w:val="left"/>
              <w:rPr>
                <w:rFonts w:cs="Arial"/>
                <w:sz w:val="15"/>
                <w:szCs w:val="15"/>
                <w:highlight w:val="green"/>
              </w:rPr>
            </w:pPr>
            <w:r>
              <w:rPr>
                <w:rFonts w:cs="Arial"/>
                <w:sz w:val="15"/>
                <w:szCs w:val="15"/>
              </w:rPr>
              <w:t xml:space="preserve">     </w:t>
            </w:r>
            <w:r w:rsidR="00DE7B0D" w:rsidRPr="008B6417">
              <w:rPr>
                <w:rFonts w:cs="Arial"/>
                <w:sz w:val="15"/>
                <w:szCs w:val="15"/>
              </w:rPr>
              <w:t>počet vedúcich zamestnancov</w:t>
            </w:r>
          </w:p>
        </w:tc>
        <w:tc>
          <w:tcPr>
            <w:tcW w:w="2632" w:type="dxa"/>
            <w:tcBorders>
              <w:left w:val="single" w:sz="12" w:space="0" w:color="auto"/>
              <w:bottom w:val="single" w:sz="12" w:space="0" w:color="auto"/>
              <w:right w:val="single" w:sz="12" w:space="0" w:color="auto"/>
            </w:tcBorders>
            <w:vAlign w:val="center"/>
          </w:tcPr>
          <w:p w14:paraId="707BB558" w14:textId="77777777" w:rsidR="00DE7B0D" w:rsidRPr="008B6417" w:rsidRDefault="00DE7B0D" w:rsidP="00DE7B0D">
            <w:pPr>
              <w:spacing w:line="360" w:lineRule="auto"/>
              <w:jc w:val="center"/>
              <w:rPr>
                <w:rFonts w:cs="Arial"/>
                <w:sz w:val="15"/>
                <w:szCs w:val="15"/>
                <w:highlight w:val="green"/>
              </w:rPr>
            </w:pPr>
            <w:r>
              <w:rPr>
                <w:rFonts w:cs="Arial"/>
                <w:sz w:val="15"/>
                <w:szCs w:val="15"/>
              </w:rPr>
              <w:t>1</w:t>
            </w:r>
          </w:p>
        </w:tc>
        <w:tc>
          <w:tcPr>
            <w:tcW w:w="2860" w:type="dxa"/>
            <w:tcBorders>
              <w:left w:val="single" w:sz="12" w:space="0" w:color="auto"/>
              <w:bottom w:val="single" w:sz="12" w:space="0" w:color="auto"/>
            </w:tcBorders>
            <w:vAlign w:val="center"/>
          </w:tcPr>
          <w:p w14:paraId="54E8D273" w14:textId="77777777" w:rsidR="00DE7B0D" w:rsidRPr="008B6417" w:rsidRDefault="00DE7B0D" w:rsidP="00DE7B0D">
            <w:pPr>
              <w:spacing w:line="360" w:lineRule="auto"/>
              <w:jc w:val="center"/>
              <w:rPr>
                <w:rFonts w:cs="Arial"/>
                <w:sz w:val="15"/>
                <w:szCs w:val="15"/>
              </w:rPr>
            </w:pPr>
            <w:r>
              <w:rPr>
                <w:rFonts w:cs="Arial"/>
                <w:sz w:val="15"/>
                <w:szCs w:val="15"/>
              </w:rPr>
              <w:t>1</w:t>
            </w:r>
          </w:p>
        </w:tc>
      </w:tr>
    </w:tbl>
    <w:p w14:paraId="29D8AD1F" w14:textId="77777777" w:rsidR="00DE7B0D" w:rsidRPr="00507587" w:rsidRDefault="00DE7B0D" w:rsidP="00DE7B0D">
      <w:pPr>
        <w:rPr>
          <w:snapToGrid w:val="0"/>
          <w:lang w:eastAsia="sk-SK"/>
        </w:rPr>
      </w:pPr>
    </w:p>
    <w:p w14:paraId="78764837" w14:textId="77777777" w:rsidR="00DE7B0D" w:rsidRDefault="00DE7B0D" w:rsidP="00DE7B0D">
      <w:pPr>
        <w:rPr>
          <w:snapToGrid w:val="0"/>
          <w:lang w:eastAsia="sk-SK"/>
        </w:rPr>
      </w:pPr>
      <w:r>
        <w:rPr>
          <w:snapToGrid w:val="0"/>
          <w:lang w:eastAsia="sk-SK"/>
        </w:rPr>
        <w:t>Vedúcim zamestnancom je generálny riaditeľ, ktorý je zároveň konateľom – Ing. Otto Jonnek.</w:t>
      </w:r>
    </w:p>
    <w:p w14:paraId="6CBD6189" w14:textId="77777777" w:rsidR="007D0A3E" w:rsidRDefault="007D0A3E" w:rsidP="00B55DDB">
      <w:pPr>
        <w:rPr>
          <w:snapToGrid w:val="0"/>
          <w:lang w:eastAsia="sk-SK"/>
        </w:rPr>
      </w:pPr>
    </w:p>
    <w:p w14:paraId="3853B2D7" w14:textId="77777777" w:rsidR="00DE7B0D" w:rsidRDefault="00DE7B0D" w:rsidP="00B55DDB">
      <w:pPr>
        <w:rPr>
          <w:snapToGrid w:val="0"/>
          <w:lang w:eastAsia="sk-SK"/>
        </w:rPr>
      </w:pPr>
    </w:p>
    <w:p w14:paraId="7E00B57F" w14:textId="77777777" w:rsidR="00DE7B0D" w:rsidRDefault="00DE7B0D" w:rsidP="00B55DDB">
      <w:pPr>
        <w:rPr>
          <w:snapToGrid w:val="0"/>
          <w:lang w:eastAsia="sk-SK"/>
        </w:rPr>
      </w:pPr>
    </w:p>
    <w:p w14:paraId="7C3FCFB4" w14:textId="77777777" w:rsidR="00DE7B0D" w:rsidRDefault="00DE7B0D" w:rsidP="00B55DDB">
      <w:pPr>
        <w:rPr>
          <w:snapToGrid w:val="0"/>
          <w:lang w:eastAsia="sk-SK"/>
        </w:rPr>
      </w:pPr>
    </w:p>
    <w:p w14:paraId="37103549" w14:textId="77777777" w:rsidR="00DE7B0D" w:rsidRDefault="00DE7B0D" w:rsidP="00B55DDB">
      <w:pPr>
        <w:rPr>
          <w:snapToGrid w:val="0"/>
          <w:lang w:eastAsia="sk-SK"/>
        </w:rPr>
      </w:pPr>
    </w:p>
    <w:p w14:paraId="03D905F8" w14:textId="77777777" w:rsidR="00DE7B0D" w:rsidRDefault="00DE7B0D" w:rsidP="00B55DDB">
      <w:pPr>
        <w:rPr>
          <w:snapToGrid w:val="0"/>
          <w:lang w:eastAsia="sk-SK"/>
        </w:rPr>
      </w:pPr>
    </w:p>
    <w:p w14:paraId="37C6A368" w14:textId="77777777" w:rsidR="00DE7B0D" w:rsidRPr="00B55DDB" w:rsidRDefault="00DE7B0D" w:rsidP="00B55DDB">
      <w:pPr>
        <w:rPr>
          <w:snapToGrid w:val="0"/>
          <w:lang w:eastAsia="sk-SK"/>
        </w:rPr>
      </w:pPr>
    </w:p>
    <w:p w14:paraId="5A779BFB" w14:textId="77777777" w:rsidR="00845108" w:rsidRPr="002101E6" w:rsidRDefault="00845108" w:rsidP="00C81150"/>
    <w:p w14:paraId="39A7C5CC" w14:textId="77777777" w:rsidR="002101E6" w:rsidRPr="002101E6" w:rsidRDefault="002101E6">
      <w:pPr>
        <w:jc w:val="left"/>
        <w:rPr>
          <w:i/>
          <w:snapToGrid w:val="0"/>
          <w:color w:val="FF0000"/>
          <w:lang w:eastAsia="sk-SK"/>
        </w:rPr>
      </w:pPr>
    </w:p>
    <w:p w14:paraId="745C063D" w14:textId="77777777" w:rsidR="003F164C" w:rsidRPr="002101E6" w:rsidRDefault="003F164C" w:rsidP="003F164C">
      <w:pPr>
        <w:pStyle w:val="Nadpis1"/>
      </w:pPr>
      <w:r w:rsidRPr="002101E6">
        <w:lastRenderedPageBreak/>
        <w:t>INFORMÁCIE O ORGÁNOCH SPOLOčNOSTI</w:t>
      </w:r>
    </w:p>
    <w:p w14:paraId="096837EB" w14:textId="77777777" w:rsidR="003F164C" w:rsidRPr="002101E6" w:rsidRDefault="003F164C" w:rsidP="009F5D65"/>
    <w:p w14:paraId="7E35D941" w14:textId="77777777" w:rsidR="00DE7B0D" w:rsidRPr="00507587" w:rsidRDefault="00DE7B0D" w:rsidP="00DE7B0D"/>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DE7B0D" w:rsidRPr="00E73922" w14:paraId="5C71A184" w14:textId="77777777" w:rsidTr="00DE7B0D">
        <w:trPr>
          <w:trHeight w:val="352"/>
        </w:trPr>
        <w:tc>
          <w:tcPr>
            <w:tcW w:w="1701" w:type="dxa"/>
            <w:tcBorders>
              <w:top w:val="single" w:sz="12" w:space="0" w:color="auto"/>
              <w:left w:val="single" w:sz="12" w:space="0" w:color="auto"/>
              <w:bottom w:val="nil"/>
              <w:right w:val="single" w:sz="12" w:space="0" w:color="auto"/>
            </w:tcBorders>
            <w:vAlign w:val="center"/>
          </w:tcPr>
          <w:p w14:paraId="72DC9D3A" w14:textId="77777777" w:rsidR="00DE7B0D" w:rsidRPr="00E73922" w:rsidRDefault="00DE7B0D" w:rsidP="00DE7B0D">
            <w:pPr>
              <w:jc w:val="center"/>
              <w:rPr>
                <w:b/>
                <w:sz w:val="15"/>
                <w:szCs w:val="15"/>
              </w:rPr>
            </w:pPr>
            <w:bookmarkStart w:id="0" w:name="OLE_LINK1"/>
            <w:r w:rsidRPr="00E73922">
              <w:rPr>
                <w:b/>
                <w:sz w:val="15"/>
                <w:szCs w:val="15"/>
              </w:rPr>
              <w:t>Orgán</w:t>
            </w:r>
          </w:p>
        </w:tc>
        <w:tc>
          <w:tcPr>
            <w:tcW w:w="3119" w:type="dxa"/>
            <w:tcBorders>
              <w:top w:val="single" w:sz="12" w:space="0" w:color="auto"/>
              <w:left w:val="single" w:sz="12" w:space="0" w:color="auto"/>
              <w:bottom w:val="nil"/>
              <w:right w:val="single" w:sz="12" w:space="0" w:color="auto"/>
            </w:tcBorders>
            <w:vAlign w:val="center"/>
          </w:tcPr>
          <w:p w14:paraId="1488BBC6" w14:textId="77777777" w:rsidR="00DE7B0D" w:rsidRPr="00E73922" w:rsidRDefault="00DE7B0D" w:rsidP="00DE7B0D">
            <w:pPr>
              <w:jc w:val="center"/>
              <w:rPr>
                <w:b/>
                <w:sz w:val="15"/>
                <w:szCs w:val="15"/>
              </w:rPr>
            </w:pPr>
            <w:r w:rsidRPr="00E73922">
              <w:rPr>
                <w:b/>
                <w:sz w:val="15"/>
                <w:szCs w:val="15"/>
              </w:rPr>
              <w:t>Funkcia</w:t>
            </w:r>
          </w:p>
        </w:tc>
        <w:tc>
          <w:tcPr>
            <w:tcW w:w="4394" w:type="dxa"/>
            <w:tcBorders>
              <w:top w:val="single" w:sz="12" w:space="0" w:color="auto"/>
              <w:left w:val="single" w:sz="12" w:space="0" w:color="auto"/>
              <w:bottom w:val="nil"/>
              <w:right w:val="single" w:sz="12" w:space="0" w:color="auto"/>
            </w:tcBorders>
            <w:vAlign w:val="center"/>
          </w:tcPr>
          <w:p w14:paraId="5C985E97" w14:textId="77777777" w:rsidR="00DE7B0D" w:rsidRPr="00E73922" w:rsidRDefault="00DE7B0D" w:rsidP="00DE7B0D">
            <w:pPr>
              <w:jc w:val="center"/>
              <w:rPr>
                <w:b/>
                <w:sz w:val="15"/>
                <w:szCs w:val="15"/>
              </w:rPr>
            </w:pPr>
            <w:r w:rsidRPr="00E73922">
              <w:rPr>
                <w:b/>
                <w:sz w:val="15"/>
                <w:szCs w:val="15"/>
              </w:rPr>
              <w:t>Meno</w:t>
            </w:r>
          </w:p>
        </w:tc>
      </w:tr>
      <w:tr w:rsidR="00DE7B0D" w:rsidRPr="00134C67" w14:paraId="38E95F14" w14:textId="77777777" w:rsidTr="00DE7B0D">
        <w:trPr>
          <w:trHeight w:val="247"/>
        </w:trPr>
        <w:tc>
          <w:tcPr>
            <w:tcW w:w="1701" w:type="dxa"/>
            <w:tcBorders>
              <w:top w:val="nil"/>
              <w:left w:val="single" w:sz="12" w:space="0" w:color="auto"/>
              <w:bottom w:val="single" w:sz="12" w:space="0" w:color="auto"/>
              <w:right w:val="single" w:sz="12" w:space="0" w:color="auto"/>
            </w:tcBorders>
            <w:vAlign w:val="center"/>
          </w:tcPr>
          <w:p w14:paraId="0E4E3CEB" w14:textId="77777777" w:rsidR="00DE7B0D" w:rsidRPr="00134C67" w:rsidRDefault="00DE7B0D" w:rsidP="00DE7B0D">
            <w:pPr>
              <w:jc w:val="center"/>
              <w:rPr>
                <w:sz w:val="15"/>
                <w:szCs w:val="15"/>
              </w:rPr>
            </w:pPr>
            <w:r w:rsidRPr="00134C67">
              <w:rPr>
                <w:sz w:val="15"/>
                <w:szCs w:val="15"/>
              </w:rPr>
              <w:t>a</w:t>
            </w:r>
          </w:p>
        </w:tc>
        <w:tc>
          <w:tcPr>
            <w:tcW w:w="3119" w:type="dxa"/>
            <w:tcBorders>
              <w:top w:val="nil"/>
              <w:left w:val="single" w:sz="12" w:space="0" w:color="auto"/>
              <w:bottom w:val="single" w:sz="12" w:space="0" w:color="auto"/>
              <w:right w:val="single" w:sz="12" w:space="0" w:color="auto"/>
            </w:tcBorders>
            <w:vAlign w:val="center"/>
          </w:tcPr>
          <w:p w14:paraId="6A83AF6D" w14:textId="77777777" w:rsidR="00DE7B0D" w:rsidRPr="00134C67" w:rsidRDefault="00DE7B0D" w:rsidP="00DE7B0D">
            <w:pPr>
              <w:jc w:val="center"/>
              <w:rPr>
                <w:sz w:val="15"/>
                <w:szCs w:val="15"/>
              </w:rPr>
            </w:pPr>
            <w:r w:rsidRPr="00134C67">
              <w:rPr>
                <w:sz w:val="15"/>
                <w:szCs w:val="15"/>
              </w:rPr>
              <w:t>b</w:t>
            </w:r>
          </w:p>
        </w:tc>
        <w:tc>
          <w:tcPr>
            <w:tcW w:w="4394" w:type="dxa"/>
            <w:tcBorders>
              <w:top w:val="nil"/>
              <w:left w:val="single" w:sz="12" w:space="0" w:color="auto"/>
              <w:bottom w:val="single" w:sz="12" w:space="0" w:color="auto"/>
              <w:right w:val="single" w:sz="12" w:space="0" w:color="auto"/>
            </w:tcBorders>
            <w:vAlign w:val="center"/>
          </w:tcPr>
          <w:p w14:paraId="58EDE14E" w14:textId="77777777" w:rsidR="00DE7B0D" w:rsidRPr="00134C67" w:rsidRDefault="00DE7B0D" w:rsidP="00DE7B0D">
            <w:pPr>
              <w:jc w:val="center"/>
              <w:rPr>
                <w:sz w:val="15"/>
                <w:szCs w:val="15"/>
              </w:rPr>
            </w:pPr>
            <w:r w:rsidRPr="00134C67">
              <w:rPr>
                <w:sz w:val="15"/>
                <w:szCs w:val="15"/>
              </w:rPr>
              <w:t>C</w:t>
            </w:r>
          </w:p>
        </w:tc>
      </w:tr>
      <w:tr w:rsidR="00DE7B0D" w:rsidRPr="00507587" w14:paraId="68F6E425" w14:textId="77777777" w:rsidTr="00E667A2">
        <w:trPr>
          <w:cantSplit/>
          <w:trHeight w:val="287"/>
        </w:trPr>
        <w:tc>
          <w:tcPr>
            <w:tcW w:w="1701" w:type="dxa"/>
            <w:tcBorders>
              <w:top w:val="single" w:sz="12" w:space="0" w:color="auto"/>
              <w:left w:val="single" w:sz="12" w:space="0" w:color="auto"/>
              <w:bottom w:val="single" w:sz="12" w:space="0" w:color="auto"/>
              <w:right w:val="single" w:sz="12" w:space="0" w:color="auto"/>
            </w:tcBorders>
            <w:vAlign w:val="center"/>
          </w:tcPr>
          <w:p w14:paraId="6BF151C3" w14:textId="77777777" w:rsidR="00DE7B0D" w:rsidRPr="00507587" w:rsidRDefault="00DE7B0D" w:rsidP="00DE7B0D">
            <w:pPr>
              <w:rPr>
                <w:sz w:val="15"/>
              </w:rPr>
            </w:pPr>
            <w:r>
              <w:rPr>
                <w:snapToGrid w:val="0"/>
                <w:sz w:val="15"/>
                <w:lang w:eastAsia="sk-SK"/>
              </w:rPr>
              <w:t>Štatutárny orgán</w:t>
            </w:r>
          </w:p>
        </w:tc>
        <w:tc>
          <w:tcPr>
            <w:tcW w:w="3119" w:type="dxa"/>
            <w:tcBorders>
              <w:top w:val="single" w:sz="12" w:space="0" w:color="auto"/>
              <w:left w:val="single" w:sz="12" w:space="0" w:color="auto"/>
              <w:bottom w:val="single" w:sz="12" w:space="0" w:color="auto"/>
              <w:right w:val="single" w:sz="4" w:space="0" w:color="auto"/>
            </w:tcBorders>
            <w:vAlign w:val="center"/>
          </w:tcPr>
          <w:p w14:paraId="23DA9B54" w14:textId="77777777" w:rsidR="00DE7B0D" w:rsidRPr="00507587" w:rsidRDefault="00DE7B0D" w:rsidP="00DE7B0D">
            <w:pPr>
              <w:jc w:val="left"/>
              <w:rPr>
                <w:snapToGrid w:val="0"/>
                <w:sz w:val="15"/>
                <w:lang w:eastAsia="sk-SK"/>
              </w:rPr>
            </w:pPr>
            <w:r>
              <w:rPr>
                <w:snapToGrid w:val="0"/>
                <w:sz w:val="15"/>
                <w:lang w:eastAsia="sk-SK"/>
              </w:rPr>
              <w:t>Konateľ</w:t>
            </w:r>
          </w:p>
        </w:tc>
        <w:tc>
          <w:tcPr>
            <w:tcW w:w="4394" w:type="dxa"/>
            <w:tcBorders>
              <w:top w:val="single" w:sz="12" w:space="0" w:color="auto"/>
              <w:left w:val="single" w:sz="4" w:space="0" w:color="auto"/>
              <w:bottom w:val="single" w:sz="12" w:space="0" w:color="auto"/>
              <w:right w:val="single" w:sz="12" w:space="0" w:color="auto"/>
            </w:tcBorders>
            <w:vAlign w:val="center"/>
          </w:tcPr>
          <w:p w14:paraId="1485B82A" w14:textId="17B7AFA0" w:rsidR="00DE7B0D" w:rsidRPr="00475142" w:rsidRDefault="00DE7B0D" w:rsidP="00DE7B0D">
            <w:pPr>
              <w:jc w:val="left"/>
              <w:rPr>
                <w:sz w:val="15"/>
              </w:rPr>
            </w:pPr>
            <w:r w:rsidRPr="00475142">
              <w:rPr>
                <w:sz w:val="15"/>
              </w:rPr>
              <w:t>Ing. Otto Jonnek</w:t>
            </w:r>
            <w:r w:rsidR="00E667A2">
              <w:rPr>
                <w:sz w:val="15"/>
              </w:rPr>
              <w:t xml:space="preserve"> (do 24.1.2023)</w:t>
            </w:r>
          </w:p>
        </w:tc>
      </w:tr>
      <w:tr w:rsidR="00E667A2" w:rsidRPr="00507587" w14:paraId="01FA0F93" w14:textId="77777777" w:rsidTr="00DE7B0D">
        <w:trPr>
          <w:cantSplit/>
          <w:trHeight w:val="287"/>
        </w:trPr>
        <w:tc>
          <w:tcPr>
            <w:tcW w:w="1701" w:type="dxa"/>
            <w:tcBorders>
              <w:top w:val="single" w:sz="12" w:space="0" w:color="auto"/>
              <w:left w:val="single" w:sz="12" w:space="0" w:color="auto"/>
              <w:bottom w:val="single" w:sz="8" w:space="0" w:color="auto"/>
              <w:right w:val="single" w:sz="12" w:space="0" w:color="auto"/>
            </w:tcBorders>
            <w:vAlign w:val="center"/>
          </w:tcPr>
          <w:p w14:paraId="21909CB1" w14:textId="613CDBBE" w:rsidR="00E667A2" w:rsidRDefault="00E667A2" w:rsidP="00DE7B0D">
            <w:pPr>
              <w:rPr>
                <w:snapToGrid w:val="0"/>
                <w:sz w:val="15"/>
                <w:lang w:eastAsia="sk-SK"/>
              </w:rPr>
            </w:pPr>
            <w:r>
              <w:rPr>
                <w:snapToGrid w:val="0"/>
                <w:sz w:val="15"/>
                <w:lang w:eastAsia="sk-SK"/>
              </w:rPr>
              <w:t>Štatutárny orgán</w:t>
            </w:r>
          </w:p>
        </w:tc>
        <w:tc>
          <w:tcPr>
            <w:tcW w:w="3119" w:type="dxa"/>
            <w:tcBorders>
              <w:top w:val="single" w:sz="12" w:space="0" w:color="auto"/>
              <w:left w:val="single" w:sz="12" w:space="0" w:color="auto"/>
              <w:right w:val="single" w:sz="4" w:space="0" w:color="auto"/>
            </w:tcBorders>
            <w:vAlign w:val="center"/>
          </w:tcPr>
          <w:p w14:paraId="43D80240" w14:textId="713271A1" w:rsidR="00E667A2" w:rsidRDefault="00E667A2" w:rsidP="00DE7B0D">
            <w:pPr>
              <w:jc w:val="left"/>
              <w:rPr>
                <w:snapToGrid w:val="0"/>
                <w:sz w:val="15"/>
                <w:lang w:eastAsia="sk-SK"/>
              </w:rPr>
            </w:pPr>
            <w:r>
              <w:rPr>
                <w:snapToGrid w:val="0"/>
                <w:sz w:val="15"/>
                <w:lang w:eastAsia="sk-SK"/>
              </w:rPr>
              <w:t>Konateľ</w:t>
            </w:r>
          </w:p>
        </w:tc>
        <w:tc>
          <w:tcPr>
            <w:tcW w:w="4394" w:type="dxa"/>
            <w:tcBorders>
              <w:top w:val="single" w:sz="12" w:space="0" w:color="auto"/>
              <w:left w:val="single" w:sz="4" w:space="0" w:color="auto"/>
              <w:right w:val="single" w:sz="12" w:space="0" w:color="auto"/>
            </w:tcBorders>
            <w:vAlign w:val="center"/>
          </w:tcPr>
          <w:p w14:paraId="50DB23D2" w14:textId="7DC6D9EE" w:rsidR="00E667A2" w:rsidRPr="00475142" w:rsidRDefault="00E667A2" w:rsidP="00DE7B0D">
            <w:pPr>
              <w:jc w:val="left"/>
              <w:rPr>
                <w:sz w:val="15"/>
              </w:rPr>
            </w:pPr>
            <w:r>
              <w:rPr>
                <w:sz w:val="15"/>
              </w:rPr>
              <w:t>Renáta Tóth (od 25.1.2023)</w:t>
            </w:r>
          </w:p>
        </w:tc>
      </w:tr>
      <w:bookmarkEnd w:id="0"/>
    </w:tbl>
    <w:p w14:paraId="629B44D1" w14:textId="77777777" w:rsidR="0000253C" w:rsidRDefault="0000253C" w:rsidP="00C81150">
      <w:pPr>
        <w:rPr>
          <w:i/>
          <w:snapToGrid w:val="0"/>
          <w:color w:val="FF0000"/>
          <w:lang w:eastAsia="sk-SK"/>
        </w:rPr>
      </w:pPr>
    </w:p>
    <w:p w14:paraId="79ABFCE9" w14:textId="77777777" w:rsidR="007E2CF3" w:rsidRDefault="007E2CF3">
      <w:pPr>
        <w:jc w:val="left"/>
        <w:rPr>
          <w:rFonts w:cs="Arial"/>
          <w:b/>
          <w:bCs/>
          <w:caps/>
          <w:kern w:val="32"/>
          <w:sz w:val="18"/>
          <w:szCs w:val="32"/>
          <w:u w:val="single"/>
        </w:rPr>
      </w:pPr>
      <w:bookmarkStart w:id="1" w:name="_Ref150575427"/>
    </w:p>
    <w:p w14:paraId="56126191" w14:textId="77777777" w:rsidR="00845108" w:rsidRPr="002101E6" w:rsidRDefault="00845108" w:rsidP="00C81150">
      <w:pPr>
        <w:pStyle w:val="Nadpis1"/>
      </w:pPr>
      <w:r w:rsidRPr="002101E6">
        <w:t>POUŽITÉ ÚČTOVNÉ ZÁSADY A ÚČTOVNÉ METÓDY</w:t>
      </w:r>
    </w:p>
    <w:bookmarkEnd w:id="1"/>
    <w:p w14:paraId="1A35D94F" w14:textId="77777777" w:rsidR="00C81150" w:rsidRPr="002101E6" w:rsidRDefault="00C81150" w:rsidP="00C81150"/>
    <w:p w14:paraId="1EDE792D"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DB8624" w14:textId="77777777" w:rsidR="00BE09FD" w:rsidRPr="002101E6" w:rsidRDefault="00BE09FD" w:rsidP="00BE09FD">
      <w:pPr>
        <w:rPr>
          <w:snapToGrid w:val="0"/>
          <w:sz w:val="14"/>
          <w:szCs w:val="14"/>
          <w:lang w:eastAsia="sk-SK"/>
        </w:rPr>
      </w:pPr>
    </w:p>
    <w:p w14:paraId="1BB60845" w14:textId="77777777" w:rsidR="006439F2" w:rsidRPr="002101E6" w:rsidRDefault="006439F2" w:rsidP="00BE09FD">
      <w:pPr>
        <w:rPr>
          <w:snapToGrid w:val="0"/>
          <w:sz w:val="14"/>
          <w:szCs w:val="14"/>
          <w:lang w:eastAsia="sk-SK"/>
        </w:rPr>
      </w:pPr>
    </w:p>
    <w:p w14:paraId="3167F5D7" w14:textId="77C4D73F" w:rsidR="00C81150" w:rsidRDefault="00C81150" w:rsidP="00CB407B">
      <w:pPr>
        <w:numPr>
          <w:ilvl w:val="0"/>
          <w:numId w:val="6"/>
        </w:numPr>
      </w:pPr>
      <w:r w:rsidRPr="002101E6">
        <w:t xml:space="preserve">Účtovná závierka za rok </w:t>
      </w:r>
      <w:r w:rsidR="003F164C" w:rsidRPr="002101E6">
        <w:t>20</w:t>
      </w:r>
      <w:r w:rsidR="00C1006A">
        <w:t>2</w:t>
      </w:r>
      <w:r w:rsidR="001527B4">
        <w:t>2</w:t>
      </w:r>
      <w:r w:rsidR="003F164C" w:rsidRPr="002101E6">
        <w:t xml:space="preserve"> </w:t>
      </w:r>
      <w:r w:rsidRPr="002101E6">
        <w:t xml:space="preserve">bola spracovaná za predpokladu nepretržitého pokračovania činnosti. </w:t>
      </w:r>
    </w:p>
    <w:p w14:paraId="5D410988" w14:textId="20EC3904" w:rsidR="008033F9" w:rsidRDefault="008033F9" w:rsidP="00EE1FAC">
      <w:pPr>
        <w:pStyle w:val="Odsekzoznamu"/>
        <w:ind w:left="539"/>
      </w:pPr>
      <w:r w:rsidRPr="008033F9">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ktoré sú bližšie analzované v časti VI poznámok). Vedenie Spoločnosti nepredpokladá významné ohrozenie predpokladu nepretržitého pokračovania v činnosti v blízkej budúcnosti (t.j. počas nasledujúcich 12 mesiacov od dátumu zostavenia UZ).</w:t>
      </w:r>
    </w:p>
    <w:p w14:paraId="21540215" w14:textId="77777777" w:rsidR="00EE1FAC" w:rsidRPr="008033F9" w:rsidRDefault="00EE1FAC" w:rsidP="00EE1FAC">
      <w:pPr>
        <w:pStyle w:val="Odsekzoznamu"/>
        <w:ind w:left="539"/>
      </w:pPr>
    </w:p>
    <w:p w14:paraId="7F51CE32"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0605951" w14:textId="77777777" w:rsidR="00C81150" w:rsidRPr="002101E6" w:rsidRDefault="00C81150" w:rsidP="00C81150">
      <w:pPr>
        <w:tabs>
          <w:tab w:val="num" w:pos="540"/>
        </w:tabs>
        <w:ind w:left="540" w:hanging="540"/>
        <w:rPr>
          <w:sz w:val="14"/>
          <w:szCs w:val="14"/>
        </w:rPr>
      </w:pPr>
    </w:p>
    <w:p w14:paraId="0B4F235D"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60C5D55" w14:textId="77777777" w:rsidR="00C81150" w:rsidRPr="002101E6" w:rsidRDefault="00C81150" w:rsidP="00C81150">
      <w:pPr>
        <w:tabs>
          <w:tab w:val="num" w:pos="540"/>
        </w:tabs>
        <w:ind w:left="540" w:hanging="540"/>
        <w:rPr>
          <w:sz w:val="14"/>
          <w:szCs w:val="14"/>
        </w:rPr>
      </w:pPr>
    </w:p>
    <w:p w14:paraId="53657716"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7696633A" w14:textId="77777777" w:rsidR="00C81150" w:rsidRPr="002101E6" w:rsidRDefault="00C81150" w:rsidP="00C81150">
      <w:pPr>
        <w:tabs>
          <w:tab w:val="num" w:pos="540"/>
        </w:tabs>
        <w:ind w:left="540" w:hanging="540"/>
        <w:rPr>
          <w:sz w:val="14"/>
          <w:szCs w:val="14"/>
        </w:rPr>
      </w:pPr>
    </w:p>
    <w:p w14:paraId="026998EB"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81C11C4" w14:textId="77777777" w:rsidR="00C81150" w:rsidRPr="002101E6" w:rsidRDefault="00C81150" w:rsidP="00C81150">
      <w:pPr>
        <w:tabs>
          <w:tab w:val="num" w:pos="540"/>
        </w:tabs>
        <w:ind w:left="540" w:hanging="540"/>
        <w:rPr>
          <w:sz w:val="14"/>
          <w:szCs w:val="14"/>
        </w:rPr>
      </w:pPr>
    </w:p>
    <w:p w14:paraId="57E24DFE"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FD6E630" w14:textId="77777777" w:rsidR="007E3ACA" w:rsidRPr="002101E6" w:rsidRDefault="007E3ACA">
      <w:pPr>
        <w:jc w:val="left"/>
      </w:pPr>
    </w:p>
    <w:p w14:paraId="12497BE8"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8233D2A" w14:textId="77777777" w:rsidR="002551CB" w:rsidRPr="002101E6" w:rsidRDefault="002551CB" w:rsidP="002551CB">
      <w:pPr>
        <w:pStyle w:val="Odsekzoznamu"/>
        <w:rPr>
          <w:sz w:val="14"/>
          <w:szCs w:val="14"/>
        </w:rPr>
      </w:pPr>
    </w:p>
    <w:p w14:paraId="6AEE2B7A" w14:textId="77777777" w:rsidR="002551CB" w:rsidRPr="002101E6" w:rsidRDefault="002551CB" w:rsidP="002551CB">
      <w:pPr>
        <w:pStyle w:val="Odsekzoznamu"/>
        <w:rPr>
          <w:sz w:val="14"/>
          <w:szCs w:val="14"/>
        </w:rPr>
      </w:pPr>
    </w:p>
    <w:p w14:paraId="4E06E280" w14:textId="77777777" w:rsidR="00C81150" w:rsidRPr="002101E6" w:rsidRDefault="00C81150" w:rsidP="00B55DDB">
      <w:pPr>
        <w:pStyle w:val="Nadpis2"/>
        <w:numPr>
          <w:ilvl w:val="0"/>
          <w:numId w:val="61"/>
        </w:numPr>
      </w:pPr>
      <w:bookmarkStart w:id="2" w:name="_Ref150575436"/>
      <w:r w:rsidRPr="002101E6">
        <w:t>Spôsob ocenenia jednotlivých zložiek majetku a záväzkov – prvé ocenenie</w:t>
      </w:r>
      <w:bookmarkEnd w:id="2"/>
    </w:p>
    <w:p w14:paraId="792C3A03" w14:textId="77777777" w:rsidR="00C81150" w:rsidRPr="002101E6" w:rsidRDefault="00C81150" w:rsidP="00C81150">
      <w:pPr>
        <w:rPr>
          <w:sz w:val="16"/>
          <w:szCs w:val="16"/>
        </w:rPr>
      </w:pPr>
    </w:p>
    <w:p w14:paraId="30BA8C69" w14:textId="77777777" w:rsidR="00C81150"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7FA973C7" w14:textId="77777777" w:rsidR="00DE7B0D" w:rsidRPr="002101E6" w:rsidRDefault="00DE7B0D" w:rsidP="00C81150"/>
    <w:p w14:paraId="22CB9F1E" w14:textId="77777777" w:rsidR="00C81150" w:rsidRPr="002101E6" w:rsidRDefault="00C81150" w:rsidP="00C81150">
      <w:pPr>
        <w:numPr>
          <w:ilvl w:val="0"/>
          <w:numId w:val="5"/>
        </w:numPr>
      </w:pPr>
      <w:r w:rsidRPr="002101E6">
        <w:t>Pohľadávky:</w:t>
      </w:r>
    </w:p>
    <w:p w14:paraId="78A40541"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476A9A21"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5FA7C638" w14:textId="77777777" w:rsidR="00C81150" w:rsidRPr="002101E6" w:rsidRDefault="00C81150" w:rsidP="00CB407B">
      <w:pPr>
        <w:ind w:left="539"/>
      </w:pPr>
    </w:p>
    <w:p w14:paraId="426C3134"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BA87015" w14:textId="77777777" w:rsidR="00C81150" w:rsidRPr="002101E6" w:rsidRDefault="00C81150" w:rsidP="00C81150"/>
    <w:p w14:paraId="17E0A774" w14:textId="77777777" w:rsidR="00C81150" w:rsidRPr="002101E6" w:rsidRDefault="00C81150" w:rsidP="00C81150">
      <w:pPr>
        <w:numPr>
          <w:ilvl w:val="0"/>
          <w:numId w:val="5"/>
        </w:numPr>
      </w:pPr>
      <w:r w:rsidRPr="002101E6">
        <w:t>Časové rozlíšenie na strane aktív súvahy – očakávanou menovitou hodnotou.</w:t>
      </w:r>
    </w:p>
    <w:p w14:paraId="2084CE1B" w14:textId="77777777" w:rsidR="00845108" w:rsidRPr="002101E6" w:rsidRDefault="00845108" w:rsidP="009E172B"/>
    <w:p w14:paraId="21E3A7CB" w14:textId="77777777" w:rsidR="00C81150" w:rsidRPr="002101E6" w:rsidRDefault="00C81150" w:rsidP="00C81150">
      <w:pPr>
        <w:numPr>
          <w:ilvl w:val="0"/>
          <w:numId w:val="5"/>
        </w:numPr>
      </w:pPr>
      <w:r w:rsidRPr="002101E6">
        <w:t>Záväzky:</w:t>
      </w:r>
    </w:p>
    <w:p w14:paraId="35A8E340"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2B22D330"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720C901B" w14:textId="77777777" w:rsidR="00417846" w:rsidRPr="002101E6" w:rsidRDefault="00417846" w:rsidP="00417846">
      <w:pPr>
        <w:rPr>
          <w:snapToGrid w:val="0"/>
          <w:lang w:eastAsia="sk-SK"/>
        </w:rPr>
      </w:pPr>
    </w:p>
    <w:p w14:paraId="67015A6F" w14:textId="77777777" w:rsidR="00C81150" w:rsidRPr="002101E6" w:rsidRDefault="00C81150" w:rsidP="00C81150">
      <w:pPr>
        <w:numPr>
          <w:ilvl w:val="0"/>
          <w:numId w:val="5"/>
        </w:numPr>
      </w:pPr>
      <w:r w:rsidRPr="002101E6">
        <w:t>Rezervy – v očakávanej výške záväzku alebo poistnomatematickými metódami.</w:t>
      </w:r>
    </w:p>
    <w:p w14:paraId="39F753A1" w14:textId="77777777" w:rsidR="00C81150" w:rsidRPr="002101E6" w:rsidRDefault="00C81150" w:rsidP="00C81150"/>
    <w:p w14:paraId="60501244" w14:textId="77777777" w:rsidR="00C81150" w:rsidRPr="002101E6" w:rsidRDefault="00C81150" w:rsidP="00C81150">
      <w:pPr>
        <w:ind w:left="539"/>
      </w:pPr>
    </w:p>
    <w:p w14:paraId="7AD99F2E" w14:textId="77777777" w:rsidR="00C81150" w:rsidRPr="002101E6" w:rsidRDefault="00C81150" w:rsidP="00C81150">
      <w:pPr>
        <w:numPr>
          <w:ilvl w:val="0"/>
          <w:numId w:val="5"/>
        </w:numPr>
      </w:pPr>
      <w:r w:rsidRPr="002101E6">
        <w:t>Časové rozlíšenie na strane pasív súvahy – očakávanou menovitou hodnotou.</w:t>
      </w:r>
    </w:p>
    <w:p w14:paraId="09BC97CF" w14:textId="77777777" w:rsidR="00C81150" w:rsidRPr="002101E6" w:rsidRDefault="00C81150" w:rsidP="00C81150"/>
    <w:p w14:paraId="2318897D"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DE7B0D">
        <w:t>1</w:t>
      </w:r>
      <w:r w:rsidR="00864105" w:rsidRPr="002101E6">
        <w:t xml:space="preserve"> </w:t>
      </w:r>
      <w:r w:rsidRPr="002101E6">
        <w:t>% po úpravách o niektoré položky na daňové účely.</w:t>
      </w:r>
    </w:p>
    <w:p w14:paraId="7F5F371B" w14:textId="77777777" w:rsidR="00C81150" w:rsidRPr="002101E6" w:rsidRDefault="00C81150" w:rsidP="00C81150"/>
    <w:p w14:paraId="02D1F794" w14:textId="77777777"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DE7B0D">
        <w:t>1</w:t>
      </w:r>
      <w:r w:rsidRPr="002101E6">
        <w:t xml:space="preserve"> %.</w:t>
      </w:r>
    </w:p>
    <w:p w14:paraId="4C13AA7A" w14:textId="77777777" w:rsidR="007E2CF3" w:rsidRDefault="007E2CF3">
      <w:pPr>
        <w:jc w:val="left"/>
        <w:rPr>
          <w:rFonts w:cs="Arial"/>
          <w:b/>
          <w:bCs/>
          <w:iCs/>
          <w:szCs w:val="28"/>
        </w:rPr>
      </w:pPr>
      <w:bookmarkStart w:id="3" w:name="_Ref150575465"/>
    </w:p>
    <w:p w14:paraId="297FEFA1" w14:textId="77777777" w:rsidR="00C81150" w:rsidRPr="002101E6" w:rsidRDefault="00C81150" w:rsidP="00B55DDB">
      <w:pPr>
        <w:pStyle w:val="Nadpis2"/>
        <w:numPr>
          <w:ilvl w:val="0"/>
          <w:numId w:val="61"/>
        </w:numPr>
      </w:pPr>
      <w:r w:rsidRPr="002101E6">
        <w:t>Spôsob ocenenia jednotlivých zložiek majetku a záväzkov – nasledujúce ocenenie</w:t>
      </w:r>
      <w:bookmarkEnd w:id="3"/>
    </w:p>
    <w:p w14:paraId="2C18ADC9" w14:textId="77777777" w:rsidR="00C81150" w:rsidRPr="002101E6" w:rsidRDefault="00C81150" w:rsidP="00C81150"/>
    <w:p w14:paraId="49CFB7A2" w14:textId="77777777" w:rsidR="00C81150" w:rsidRPr="002101E6" w:rsidRDefault="00C81150" w:rsidP="00C81150">
      <w:pPr>
        <w:numPr>
          <w:ilvl w:val="0"/>
          <w:numId w:val="16"/>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40C4A3DC" w14:textId="77777777" w:rsidR="00C81150" w:rsidRPr="002101E6" w:rsidRDefault="00C81150" w:rsidP="00C81150"/>
    <w:p w14:paraId="52CEF8E0" w14:textId="6231B8E3"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w:t>
      </w:r>
      <w:r w:rsidR="00DE7B0D">
        <w:rPr>
          <w:snapToGrid w:val="0"/>
          <w:lang w:eastAsia="sk-SK"/>
        </w:rPr>
        <w:t xml:space="preserve">na nevyčerpanú dovolenku </w:t>
      </w:r>
      <w:r w:rsidR="000A4352">
        <w:rPr>
          <w:snapToGrid w:val="0"/>
          <w:lang w:eastAsia="sk-SK"/>
        </w:rPr>
        <w:t xml:space="preserve">zamestnancov za </w:t>
      </w:r>
      <w:r w:rsidR="00DE7B0D">
        <w:rPr>
          <w:snapToGrid w:val="0"/>
          <w:lang w:eastAsia="sk-SK"/>
        </w:rPr>
        <w:t>bežn</w:t>
      </w:r>
      <w:r w:rsidR="000A4352">
        <w:rPr>
          <w:snapToGrid w:val="0"/>
          <w:lang w:eastAsia="sk-SK"/>
        </w:rPr>
        <w:t xml:space="preserve">é účtovné obdobie, na nevyplatené bonusy zamestnancov za bežné účtovné obdobie a na </w:t>
      </w:r>
      <w:r w:rsidR="00AF4A2F">
        <w:rPr>
          <w:snapToGrid w:val="0"/>
          <w:lang w:eastAsia="sk-SK"/>
        </w:rPr>
        <w:t>limitovanú previerku</w:t>
      </w:r>
      <w:r w:rsidR="000A4352">
        <w:rPr>
          <w:snapToGrid w:val="0"/>
          <w:lang w:eastAsia="sk-SK"/>
        </w:rPr>
        <w:t xml:space="preserve"> účtovnej závierky za bežné účtovné obdobie</w:t>
      </w:r>
      <w:r w:rsidRPr="002101E6">
        <w:rPr>
          <w:snapToGrid w:val="0"/>
          <w:lang w:eastAsia="sk-SK"/>
        </w:rPr>
        <w:t xml:space="preserve">. Ku dňu, ku ktorému sa zostavuje účtovná závierka, sa posudzuje ich výška a odôvodnenosť. </w:t>
      </w:r>
    </w:p>
    <w:p w14:paraId="692E8DED" w14:textId="77777777" w:rsidR="00C81150" w:rsidRPr="002101E6" w:rsidRDefault="00C81150" w:rsidP="00C81150"/>
    <w:p w14:paraId="3A07B429"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497546C" w14:textId="77777777" w:rsidR="00C81150" w:rsidRPr="002101E6" w:rsidRDefault="00C81150" w:rsidP="00EB02F1">
      <w:pPr>
        <w:ind w:left="900"/>
        <w:rPr>
          <w:snapToGrid w:val="0"/>
          <w:lang w:eastAsia="sk-SK"/>
        </w:rPr>
      </w:pPr>
    </w:p>
    <w:p w14:paraId="4C8E90AB"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w:t>
      </w:r>
      <w:r w:rsidR="000A4352">
        <w:t>jeho nadobudnutia.</w:t>
      </w:r>
    </w:p>
    <w:p w14:paraId="1450DD5F" w14:textId="77777777" w:rsidR="002101E6" w:rsidRPr="002101E6" w:rsidRDefault="002101E6" w:rsidP="002101E6">
      <w:pPr>
        <w:ind w:left="900"/>
      </w:pPr>
    </w:p>
    <w:p w14:paraId="7D49328A" w14:textId="77777777" w:rsidR="00C81150" w:rsidRPr="002101E6" w:rsidRDefault="00C81150" w:rsidP="00EB02F1">
      <w:pPr>
        <w:ind w:left="900"/>
      </w:pPr>
      <w:r w:rsidRPr="002101E6">
        <w:t>Priemerné životnosti podľa plánu odpisov sú:</w:t>
      </w:r>
    </w:p>
    <w:p w14:paraId="7C24DEB3"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4E1732A" w14:textId="77777777" w:rsidTr="002101E6">
        <w:tc>
          <w:tcPr>
            <w:tcW w:w="3211" w:type="dxa"/>
            <w:tcBorders>
              <w:top w:val="single" w:sz="8" w:space="0" w:color="auto"/>
              <w:bottom w:val="single" w:sz="4" w:space="0" w:color="auto"/>
            </w:tcBorders>
          </w:tcPr>
          <w:p w14:paraId="2D8081EC"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36050F2E"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B242662" w14:textId="77777777" w:rsidR="00C81150" w:rsidRPr="002101E6" w:rsidRDefault="00C81150" w:rsidP="00CB407B">
            <w:pPr>
              <w:jc w:val="center"/>
              <w:rPr>
                <w:b/>
                <w:i/>
                <w:sz w:val="15"/>
                <w:szCs w:val="15"/>
              </w:rPr>
            </w:pPr>
            <w:r w:rsidRPr="002101E6">
              <w:rPr>
                <w:b/>
                <w:i/>
                <w:sz w:val="15"/>
                <w:szCs w:val="15"/>
              </w:rPr>
              <w:t>Ročná sadzba odpisov</w:t>
            </w:r>
          </w:p>
        </w:tc>
      </w:tr>
      <w:tr w:rsidR="00876808" w:rsidRPr="002101E6" w14:paraId="4CDEBFAF" w14:textId="77777777" w:rsidTr="002101E6">
        <w:tc>
          <w:tcPr>
            <w:tcW w:w="3211" w:type="dxa"/>
            <w:tcBorders>
              <w:top w:val="single" w:sz="4" w:space="0" w:color="auto"/>
            </w:tcBorders>
          </w:tcPr>
          <w:p w14:paraId="480BEBF2" w14:textId="3851642D" w:rsidR="00876808" w:rsidRPr="00876808" w:rsidRDefault="00876808" w:rsidP="00876808">
            <w:pPr>
              <w:rPr>
                <w:b/>
                <w:snapToGrid w:val="0"/>
                <w:sz w:val="15"/>
                <w:szCs w:val="15"/>
                <w:lang w:eastAsia="sk-SK"/>
              </w:rPr>
            </w:pPr>
            <w:r w:rsidRPr="00876808">
              <w:rPr>
                <w:sz w:val="15"/>
                <w:szCs w:val="15"/>
              </w:rPr>
              <w:t>Budovy a</w:t>
            </w:r>
            <w:r w:rsidR="00C1006A">
              <w:rPr>
                <w:sz w:val="15"/>
                <w:szCs w:val="15"/>
              </w:rPr>
              <w:t> </w:t>
            </w:r>
            <w:r w:rsidRPr="00876808">
              <w:rPr>
                <w:sz w:val="15"/>
                <w:szCs w:val="15"/>
              </w:rPr>
              <w:t>stavby</w:t>
            </w:r>
          </w:p>
        </w:tc>
        <w:tc>
          <w:tcPr>
            <w:tcW w:w="2268" w:type="dxa"/>
            <w:tcBorders>
              <w:top w:val="single" w:sz="4" w:space="0" w:color="auto"/>
            </w:tcBorders>
          </w:tcPr>
          <w:p w14:paraId="0C678D04" w14:textId="77777777" w:rsidR="00876808" w:rsidRPr="000A4352" w:rsidRDefault="000A4352" w:rsidP="000A4352">
            <w:pPr>
              <w:jc w:val="center"/>
              <w:rPr>
                <w:snapToGrid w:val="0"/>
                <w:sz w:val="15"/>
                <w:szCs w:val="15"/>
                <w:lang w:eastAsia="sk-SK"/>
              </w:rPr>
            </w:pPr>
            <w:r w:rsidRPr="000A4352">
              <w:rPr>
                <w:sz w:val="15"/>
                <w:szCs w:val="15"/>
              </w:rPr>
              <w:t xml:space="preserve">40 / 20 </w:t>
            </w:r>
            <w:r w:rsidR="00876808" w:rsidRPr="000A4352">
              <w:rPr>
                <w:sz w:val="15"/>
                <w:szCs w:val="15"/>
              </w:rPr>
              <w:t>rokov</w:t>
            </w:r>
          </w:p>
        </w:tc>
        <w:tc>
          <w:tcPr>
            <w:tcW w:w="2693" w:type="dxa"/>
            <w:tcBorders>
              <w:top w:val="single" w:sz="4" w:space="0" w:color="auto"/>
            </w:tcBorders>
          </w:tcPr>
          <w:p w14:paraId="7B998DB8" w14:textId="77777777" w:rsidR="00876808" w:rsidRPr="000A4352" w:rsidRDefault="000A4352" w:rsidP="000A4352">
            <w:pPr>
              <w:jc w:val="center"/>
              <w:rPr>
                <w:sz w:val="15"/>
                <w:szCs w:val="15"/>
              </w:rPr>
            </w:pPr>
            <w:r w:rsidRPr="000A4352">
              <w:rPr>
                <w:sz w:val="15"/>
                <w:szCs w:val="15"/>
              </w:rPr>
              <w:t xml:space="preserve">2,5 / </w:t>
            </w:r>
            <w:r w:rsidR="00876808" w:rsidRPr="000A4352">
              <w:rPr>
                <w:sz w:val="15"/>
                <w:szCs w:val="15"/>
              </w:rPr>
              <w:t>5 %</w:t>
            </w:r>
          </w:p>
        </w:tc>
      </w:tr>
      <w:tr w:rsidR="00876808" w:rsidRPr="002101E6" w14:paraId="6EBF8903" w14:textId="77777777" w:rsidTr="00990976">
        <w:tc>
          <w:tcPr>
            <w:tcW w:w="3211" w:type="dxa"/>
          </w:tcPr>
          <w:p w14:paraId="186C6F86" w14:textId="45863336" w:rsidR="00876808" w:rsidRPr="00876808" w:rsidRDefault="00876808" w:rsidP="00876808">
            <w:pPr>
              <w:tabs>
                <w:tab w:val="left" w:pos="1920"/>
              </w:tabs>
              <w:rPr>
                <w:b/>
                <w:snapToGrid w:val="0"/>
                <w:sz w:val="15"/>
                <w:szCs w:val="15"/>
                <w:lang w:eastAsia="sk-SK"/>
              </w:rPr>
            </w:pPr>
            <w:r w:rsidRPr="00876808">
              <w:rPr>
                <w:sz w:val="15"/>
                <w:szCs w:val="15"/>
              </w:rPr>
              <w:t>Stroje a</w:t>
            </w:r>
            <w:r w:rsidR="00C1006A">
              <w:rPr>
                <w:sz w:val="15"/>
                <w:szCs w:val="15"/>
              </w:rPr>
              <w:t> </w:t>
            </w:r>
            <w:r w:rsidRPr="00876808">
              <w:rPr>
                <w:sz w:val="15"/>
                <w:szCs w:val="15"/>
              </w:rPr>
              <w:t>zariadenia</w:t>
            </w:r>
          </w:p>
        </w:tc>
        <w:tc>
          <w:tcPr>
            <w:tcW w:w="2268" w:type="dxa"/>
          </w:tcPr>
          <w:p w14:paraId="12FF1E15" w14:textId="77777777" w:rsidR="00876808" w:rsidRPr="000A4352" w:rsidRDefault="00876808" w:rsidP="00876808">
            <w:pPr>
              <w:jc w:val="center"/>
              <w:rPr>
                <w:snapToGrid w:val="0"/>
                <w:sz w:val="15"/>
                <w:szCs w:val="15"/>
                <w:lang w:eastAsia="sk-SK"/>
              </w:rPr>
            </w:pPr>
            <w:r w:rsidRPr="000A4352">
              <w:rPr>
                <w:sz w:val="15"/>
                <w:szCs w:val="15"/>
              </w:rPr>
              <w:t>6 rokov</w:t>
            </w:r>
          </w:p>
        </w:tc>
        <w:tc>
          <w:tcPr>
            <w:tcW w:w="2693" w:type="dxa"/>
          </w:tcPr>
          <w:p w14:paraId="6031BA28" w14:textId="77777777" w:rsidR="00876808" w:rsidRPr="000A4352" w:rsidRDefault="00876808" w:rsidP="00876808">
            <w:pPr>
              <w:jc w:val="center"/>
              <w:rPr>
                <w:sz w:val="15"/>
                <w:szCs w:val="15"/>
              </w:rPr>
            </w:pPr>
            <w:r w:rsidRPr="000A4352">
              <w:rPr>
                <w:sz w:val="15"/>
                <w:szCs w:val="15"/>
              </w:rPr>
              <w:t>16,7 %</w:t>
            </w:r>
          </w:p>
        </w:tc>
      </w:tr>
      <w:tr w:rsidR="00876808" w:rsidRPr="002101E6" w14:paraId="7704DF11" w14:textId="77777777" w:rsidTr="00990976">
        <w:tc>
          <w:tcPr>
            <w:tcW w:w="3211" w:type="dxa"/>
          </w:tcPr>
          <w:p w14:paraId="44F83B4A" w14:textId="77777777" w:rsidR="00876808" w:rsidRPr="00876808" w:rsidRDefault="00876808" w:rsidP="00876808">
            <w:pPr>
              <w:rPr>
                <w:b/>
                <w:snapToGrid w:val="0"/>
                <w:sz w:val="15"/>
                <w:szCs w:val="15"/>
                <w:lang w:eastAsia="sk-SK"/>
              </w:rPr>
            </w:pPr>
            <w:r w:rsidRPr="00876808">
              <w:rPr>
                <w:sz w:val="15"/>
                <w:szCs w:val="15"/>
              </w:rPr>
              <w:t>Dopravné prostriedky</w:t>
            </w:r>
          </w:p>
        </w:tc>
        <w:tc>
          <w:tcPr>
            <w:tcW w:w="2268" w:type="dxa"/>
          </w:tcPr>
          <w:p w14:paraId="020761D3" w14:textId="77777777" w:rsidR="00876808" w:rsidRPr="000A4352" w:rsidRDefault="00876808" w:rsidP="00876808">
            <w:pPr>
              <w:jc w:val="center"/>
              <w:rPr>
                <w:snapToGrid w:val="0"/>
                <w:sz w:val="15"/>
                <w:szCs w:val="15"/>
                <w:lang w:eastAsia="sk-SK"/>
              </w:rPr>
            </w:pPr>
            <w:r w:rsidRPr="000A4352">
              <w:rPr>
                <w:sz w:val="15"/>
                <w:szCs w:val="15"/>
              </w:rPr>
              <w:t>4 roky</w:t>
            </w:r>
          </w:p>
        </w:tc>
        <w:tc>
          <w:tcPr>
            <w:tcW w:w="2693" w:type="dxa"/>
          </w:tcPr>
          <w:p w14:paraId="70408A41" w14:textId="77777777" w:rsidR="00876808" w:rsidRPr="000A4352" w:rsidRDefault="00876808" w:rsidP="000A4352">
            <w:pPr>
              <w:jc w:val="center"/>
              <w:rPr>
                <w:sz w:val="15"/>
                <w:szCs w:val="15"/>
              </w:rPr>
            </w:pPr>
            <w:r w:rsidRPr="000A4352">
              <w:rPr>
                <w:sz w:val="15"/>
                <w:szCs w:val="15"/>
              </w:rPr>
              <w:t>25 %</w:t>
            </w:r>
          </w:p>
        </w:tc>
      </w:tr>
      <w:tr w:rsidR="00876808" w:rsidRPr="002101E6" w14:paraId="5C7E4DC6" w14:textId="77777777" w:rsidTr="00990976">
        <w:tc>
          <w:tcPr>
            <w:tcW w:w="3211" w:type="dxa"/>
            <w:tcBorders>
              <w:bottom w:val="single" w:sz="8" w:space="0" w:color="auto"/>
            </w:tcBorders>
          </w:tcPr>
          <w:p w14:paraId="10EE7EE6" w14:textId="77777777" w:rsidR="00876808" w:rsidRPr="000A4352" w:rsidRDefault="00876808" w:rsidP="00876808">
            <w:pPr>
              <w:rPr>
                <w:sz w:val="15"/>
                <w:szCs w:val="15"/>
              </w:rPr>
            </w:pPr>
            <w:r w:rsidRPr="000A4352">
              <w:rPr>
                <w:sz w:val="15"/>
                <w:szCs w:val="15"/>
              </w:rPr>
              <w:t>Softvér</w:t>
            </w:r>
          </w:p>
        </w:tc>
        <w:tc>
          <w:tcPr>
            <w:tcW w:w="2268" w:type="dxa"/>
            <w:tcBorders>
              <w:bottom w:val="single" w:sz="8" w:space="0" w:color="auto"/>
            </w:tcBorders>
          </w:tcPr>
          <w:p w14:paraId="2886EA70" w14:textId="77777777" w:rsidR="00876808" w:rsidRPr="000A4352" w:rsidRDefault="00876808" w:rsidP="00876808">
            <w:pPr>
              <w:jc w:val="center"/>
              <w:rPr>
                <w:sz w:val="15"/>
                <w:szCs w:val="15"/>
              </w:rPr>
            </w:pPr>
            <w:r w:rsidRPr="000A4352">
              <w:rPr>
                <w:sz w:val="15"/>
                <w:szCs w:val="15"/>
              </w:rPr>
              <w:t>4 roky</w:t>
            </w:r>
          </w:p>
        </w:tc>
        <w:tc>
          <w:tcPr>
            <w:tcW w:w="2693" w:type="dxa"/>
            <w:tcBorders>
              <w:bottom w:val="single" w:sz="8" w:space="0" w:color="auto"/>
            </w:tcBorders>
          </w:tcPr>
          <w:p w14:paraId="5ADC9CF5" w14:textId="77777777" w:rsidR="00876808" w:rsidRPr="002101E6" w:rsidRDefault="00876808" w:rsidP="000A4352">
            <w:pPr>
              <w:jc w:val="center"/>
              <w:rPr>
                <w:sz w:val="15"/>
                <w:szCs w:val="15"/>
              </w:rPr>
            </w:pPr>
            <w:r w:rsidRPr="000A4352">
              <w:rPr>
                <w:sz w:val="15"/>
                <w:szCs w:val="15"/>
              </w:rPr>
              <w:t>25 %</w:t>
            </w:r>
          </w:p>
        </w:tc>
      </w:tr>
    </w:tbl>
    <w:p w14:paraId="747A9EE9" w14:textId="77777777" w:rsidR="007F1711" w:rsidRPr="002101E6" w:rsidRDefault="007F1711" w:rsidP="00EB02F1">
      <w:pPr>
        <w:ind w:left="900"/>
        <w:rPr>
          <w:snapToGrid w:val="0"/>
        </w:rPr>
      </w:pPr>
    </w:p>
    <w:p w14:paraId="1F2F45C3" w14:textId="77777777" w:rsidR="00876808" w:rsidRPr="00507587" w:rsidRDefault="00876808" w:rsidP="00876808">
      <w:pPr>
        <w:ind w:left="900"/>
      </w:pPr>
      <w:r w:rsidRPr="00507587">
        <w:rPr>
          <w:snapToGrid w:val="0"/>
        </w:rPr>
        <w:t xml:space="preserve">Daňové odpisy sa uplatňujú podľa sadzieb uvedených v zákone o daniach z príjmov platných pre </w:t>
      </w:r>
      <w:r w:rsidR="000A4352">
        <w:rPr>
          <w:snapToGrid w:val="0"/>
        </w:rPr>
        <w:t>rovnomerné</w:t>
      </w:r>
      <w:r w:rsidRPr="00507587">
        <w:t xml:space="preserve"> odpisovanie.</w:t>
      </w:r>
    </w:p>
    <w:p w14:paraId="7393F9B7" w14:textId="77777777" w:rsidR="00C81150" w:rsidRPr="002101E6" w:rsidRDefault="00C81150" w:rsidP="00C81150"/>
    <w:p w14:paraId="0EDFE44F" w14:textId="77777777" w:rsidR="00C81150" w:rsidRPr="002101E6" w:rsidRDefault="00C81150" w:rsidP="00C81150"/>
    <w:p w14:paraId="3E4663DF" w14:textId="77777777" w:rsidR="00C81150" w:rsidRPr="002101E6" w:rsidRDefault="00C81150" w:rsidP="00CB407B">
      <w:pPr>
        <w:pStyle w:val="Nadpis2"/>
      </w:pPr>
      <w:r w:rsidRPr="002101E6">
        <w:t>Prepočet údajov v cudzích menách na slovenskú menu</w:t>
      </w:r>
    </w:p>
    <w:p w14:paraId="2D722C31" w14:textId="77777777" w:rsidR="00C81150" w:rsidRPr="002101E6" w:rsidRDefault="00C81150" w:rsidP="00C81150"/>
    <w:p w14:paraId="101626E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CDF09E4" w14:textId="77777777" w:rsidR="00C81150" w:rsidRPr="009F5D65" w:rsidRDefault="00C81150" w:rsidP="00C81150">
      <w:pPr>
        <w:ind w:left="567"/>
        <w:rPr>
          <w:b/>
          <w:snapToGrid w:val="0"/>
          <w:sz w:val="14"/>
          <w:szCs w:val="14"/>
          <w:lang w:eastAsia="sk-SK"/>
        </w:rPr>
      </w:pPr>
    </w:p>
    <w:p w14:paraId="538B3C7B" w14:textId="77777777" w:rsidR="00F2412D" w:rsidRDefault="00F2412D">
      <w:pPr>
        <w:rPr>
          <w:i/>
          <w:color w:val="FF0000"/>
        </w:rPr>
      </w:pPr>
    </w:p>
    <w:p w14:paraId="1F9C0D8E" w14:textId="77777777" w:rsidR="000B313E" w:rsidRPr="002101E6" w:rsidRDefault="000B313E">
      <w:pPr>
        <w:rPr>
          <w:i/>
          <w:color w:val="FF0000"/>
        </w:rPr>
      </w:pPr>
    </w:p>
    <w:p w14:paraId="40C0D661" w14:textId="77777777" w:rsidR="002101E6" w:rsidRDefault="002101E6" w:rsidP="002101E6"/>
    <w:p w14:paraId="40ED2041" w14:textId="77777777" w:rsidR="006A165E" w:rsidRDefault="006A165E" w:rsidP="002101E6"/>
    <w:p w14:paraId="63FB2F5C" w14:textId="77777777" w:rsidR="006A165E" w:rsidRDefault="006A165E" w:rsidP="002101E6"/>
    <w:p w14:paraId="3654BCC8" w14:textId="77777777" w:rsidR="006A165E" w:rsidRDefault="006A165E" w:rsidP="002101E6"/>
    <w:p w14:paraId="6BDB0EC2" w14:textId="77777777" w:rsidR="006A165E" w:rsidRDefault="006A165E" w:rsidP="002101E6"/>
    <w:p w14:paraId="4DD21AF7" w14:textId="77777777" w:rsidR="006A165E" w:rsidRDefault="006A165E" w:rsidP="002101E6"/>
    <w:p w14:paraId="1061648D" w14:textId="77777777" w:rsidR="006A165E" w:rsidRPr="002101E6" w:rsidRDefault="006A165E" w:rsidP="002101E6"/>
    <w:p w14:paraId="035B4181" w14:textId="77777777" w:rsidR="00CB407B" w:rsidRPr="002101E6" w:rsidRDefault="003F164C" w:rsidP="00CB407B">
      <w:pPr>
        <w:pStyle w:val="Nadpis1"/>
      </w:pPr>
      <w:r w:rsidRPr="002101E6">
        <w:t>INFORMáCIE, KTORé VYSVETĽUJú A DOPĹňAJú SúVAHU A VýKAZ ZISKOV A STRáT</w:t>
      </w:r>
    </w:p>
    <w:p w14:paraId="5EECA1E4" w14:textId="77777777" w:rsidR="00CB407B" w:rsidRDefault="00CB407B" w:rsidP="00CB407B">
      <w:pPr>
        <w:rPr>
          <w:b/>
          <w:snapToGrid w:val="0"/>
          <w:u w:val="single"/>
          <w:lang w:eastAsia="sk-SK"/>
        </w:rPr>
      </w:pPr>
    </w:p>
    <w:p w14:paraId="370B923A" w14:textId="77777777" w:rsidR="00AF3FB5" w:rsidRDefault="00AF3FB5" w:rsidP="007668B7">
      <w:pPr>
        <w:rPr>
          <w:i/>
          <w:snapToGrid w:val="0"/>
          <w:color w:val="FF0000"/>
          <w:lang w:eastAsia="sk-SK"/>
        </w:rPr>
      </w:pPr>
    </w:p>
    <w:p w14:paraId="51F59236" w14:textId="77777777" w:rsidR="003F164C" w:rsidRPr="00A13411" w:rsidRDefault="007A27BF" w:rsidP="009E172B">
      <w:r w:rsidRPr="00A13411">
        <w:t>Podľa požiadaviek Opatrenia Ministerstva financií Slovenskej republiky z 3. decembra 2014 č. MF/23378/2014-74, nemá účtovná jednotka pre túto časť vecnú náplň.</w:t>
      </w:r>
    </w:p>
    <w:p w14:paraId="54F704F9" w14:textId="77777777" w:rsidR="002101E6" w:rsidRPr="002101E6" w:rsidRDefault="002101E6" w:rsidP="00A13411"/>
    <w:p w14:paraId="238698C1" w14:textId="77777777" w:rsidR="00D85BDD" w:rsidRPr="00A13411" w:rsidRDefault="00D85BDD" w:rsidP="00A13411"/>
    <w:p w14:paraId="7D9EE4D9" w14:textId="77777777" w:rsidR="0015753D" w:rsidRDefault="0015753D">
      <w:pPr>
        <w:jc w:val="left"/>
        <w:rPr>
          <w:rFonts w:cs="Arial"/>
          <w:b/>
          <w:bCs/>
          <w:caps/>
          <w:snapToGrid w:val="0"/>
          <w:color w:val="000000"/>
          <w:kern w:val="32"/>
          <w:sz w:val="18"/>
          <w:szCs w:val="32"/>
          <w:u w:val="single"/>
          <w:lang w:eastAsia="sk-SK"/>
        </w:rPr>
      </w:pPr>
      <w:bookmarkStart w:id="5" w:name="T_offbalance_accounts"/>
    </w:p>
    <w:bookmarkEnd w:id="5"/>
    <w:p w14:paraId="53BE56A3" w14:textId="77777777" w:rsidR="001E2635" w:rsidRPr="002101E6" w:rsidRDefault="001E2635" w:rsidP="001E2635">
      <w:pPr>
        <w:pStyle w:val="Nadpis1"/>
      </w:pPr>
      <w:r w:rsidRPr="002101E6">
        <w:t>INÉ AKTÍVA A INÉ PASÍVA</w:t>
      </w:r>
    </w:p>
    <w:p w14:paraId="480E8428" w14:textId="77777777" w:rsidR="001E2635" w:rsidRPr="002101E6" w:rsidRDefault="001E2635" w:rsidP="001E2635"/>
    <w:p w14:paraId="6FF0BD4F" w14:textId="77777777" w:rsidR="00243056" w:rsidRPr="002101E6" w:rsidRDefault="00243056" w:rsidP="00243056">
      <w:pPr>
        <w:rPr>
          <w:snapToGrid w:val="0"/>
          <w:lang w:eastAsia="sk-SK"/>
        </w:rPr>
      </w:pPr>
      <w:bookmarkStart w:id="6" w:name="T_related_parties_2"/>
    </w:p>
    <w:p w14:paraId="019B642F" w14:textId="35604974" w:rsidR="007C59A2" w:rsidRDefault="00AF4A2F" w:rsidP="007C59A2">
      <w:r>
        <w:t>Spoločnosť má na svojich skladoch v areáli v Chotíne k 31.12.20</w:t>
      </w:r>
      <w:r w:rsidR="001F7E24">
        <w:t>2</w:t>
      </w:r>
      <w:r w:rsidR="001527B4">
        <w:t>2</w:t>
      </w:r>
      <w:r>
        <w:t xml:space="preserve"> priemyselné hnojivá, ktoré nie sú v jej vlastníctve, ale sú majetkom materskej spoločnosti Borealis L.A.T GmbH</w:t>
      </w:r>
      <w:r w:rsidR="007031EC">
        <w:t>. Stav takto skladovaných hnojív k 31.12.20</w:t>
      </w:r>
      <w:r w:rsidR="001F7E24">
        <w:t>2</w:t>
      </w:r>
      <w:r w:rsidR="001527B4">
        <w:t>2</w:t>
      </w:r>
      <w:r w:rsidR="007031EC">
        <w:t xml:space="preserve"> zobrazuje nasledovná tabuľka:</w:t>
      </w:r>
    </w:p>
    <w:p w14:paraId="487613A8" w14:textId="77777777" w:rsidR="007031EC" w:rsidRDefault="007031EC" w:rsidP="007C59A2"/>
    <w:bookmarkStart w:id="7" w:name="_MON_1615096366"/>
    <w:bookmarkEnd w:id="7"/>
    <w:p w14:paraId="5C112500" w14:textId="2F336B36" w:rsidR="007031EC" w:rsidRPr="00A13411" w:rsidRDefault="00585363" w:rsidP="007C59A2">
      <w:r>
        <w:object w:dxaOrig="8325" w:dyaOrig="6652" w14:anchorId="18C54F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16.95pt;height:318.7pt" o:ole="">
            <v:imagedata r:id="rId10" o:title=""/>
          </v:shape>
          <o:OLEObject Type="Embed" ProgID="Excel.Sheet.12" ShapeID="_x0000_i1029" DrawAspect="Content" ObjectID="_1741466086" r:id="rId11"/>
        </w:object>
      </w:r>
    </w:p>
    <w:p w14:paraId="415F0284" w14:textId="77777777" w:rsidR="00A13411" w:rsidRDefault="00A13411"/>
    <w:p w14:paraId="74F05892" w14:textId="77777777" w:rsidR="00864AEB" w:rsidRDefault="00A13411">
      <w:r>
        <w:t xml:space="preserve"> </w:t>
      </w:r>
      <w:bookmarkStart w:id="8" w:name="_GoBack"/>
      <w:bookmarkEnd w:id="8"/>
    </w:p>
    <w:p w14:paraId="45FD01C5" w14:textId="77777777" w:rsidR="002641D0" w:rsidRPr="009F5D65" w:rsidRDefault="002641D0"/>
    <w:bookmarkEnd w:id="6"/>
    <w:p w14:paraId="4382BD71" w14:textId="77777777" w:rsidR="008A60C8" w:rsidRDefault="008A60C8">
      <w:pPr>
        <w:jc w:val="left"/>
        <w:rPr>
          <w:rFonts w:cs="Arial"/>
          <w:b/>
          <w:bCs/>
          <w:i/>
          <w:caps/>
          <w:color w:val="FF0000"/>
          <w:kern w:val="32"/>
          <w:sz w:val="18"/>
          <w:szCs w:val="32"/>
          <w:u w:val="single"/>
        </w:rPr>
      </w:pPr>
    </w:p>
    <w:p w14:paraId="09AA812E"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D2A6F1D" w14:textId="77777777" w:rsidR="001E2635" w:rsidRPr="002101E6" w:rsidRDefault="001E2635" w:rsidP="001E2635">
      <w:pPr>
        <w:rPr>
          <w:u w:val="single"/>
        </w:rPr>
      </w:pPr>
    </w:p>
    <w:p w14:paraId="31450399" w14:textId="34194ACC" w:rsidR="00F564E0" w:rsidRPr="00883BDC" w:rsidRDefault="00F564E0" w:rsidP="00F564E0">
      <w:r w:rsidRPr="00F564E0">
        <w:t xml:space="preserve">Po získaní väčšinového podielu v skupine Borealis skupinou OMV </w:t>
      </w:r>
      <w:r w:rsidRPr="00883BDC">
        <w:t xml:space="preserve">Group pred </w:t>
      </w:r>
      <w:r w:rsidR="00330FBD" w:rsidRPr="00883BDC">
        <w:t>tr</w:t>
      </w:r>
      <w:r w:rsidRPr="00883BDC">
        <w:t xml:space="preserve">oma rokmi, došlo k rozhodnutiu vedenia OMV Group rozdeliť skupinu Borealis na časť NITRO, ktorá zahŕňa odvetvia priemyselných hnojív, technických dusíkatých látok  a melamínu (do tejto časti patrí aj naša spoločnosť) a na časť Polyolefínov, ktorá zahŕňa odvetvia polyolefínov, plastov a príbuznej chemickej produkcie. Dôvodom tohto zamýšľaného rozdelenia bol zámer predať časť NITRO strategickému investorovi, nakoľko pre OMV Group nepredstavujú priemyselné hnojivá, technické dusíkaté látky a melamíny ich core business. </w:t>
      </w:r>
      <w:r w:rsidR="00330FBD" w:rsidRPr="00883BDC">
        <w:t>Po odmietnutí ponuky skupiny EuroChem na akvizíciu časti NITRO v priebehu roku 2021 sa pokračovalo v hľadaní strategického investora, čoho výsledkom bola ponuka skupiny Agrofert v priebehu roku 2022. Skupina Agrofert patrí takisto k významným hráčom na svetovom trhu s priemyselnými hnojivami. Práce na zavŕšení akvizície prebiehali počas roku 2022 a počítalo sa, že k 31.12.2022 bude akvizícia úspešne ukončená. Ale nakoľko aj skupina Borealis, aj skupina Agrofert podnikajú v mnohých štátoch EU, o vyjadrenie k danej akvizícii museli byť požiadané dotknuté úrady v </w:t>
      </w:r>
      <w:r w:rsidR="00752A59" w:rsidRPr="00883BDC">
        <w:t>mnohých</w:t>
      </w:r>
      <w:r w:rsidR="00330FBD" w:rsidRPr="00883BDC">
        <w:t xml:space="preserve"> krajinách, čo spôsobilo značné oneskorenie, pričom hlavne francúzske úrady požadovali množstvo dodatočných informácií, čoho dôsledkom bolo predlžovanie lehôt</w:t>
      </w:r>
      <w:r w:rsidR="00752A59" w:rsidRPr="00883BDC">
        <w:t xml:space="preserve"> a uzatvorenie akvizície sa do 31.12.2022 neporadilo</w:t>
      </w:r>
      <w:r w:rsidR="00330FBD" w:rsidRPr="00883BDC">
        <w:t xml:space="preserve">. Napriek uvedeným zdržaniam sa všeobecne očakáva uzatvorenie akvizície do konca prvého kvartálu 2023, medzi manažmentom Borealisu a Agrofertu prebieha neustála komunikácia a vzájomné úsilie smeruje k zdarnému </w:t>
      </w:r>
      <w:r w:rsidR="00752A59" w:rsidRPr="00883BDC">
        <w:t>uzatvoreniu</w:t>
      </w:r>
      <w:r w:rsidR="00330FBD" w:rsidRPr="00883BDC">
        <w:t xml:space="preserve"> akvizície. Jedným z dôkazov je aj tvorba rezervy na tzv. welcome bonus k 31.12.2022 pre všetkých zamestnancov Borealis, pričom vyplatenie tohto welcome bonusu je podmienené práve ukončením procesu akvizície.</w:t>
      </w:r>
    </w:p>
    <w:p w14:paraId="759B6A97" w14:textId="1EDF4DD1" w:rsidR="008121E5" w:rsidRPr="00883BDC" w:rsidRDefault="00F564E0" w:rsidP="00F564E0">
      <w:r w:rsidRPr="00883BDC">
        <w:t xml:space="preserve">Z udalostí, ktoré mali vplyv na podnikanie našej spoločnosti, je treba uviesť </w:t>
      </w:r>
      <w:r w:rsidR="00330FBD" w:rsidRPr="00883BDC">
        <w:t>dnes už prakticky stabilne vysokú cenu plynu</w:t>
      </w:r>
      <w:r w:rsidRPr="00883BDC">
        <w:t xml:space="preserve">, nakoľko zemný plyn tvorí hlavnú surovinu pri výrobe priemyselných hnojív. </w:t>
      </w:r>
      <w:r w:rsidR="00330FBD" w:rsidRPr="00883BDC">
        <w:t>V procese očakávaného rozdeľovania trhov EU a Ruska sa to premieta do stabilne vysokých cien priemyselných hnojív a</w:t>
      </w:r>
      <w:r w:rsidRPr="00883BDC">
        <w:t xml:space="preserve"> vysokej neistoty na trhoch. Naša časť NITRO </w:t>
      </w:r>
      <w:r w:rsidR="00330FBD" w:rsidRPr="00883BDC">
        <w:t xml:space="preserve">aj v roku 2022 </w:t>
      </w:r>
      <w:r w:rsidRPr="00883BDC">
        <w:t>profitoval</w:t>
      </w:r>
      <w:r w:rsidR="00330FBD" w:rsidRPr="00883BDC">
        <w:t>a</w:t>
      </w:r>
      <w:r w:rsidRPr="00883BDC">
        <w:t xml:space="preserve"> z dostatočných disponibilných objemov ponúkaných hnojív a vyšších márž a hospodársky výsledok </w:t>
      </w:r>
      <w:r w:rsidR="00330FBD" w:rsidRPr="00883BDC">
        <w:t xml:space="preserve">za </w:t>
      </w:r>
      <w:r w:rsidRPr="00883BDC">
        <w:t>rok 2022 je nad plánovanými výsledkami časti NITRO za rovnaké obdobia v minulých rokoch.</w:t>
      </w:r>
      <w:r w:rsidR="00330FBD" w:rsidRPr="00883BDC">
        <w:t xml:space="preserve"> Na začiatku roku 2023 sa začal prejavovať očakávaný fenomén v podobe importu priemyselných hnojív do Európy z tretích krajín, najmä štátov severnej Afriky, na čo museli európski výrobcovia zareagovať znížením cien svojej produkcie, aby dokázali tomuto importu cenovo konkurovať. Dopad tohto dovozu na budúce podnikanie NITRO sa dnes ešte nedá vyhodnotiť, nakoľko v rýchlo sa meniacej medzinárodnej situácii je príliš veľa premenných vrátane možných obranných ekonomických opatrení zo strany EU, každopádne ale veľký a rýchly nárast cien priemyselných hnojív za ostatné 2 roky spôsobený enormným nárastom ceny plynu ako hlavnej suroviny vytvára na trhu rovnako veľký tlak na nižšiu cenu a hľadanie alternatív.</w:t>
      </w:r>
    </w:p>
    <w:p w14:paraId="5F377E7E" w14:textId="77777777" w:rsidR="00FB5DC5" w:rsidRPr="00AB1E56" w:rsidRDefault="00FB5DC5" w:rsidP="00FB5DC5">
      <w:pPr>
        <w:rPr>
          <w:snapToGrid w:val="0"/>
          <w:lang w:val="de-DE" w:eastAsia="sk-SK"/>
        </w:rPr>
      </w:pPr>
    </w:p>
    <w:p w14:paraId="6EFC84FB" w14:textId="77777777" w:rsidR="00A13411" w:rsidRPr="00FB5DC5" w:rsidRDefault="00A13411" w:rsidP="00FB5DC5">
      <w:pPr>
        <w:rPr>
          <w:snapToGrid w:val="0"/>
          <w:lang w:eastAsia="sk-SK"/>
        </w:rPr>
      </w:pPr>
    </w:p>
    <w:p w14:paraId="68868FE3" w14:textId="77777777" w:rsidR="00D56BE5" w:rsidRPr="002101E6" w:rsidRDefault="00D56BE5" w:rsidP="001E2635">
      <w:pPr>
        <w:rPr>
          <w:snapToGrid w:val="0"/>
          <w:lang w:eastAsia="sk-SK"/>
        </w:rPr>
      </w:pPr>
    </w:p>
    <w:p w14:paraId="0D4AD74D" w14:textId="77777777" w:rsidR="00B01FC5" w:rsidRPr="002101E6" w:rsidRDefault="00B01FC5" w:rsidP="00B01FC5">
      <w:pPr>
        <w:pStyle w:val="Nadpis1"/>
      </w:pPr>
      <w:r>
        <w:t>Ostatné informácie</w:t>
      </w:r>
    </w:p>
    <w:p w14:paraId="0B3264AA" w14:textId="77777777" w:rsidR="001E2635" w:rsidRDefault="001E2635" w:rsidP="0012668B">
      <w:pPr>
        <w:rPr>
          <w:snapToGrid w:val="0"/>
          <w:lang w:eastAsia="sk-SK"/>
        </w:rPr>
      </w:pPr>
    </w:p>
    <w:p w14:paraId="274C905F" w14:textId="77777777" w:rsidR="00A13411" w:rsidRPr="00A13411" w:rsidRDefault="00A13411" w:rsidP="00A13411">
      <w:r w:rsidRPr="00A13411">
        <w:t>Podľa požiadaviek Opatrenia Ministerstva financií Slovenskej republiky z 3. decembra 2014 č. MF/23378/2014-74, nemá účtovná jednotka pre túto časť vecnú náplň.</w:t>
      </w:r>
    </w:p>
    <w:p w14:paraId="3F4B5258" w14:textId="77777777" w:rsidR="00A13411" w:rsidRPr="002101E6" w:rsidRDefault="00A13411" w:rsidP="0012668B">
      <w:pPr>
        <w:rPr>
          <w:snapToGrid w:val="0"/>
          <w:lang w:eastAsia="sk-SK"/>
        </w:rPr>
      </w:pPr>
    </w:p>
    <w:sectPr w:rsidR="00A13411" w:rsidRPr="002101E6" w:rsidSect="0039093F">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D2B80F" w14:textId="77777777" w:rsidR="00DD6558" w:rsidRDefault="00DD6558">
      <w:r>
        <w:separator/>
      </w:r>
    </w:p>
  </w:endnote>
  <w:endnote w:type="continuationSeparator" w:id="0">
    <w:p w14:paraId="56BF1129" w14:textId="77777777" w:rsidR="00DD6558" w:rsidRDefault="00DD6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4BC0F0DD" w14:textId="5D79A594" w:rsidR="00F564E0" w:rsidRDefault="00883BDC" w:rsidP="002101E6">
        <w:pPr>
          <w:pStyle w:val="Pta"/>
          <w:pBdr>
            <w:top w:val="single" w:sz="4" w:space="1" w:color="auto"/>
          </w:pBdr>
          <w:jc w:val="right"/>
        </w:pPr>
        <w:r>
          <w:rPr>
            <w:noProof/>
            <w:lang w:eastAsia="sk-SK"/>
          </w:rPr>
          <mc:AlternateContent>
            <mc:Choice Requires="wps">
              <w:drawing>
                <wp:anchor distT="0" distB="0" distL="114300" distR="114300" simplePos="0" relativeHeight="251659264" behindDoc="0" locked="0" layoutInCell="0" allowOverlap="1" wp14:anchorId="65C85E7A" wp14:editId="2B45696B">
                  <wp:simplePos x="0" y="0"/>
                  <wp:positionH relativeFrom="page">
                    <wp:posOffset>0</wp:posOffset>
                  </wp:positionH>
                  <wp:positionV relativeFrom="page">
                    <wp:posOffset>10250170</wp:posOffset>
                  </wp:positionV>
                  <wp:extent cx="7560945" cy="252095"/>
                  <wp:effectExtent l="0" t="0" r="0" b="14605"/>
                  <wp:wrapNone/>
                  <wp:docPr id="1" name="MSIPCMbece42fab2be9924a96a3d2d" descr="{&quot;HashCode&quot;:-1962696840,&quot;Height&quot;:842.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945" cy="2520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964E60B" w14:textId="1CA3C5F0" w:rsidR="00883BDC" w:rsidRPr="00883BDC" w:rsidRDefault="00883BDC" w:rsidP="00883BDC">
                              <w:pPr>
                                <w:jc w:val="right"/>
                                <w:rPr>
                                  <w:rFonts w:ascii="Arial" w:hAnsi="Arial" w:cs="Arial"/>
                                  <w:color w:val="737373"/>
                                  <w:sz w:val="18"/>
                                </w:rPr>
                              </w:pPr>
                              <w:r w:rsidRPr="00883BDC">
                                <w:rPr>
                                  <w:rFonts w:ascii="Arial" w:hAnsi="Arial" w:cs="Arial"/>
                                  <w:color w:val="737373"/>
                                  <w:sz w:val="18"/>
                                </w:rPr>
                                <w:t>Sensitivity: Internal</w:t>
                              </w:r>
                            </w:p>
                          </w:txbxContent>
                        </wps:txbx>
                        <wps:bodyPr rot="0" spcFirstLastPara="0" vertOverflow="overflow" horzOverflow="overflow" vert="horz" wrap="square" lIns="91440" tIns="0" rIns="254000" bIns="0" numCol="1" spcCol="0" rtlCol="0" fromWordArt="0" anchor="b"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65C85E7A" id="_x0000_t202" coordsize="21600,21600" o:spt="202" path="m,l,21600r21600,l21600,xe">
                  <v:stroke joinstyle="miter"/>
                  <v:path gradientshapeok="t" o:connecttype="rect"/>
                </v:shapetype>
                <v:shape id="MSIPCMbece42fab2be9924a96a3d2d" o:spid="_x0000_s1026" type="#_x0000_t202" alt="{&quot;HashCode&quot;:-1962696840,&quot;Height&quot;:842.0,&quot;Width&quot;:595.0,&quot;Placement&quot;:&quot;Footer&quot;,&quot;Index&quot;:&quot;Primary&quot;,&quot;Section&quot;:1,&quot;Top&quot;:0.0,&quot;Left&quot;:0.0}" style="position:absolute;left:0;text-align:left;margin-left:0;margin-top:807.1pt;width:595.35pt;height:19.8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" o:allowincell="f" filled="f" stroked="f" strokeweight=".5pt">
                  <v:textbox inset=",0,20pt,0">
                    <w:txbxContent>
                      <w:p w14:paraId="7964E60B" w14:textId="1CA3C5F0" w:rsidR="00883BDC" w:rsidRPr="00883BDC" w:rsidRDefault="00883BDC" w:rsidP="00883BDC">
                        <w:pPr>
                          <w:jc w:val="right"/>
                          <w:rPr>
                            <w:rFonts w:ascii="Arial" w:hAnsi="Arial" w:cs="Arial"/>
                            <w:color w:val="737373"/>
                            <w:sz w:val="18"/>
                          </w:rPr>
                        </w:pPr>
                        <w:r w:rsidRPr="00883BDC">
                          <w:rPr>
                            <w:rFonts w:ascii="Arial" w:hAnsi="Arial" w:cs="Arial"/>
                            <w:color w:val="737373"/>
                            <w:sz w:val="18"/>
                          </w:rPr>
                          <w:t>Sensitivity: Internal</w:t>
                        </w:r>
                      </w:p>
                    </w:txbxContent>
                  </v:textbox>
                  <w10:wrap anchorx="page" anchory="page"/>
                </v:shape>
              </w:pict>
            </mc:Fallback>
          </mc:AlternateContent>
        </w:r>
        <w:r w:rsidR="00F564E0">
          <w:fldChar w:fldCharType="begin"/>
        </w:r>
        <w:r w:rsidR="00F564E0">
          <w:instrText xml:space="preserve"> PAGE   \* MERGEFORMAT </w:instrText>
        </w:r>
        <w:r w:rsidR="00F564E0">
          <w:fldChar w:fldCharType="separate"/>
        </w:r>
        <w:r w:rsidR="00FA492A">
          <w:rPr>
            <w:noProof/>
          </w:rPr>
          <w:t>4</w:t>
        </w:r>
        <w:r w:rsidR="00F564E0">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08CD2A" w14:textId="77777777" w:rsidR="00DD6558" w:rsidRDefault="00DD6558">
      <w:r>
        <w:separator/>
      </w:r>
    </w:p>
  </w:footnote>
  <w:footnote w:type="continuationSeparator" w:id="0">
    <w:p w14:paraId="26A8380D" w14:textId="77777777" w:rsidR="00DD6558" w:rsidRDefault="00DD65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97BAEF" w14:textId="77777777" w:rsidR="00F564E0" w:rsidRDefault="00F564E0"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36536288</w:t>
    </w:r>
    <w:r>
      <w:tab/>
      <w:t>DIČ: 2020158217</w:t>
    </w:r>
  </w:p>
  <w:p w14:paraId="56EB2536" w14:textId="77777777" w:rsidR="00F564E0" w:rsidRDefault="00F564E0" w:rsidP="00C81150">
    <w:pPr>
      <w:pStyle w:val="Hlavika"/>
    </w:pPr>
    <w:bookmarkStart w:id="9" w:name="Business_name"/>
    <w:bookmarkEnd w:id="9"/>
  </w:p>
  <w:p w14:paraId="15FF5FE9" w14:textId="77777777" w:rsidR="00F564E0" w:rsidRDefault="00F564E0" w:rsidP="00C81150">
    <w:pPr>
      <w:pStyle w:val="Hlavika"/>
    </w:pPr>
    <w:r>
      <w:t>Poznámky individuálnej účtovnej závierky</w:t>
    </w:r>
  </w:p>
  <w:p w14:paraId="010F3894" w14:textId="6688112B" w:rsidR="00F564E0" w:rsidRDefault="00F564E0" w:rsidP="00C81150">
    <w:pPr>
      <w:pStyle w:val="Hlavika"/>
    </w:pPr>
    <w:r>
      <w:t>Zostavenej k 31. decembru 202</w:t>
    </w:r>
    <w:r w:rsidR="001527B4">
      <w:t>2</w:t>
    </w:r>
  </w:p>
  <w:p w14:paraId="3FFA2B74" w14:textId="77777777" w:rsidR="00F564E0" w:rsidRDefault="00F564E0" w:rsidP="00C81150">
    <w:pPr>
      <w:pStyle w:val="Hlavika"/>
      <w:pBdr>
        <w:bottom w:val="single" w:sz="4" w:space="1" w:color="auto"/>
      </w:pBdr>
    </w:pPr>
    <w:r>
      <w:t>(údaje v tabuľkách sú uvedené v celých eurách, ak nie je uvedené inak)</w:t>
    </w:r>
  </w:p>
  <w:p w14:paraId="7B61E8FD" w14:textId="77777777" w:rsidR="00F564E0" w:rsidRDefault="00F564E0"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9060300"/>
    <w:multiLevelType w:val="hybridMultilevel"/>
    <w:tmpl w:val="E522D8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9686D7C"/>
    <w:multiLevelType w:val="multilevel"/>
    <w:tmpl w:val="AB1CDD98"/>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9"/>
  </w:num>
  <w:num w:numId="61">
    <w:abstractNumId w:val="3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A4352"/>
    <w:rsid w:val="000B2C5D"/>
    <w:rsid w:val="000B313E"/>
    <w:rsid w:val="000B638D"/>
    <w:rsid w:val="000B7F83"/>
    <w:rsid w:val="000C1342"/>
    <w:rsid w:val="000C3965"/>
    <w:rsid w:val="000C559C"/>
    <w:rsid w:val="000C6D1B"/>
    <w:rsid w:val="000D03BD"/>
    <w:rsid w:val="000D051D"/>
    <w:rsid w:val="000D4339"/>
    <w:rsid w:val="000D6844"/>
    <w:rsid w:val="000D7DAD"/>
    <w:rsid w:val="000E123F"/>
    <w:rsid w:val="000E1EAB"/>
    <w:rsid w:val="000E4315"/>
    <w:rsid w:val="000F2546"/>
    <w:rsid w:val="000F3C33"/>
    <w:rsid w:val="000F3D4D"/>
    <w:rsid w:val="000F5671"/>
    <w:rsid w:val="000F63F1"/>
    <w:rsid w:val="00100B64"/>
    <w:rsid w:val="00101208"/>
    <w:rsid w:val="00101342"/>
    <w:rsid w:val="00111C30"/>
    <w:rsid w:val="00113235"/>
    <w:rsid w:val="001139B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27B4"/>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6D77"/>
    <w:rsid w:val="001E01F8"/>
    <w:rsid w:val="001E2635"/>
    <w:rsid w:val="001E3B2C"/>
    <w:rsid w:val="001E7800"/>
    <w:rsid w:val="001F23FB"/>
    <w:rsid w:val="001F5DA0"/>
    <w:rsid w:val="001F6C2E"/>
    <w:rsid w:val="001F7E24"/>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1D0"/>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39C"/>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0FBD"/>
    <w:rsid w:val="00332B4B"/>
    <w:rsid w:val="00335109"/>
    <w:rsid w:val="003407DC"/>
    <w:rsid w:val="00354434"/>
    <w:rsid w:val="00354E22"/>
    <w:rsid w:val="00363B4A"/>
    <w:rsid w:val="00366100"/>
    <w:rsid w:val="003661CA"/>
    <w:rsid w:val="00367FC6"/>
    <w:rsid w:val="0037364A"/>
    <w:rsid w:val="003828BA"/>
    <w:rsid w:val="0038564B"/>
    <w:rsid w:val="00387CFF"/>
    <w:rsid w:val="0039093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3F23DE"/>
    <w:rsid w:val="003F263E"/>
    <w:rsid w:val="00401CA3"/>
    <w:rsid w:val="004032CB"/>
    <w:rsid w:val="0040455C"/>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1C0A"/>
    <w:rsid w:val="004654CD"/>
    <w:rsid w:val="00465890"/>
    <w:rsid w:val="00465E18"/>
    <w:rsid w:val="00470A91"/>
    <w:rsid w:val="00473947"/>
    <w:rsid w:val="00477E08"/>
    <w:rsid w:val="004816DC"/>
    <w:rsid w:val="00482FA6"/>
    <w:rsid w:val="00487854"/>
    <w:rsid w:val="00491B66"/>
    <w:rsid w:val="004955F1"/>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363"/>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060A"/>
    <w:rsid w:val="005D447B"/>
    <w:rsid w:val="005D55FF"/>
    <w:rsid w:val="005D71B7"/>
    <w:rsid w:val="005E121C"/>
    <w:rsid w:val="005E3726"/>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5903"/>
    <w:rsid w:val="006477D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65E"/>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1EC"/>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2A59"/>
    <w:rsid w:val="0075466C"/>
    <w:rsid w:val="00754810"/>
    <w:rsid w:val="007606BC"/>
    <w:rsid w:val="00760EE4"/>
    <w:rsid w:val="00762454"/>
    <w:rsid w:val="00765A18"/>
    <w:rsid w:val="007668B7"/>
    <w:rsid w:val="00767A6E"/>
    <w:rsid w:val="00771B59"/>
    <w:rsid w:val="00772CCA"/>
    <w:rsid w:val="00774339"/>
    <w:rsid w:val="0077630B"/>
    <w:rsid w:val="007773C9"/>
    <w:rsid w:val="007829D0"/>
    <w:rsid w:val="0078504A"/>
    <w:rsid w:val="00787F5D"/>
    <w:rsid w:val="00793B10"/>
    <w:rsid w:val="007978F7"/>
    <w:rsid w:val="007A1D05"/>
    <w:rsid w:val="007A1F27"/>
    <w:rsid w:val="007A224B"/>
    <w:rsid w:val="007A225C"/>
    <w:rsid w:val="007A27BF"/>
    <w:rsid w:val="007A3FCA"/>
    <w:rsid w:val="007A4E31"/>
    <w:rsid w:val="007B0036"/>
    <w:rsid w:val="007B357C"/>
    <w:rsid w:val="007C3562"/>
    <w:rsid w:val="007C439E"/>
    <w:rsid w:val="007C4C15"/>
    <w:rsid w:val="007C59A2"/>
    <w:rsid w:val="007C6D77"/>
    <w:rsid w:val="007D06E6"/>
    <w:rsid w:val="007D0A3E"/>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3F9"/>
    <w:rsid w:val="0080344C"/>
    <w:rsid w:val="008121E5"/>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2276"/>
    <w:rsid w:val="00862487"/>
    <w:rsid w:val="008634D1"/>
    <w:rsid w:val="00864105"/>
    <w:rsid w:val="00864AEB"/>
    <w:rsid w:val="00864B7A"/>
    <w:rsid w:val="00866CFF"/>
    <w:rsid w:val="008711DF"/>
    <w:rsid w:val="008749B4"/>
    <w:rsid w:val="00876808"/>
    <w:rsid w:val="00877449"/>
    <w:rsid w:val="008774FE"/>
    <w:rsid w:val="00883BDC"/>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17B88"/>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3411"/>
    <w:rsid w:val="00A228D3"/>
    <w:rsid w:val="00A25A3F"/>
    <w:rsid w:val="00A313C2"/>
    <w:rsid w:val="00A321FA"/>
    <w:rsid w:val="00A330D5"/>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E56"/>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66CD"/>
    <w:rsid w:val="00AE7683"/>
    <w:rsid w:val="00AF17E8"/>
    <w:rsid w:val="00AF3FB5"/>
    <w:rsid w:val="00AF4A2F"/>
    <w:rsid w:val="00AF57FF"/>
    <w:rsid w:val="00B01FC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5DDB"/>
    <w:rsid w:val="00B561FE"/>
    <w:rsid w:val="00B56377"/>
    <w:rsid w:val="00B604CF"/>
    <w:rsid w:val="00B63B55"/>
    <w:rsid w:val="00B64095"/>
    <w:rsid w:val="00B6548F"/>
    <w:rsid w:val="00B66878"/>
    <w:rsid w:val="00B670B9"/>
    <w:rsid w:val="00B70EFA"/>
    <w:rsid w:val="00B7225B"/>
    <w:rsid w:val="00B736C2"/>
    <w:rsid w:val="00B75B54"/>
    <w:rsid w:val="00B761A8"/>
    <w:rsid w:val="00B77AA1"/>
    <w:rsid w:val="00B81497"/>
    <w:rsid w:val="00B82513"/>
    <w:rsid w:val="00B859D1"/>
    <w:rsid w:val="00B86243"/>
    <w:rsid w:val="00B86249"/>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6496"/>
    <w:rsid w:val="00C003E1"/>
    <w:rsid w:val="00C1006A"/>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0F4"/>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CF6C62"/>
    <w:rsid w:val="00D0021B"/>
    <w:rsid w:val="00D03E16"/>
    <w:rsid w:val="00D05278"/>
    <w:rsid w:val="00D06B8A"/>
    <w:rsid w:val="00D0712D"/>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D6558"/>
    <w:rsid w:val="00DE135E"/>
    <w:rsid w:val="00DE151D"/>
    <w:rsid w:val="00DE242C"/>
    <w:rsid w:val="00DE29FC"/>
    <w:rsid w:val="00DE40F6"/>
    <w:rsid w:val="00DE5E07"/>
    <w:rsid w:val="00DE7B0D"/>
    <w:rsid w:val="00DE7D69"/>
    <w:rsid w:val="00DF0A8B"/>
    <w:rsid w:val="00DF1B3E"/>
    <w:rsid w:val="00DF2172"/>
    <w:rsid w:val="00DF228E"/>
    <w:rsid w:val="00DF3A12"/>
    <w:rsid w:val="00E039FD"/>
    <w:rsid w:val="00E11848"/>
    <w:rsid w:val="00E127D2"/>
    <w:rsid w:val="00E177CA"/>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67A2"/>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4712"/>
    <w:rsid w:val="00EC6CC4"/>
    <w:rsid w:val="00EC786F"/>
    <w:rsid w:val="00ED01A2"/>
    <w:rsid w:val="00ED312A"/>
    <w:rsid w:val="00ED48C7"/>
    <w:rsid w:val="00EE084E"/>
    <w:rsid w:val="00EE1FAC"/>
    <w:rsid w:val="00EE359A"/>
    <w:rsid w:val="00EE3813"/>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564E0"/>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2A"/>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088B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40455C"/>
  </w:style>
  <w:style w:type="paragraph" w:customStyle="1" w:styleId="TopHeader">
    <w:name w:val="Top Header"/>
    <w:basedOn w:val="Normlny"/>
    <w:qFormat/>
    <w:rsid w:val="00DE7B0D"/>
    <w:pPr>
      <w:jc w:val="center"/>
    </w:pPr>
    <w:rPr>
      <w:rFonts w:ascii="Arial Narrow" w:hAnsi="Arial Narrow"/>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40455C"/>
  </w:style>
  <w:style w:type="paragraph" w:customStyle="1" w:styleId="TopHeader">
    <w:name w:val="Top Header"/>
    <w:basedOn w:val="Normlny"/>
    <w:qFormat/>
    <w:rsid w:val="00DE7B0D"/>
    <w:pPr>
      <w:jc w:val="center"/>
    </w:pPr>
    <w:rPr>
      <w:rFonts w:ascii="Arial Narrow" w:hAnsi="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0162950">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1.xlsx"/><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A31611-C7A5-46FE-B188-F301653BF4FD}">
  <ds:schemaRefs>
    <ds:schemaRef ds:uri="http://schemas.openxmlformats.org/officeDocument/2006/bibliography"/>
  </ds:schemaRefs>
</ds:datastoreItem>
</file>

<file path=customXml/itemProps2.xml><?xml version="1.0" encoding="utf-8"?>
<ds:datastoreItem xmlns:ds="http://schemas.openxmlformats.org/officeDocument/2006/customXml" ds:itemID="{629BFEE6-857B-47E8-B4B3-1BECA3C22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A19BC2C7</Template>
  <TotalTime>0</TotalTime>
  <Pages>5</Pages>
  <Words>1956</Words>
  <Characters>11150</Characters>
  <Application>Microsoft Office Word</Application>
  <DocSecurity>0</DocSecurity>
  <Lines>92</Lines>
  <Paragraphs>26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13080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SKVOROHE</cp:lastModifiedBy>
  <cp:revision>2</cp:revision>
  <cp:lastPrinted>2022-03-29T18:39:00Z</cp:lastPrinted>
  <dcterms:created xsi:type="dcterms:W3CDTF">2023-03-27T21:48:00Z</dcterms:created>
  <dcterms:modified xsi:type="dcterms:W3CDTF">2023-03-27T21:48:00Z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283959b5-6a7c-48cb-9049-5554bd26f854_Enabled">
    <vt:lpwstr>true</vt:lpwstr>
  </property>
  <property fmtid="{D5CDD505-2E9C-101B-9397-08002B2CF9AE}" pid="4" name="MSIP_Label_283959b5-6a7c-48cb-9049-5554bd26f854_SetDate">
    <vt:lpwstr>2023-03-27T21:46:00Z</vt:lpwstr>
  </property>
  <property fmtid="{D5CDD505-2E9C-101B-9397-08002B2CF9AE}" pid="5" name="MSIP_Label_283959b5-6a7c-48cb-9049-5554bd26f854_Method">
    <vt:lpwstr>Standard</vt:lpwstr>
  </property>
  <property fmtid="{D5CDD505-2E9C-101B-9397-08002B2CF9AE}" pid="6" name="MSIP_Label_283959b5-6a7c-48cb-9049-5554bd26f854_Name">
    <vt:lpwstr>283959b5-6a7c-48cb-9049-5554bd26f854</vt:lpwstr>
  </property>
  <property fmtid="{D5CDD505-2E9C-101B-9397-08002B2CF9AE}" pid="7" name="MSIP_Label_283959b5-6a7c-48cb-9049-5554bd26f854_SiteId">
    <vt:lpwstr>ce5330fc-da76-4db0-8b83-9dfdd963f09a</vt:lpwstr>
  </property>
  <property fmtid="{D5CDD505-2E9C-101B-9397-08002B2CF9AE}" pid="8" name="MSIP_Label_283959b5-6a7c-48cb-9049-5554bd26f854_ActionId">
    <vt:lpwstr>1d832fa2-c228-4d9b-9891-df575e994513</vt:lpwstr>
  </property>
  <property fmtid="{D5CDD505-2E9C-101B-9397-08002B2CF9AE}" pid="9" name="MSIP_Label_283959b5-6a7c-48cb-9049-5554bd26f854_ContentBits">
    <vt:lpwstr>2</vt:lpwstr>
  </property>
</Properties>
</file>