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5D42" w:rsidRDefault="00020CE0">
      <w:pPr>
        <w:widowControl w:val="0"/>
        <w:pBdr>
          <w:top w:val="nil"/>
          <w:left w:val="nil"/>
          <w:bottom w:val="nil"/>
          <w:right w:val="nil"/>
          <w:between w:val="nil"/>
        </w:pBdr>
        <w:spacing w:line="276" w:lineRule="auto"/>
        <w:ind w:left="0" w:hanging="2"/>
      </w:pPr>
      <w:r>
        <w:pict w14:anchorId="7D5573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0;margin-top:0;width:50pt;height:50pt;z-index:251657728;visibility:hidden">
            <v:path o:extrusionok="t"/>
            <o:lock v:ext="edit" selection="t"/>
          </v:shape>
        </w:pict>
      </w:r>
    </w:p>
    <w:p w:rsidR="00675D42" w:rsidRDefault="00F81C08">
      <w:pPr>
        <w:pBdr>
          <w:top w:val="nil"/>
          <w:left w:val="nil"/>
          <w:bottom w:val="nil"/>
          <w:right w:val="nil"/>
          <w:between w:val="nil"/>
        </w:pBdr>
        <w:spacing w:line="240" w:lineRule="auto"/>
        <w:ind w:left="1" w:hanging="3"/>
        <w:jc w:val="center"/>
        <w:rPr>
          <w:b/>
          <w:color w:val="000000"/>
          <w:sz w:val="28"/>
          <w:szCs w:val="28"/>
        </w:rPr>
      </w:pPr>
      <w:r>
        <w:rPr>
          <w:b/>
          <w:color w:val="000000"/>
          <w:sz w:val="28"/>
          <w:szCs w:val="28"/>
        </w:rPr>
        <w:t xml:space="preserve">Poznámky k </w:t>
      </w:r>
      <w:r w:rsidR="00F213D7">
        <w:rPr>
          <w:b/>
          <w:color w:val="000000"/>
          <w:sz w:val="28"/>
          <w:szCs w:val="28"/>
        </w:rPr>
        <w:t>účtovnej závierke k 31. 12. 2022</w:t>
      </w:r>
    </w:p>
    <w:p w:rsidR="00675D42" w:rsidRDefault="00675D42">
      <w:pPr>
        <w:pBdr>
          <w:top w:val="nil"/>
          <w:left w:val="nil"/>
          <w:bottom w:val="nil"/>
          <w:right w:val="nil"/>
          <w:between w:val="nil"/>
        </w:pBdr>
        <w:spacing w:line="240" w:lineRule="auto"/>
        <w:ind w:left="1" w:hanging="3"/>
        <w:jc w:val="center"/>
        <w:rPr>
          <w:b/>
          <w:color w:val="000000"/>
          <w:sz w:val="28"/>
          <w:szCs w:val="28"/>
        </w:rPr>
      </w:pPr>
    </w:p>
    <w:p w:rsidR="00675D42" w:rsidRDefault="00675D42">
      <w:pPr>
        <w:pBdr>
          <w:top w:val="nil"/>
          <w:left w:val="nil"/>
          <w:bottom w:val="nil"/>
          <w:right w:val="nil"/>
          <w:between w:val="nil"/>
        </w:pBdr>
        <w:spacing w:line="240" w:lineRule="auto"/>
        <w:ind w:left="1" w:hanging="3"/>
        <w:jc w:val="center"/>
        <w:rPr>
          <w:b/>
          <w:color w:val="000000"/>
          <w:sz w:val="28"/>
          <w:szCs w:val="28"/>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ÚČTOVNEJ JEDNOTKE</w:t>
      </w:r>
    </w:p>
    <w:p w:rsidR="00675D42" w:rsidRDefault="00675D42">
      <w:pPr>
        <w:pBdr>
          <w:top w:val="nil"/>
          <w:left w:val="nil"/>
          <w:bottom w:val="nil"/>
          <w:right w:val="nil"/>
          <w:between w:val="nil"/>
        </w:pBdr>
        <w:spacing w:line="240" w:lineRule="auto"/>
        <w:ind w:left="0" w:hanging="2"/>
        <w:jc w:val="both"/>
        <w:rPr>
          <w:b/>
          <w:smallCaps/>
          <w:sz w:val="18"/>
          <w:szCs w:val="18"/>
        </w:rPr>
      </w:pPr>
    </w:p>
    <w:p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Obchodné meno a sídlo spoločnosti:</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tabs>
          <w:tab w:val="center" w:pos="4785"/>
        </w:tabs>
        <w:spacing w:line="240" w:lineRule="auto"/>
        <w:ind w:left="0" w:hanging="2"/>
        <w:jc w:val="both"/>
        <w:rPr>
          <w:color w:val="000000"/>
        </w:rPr>
      </w:pPr>
      <w:r>
        <w:rPr>
          <w:b/>
          <w:color w:val="000000"/>
        </w:rPr>
        <w:t xml:space="preserve">EKOPRIM istota stavby </w:t>
      </w:r>
      <w:proofErr w:type="spellStart"/>
      <w:r>
        <w:rPr>
          <w:b/>
          <w:color w:val="000000"/>
        </w:rPr>
        <w:t>s.r.o</w:t>
      </w:r>
      <w:proofErr w:type="spellEnd"/>
      <w:r>
        <w:rPr>
          <w:b/>
          <w:color w:val="000000"/>
        </w:rPr>
        <w:t>.</w:t>
      </w:r>
      <w:r w:rsidR="00DD0C1F">
        <w:rPr>
          <w:b/>
          <w:color w:val="000000"/>
        </w:rPr>
        <w:t>, IČO: 50 812 068, IČDPH:</w:t>
      </w:r>
      <w:r w:rsidR="00840A1C">
        <w:rPr>
          <w:b/>
          <w:color w:val="000000"/>
        </w:rPr>
        <w:t xml:space="preserve"> </w:t>
      </w:r>
      <w:r w:rsidR="00DD0C1F">
        <w:rPr>
          <w:b/>
          <w:color w:val="000000"/>
        </w:rPr>
        <w:t>SK2120483134</w:t>
      </w:r>
      <w:r>
        <w:rPr>
          <w:b/>
          <w:color w:val="000000"/>
        </w:rPr>
        <w:tab/>
      </w:r>
    </w:p>
    <w:p w:rsidR="00675D42" w:rsidRDefault="00F81C08">
      <w:pPr>
        <w:pBdr>
          <w:top w:val="nil"/>
          <w:left w:val="nil"/>
          <w:bottom w:val="nil"/>
          <w:right w:val="nil"/>
          <w:between w:val="nil"/>
        </w:pBdr>
        <w:spacing w:line="240" w:lineRule="auto"/>
        <w:ind w:left="0" w:hanging="2"/>
        <w:jc w:val="both"/>
        <w:rPr>
          <w:color w:val="000000"/>
        </w:rPr>
      </w:pPr>
      <w:r>
        <w:rPr>
          <w:color w:val="000000"/>
        </w:rPr>
        <w:t>Strojnícka 17</w:t>
      </w:r>
    </w:p>
    <w:p w:rsidR="00675D42" w:rsidRDefault="00F81C08">
      <w:pPr>
        <w:pBdr>
          <w:top w:val="nil"/>
          <w:left w:val="nil"/>
          <w:bottom w:val="nil"/>
          <w:right w:val="nil"/>
          <w:between w:val="nil"/>
        </w:pBdr>
        <w:spacing w:line="240" w:lineRule="auto"/>
        <w:ind w:left="0" w:hanging="2"/>
        <w:jc w:val="both"/>
        <w:rPr>
          <w:color w:val="000000"/>
        </w:rPr>
      </w:pPr>
      <w:r>
        <w:rPr>
          <w:color w:val="000000"/>
        </w:rPr>
        <w:t>080 01 Prešov</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rPr>
        <w:t xml:space="preserve">Spoločnosť </w:t>
      </w:r>
      <w:r>
        <w:rPr>
          <w:b/>
          <w:color w:val="000000"/>
        </w:rPr>
        <w:t xml:space="preserve">EKOPRIM istota stavby </w:t>
      </w:r>
      <w:proofErr w:type="spellStart"/>
      <w:r>
        <w:rPr>
          <w:b/>
          <w:color w:val="000000"/>
        </w:rPr>
        <w:t>s.r.o</w:t>
      </w:r>
      <w:proofErr w:type="spellEnd"/>
      <w:r>
        <w:rPr>
          <w:b/>
          <w:color w:val="000000"/>
        </w:rPr>
        <w:t>.</w:t>
      </w:r>
      <w:r>
        <w:rPr>
          <w:color w:val="000000"/>
        </w:rPr>
        <w:t xml:space="preserve">  (ďalej len Spoločnosť) bola založená 30.03.2017 a do obchodného registra bola zapísaná 30.03.2017 (Obchodný register Okresného súdu Prešov, oddiel </w:t>
      </w:r>
      <w:proofErr w:type="spellStart"/>
      <w:r>
        <w:rPr>
          <w:color w:val="000000"/>
        </w:rPr>
        <w:t>Sro</w:t>
      </w:r>
      <w:proofErr w:type="spellEnd"/>
      <w:r>
        <w:rPr>
          <w:color w:val="000000"/>
        </w:rPr>
        <w:t xml:space="preserve">, vložka č.34365/P). </w:t>
      </w:r>
    </w:p>
    <w:p w:rsidR="00675D42" w:rsidRDefault="00675D42">
      <w:pPr>
        <w:ind w:left="0" w:hanging="2"/>
      </w:pPr>
    </w:p>
    <w:p w:rsidR="00675D42" w:rsidRDefault="00F81C08">
      <w:pPr>
        <w:keepNext/>
        <w:numPr>
          <w:ilvl w:val="1"/>
          <w:numId w:val="1"/>
        </w:numPr>
        <w:pBdr>
          <w:top w:val="nil"/>
          <w:left w:val="nil"/>
          <w:bottom w:val="nil"/>
          <w:right w:val="nil"/>
          <w:between w:val="nil"/>
        </w:pBdr>
        <w:spacing w:line="240" w:lineRule="auto"/>
        <w:ind w:left="0" w:hanging="2"/>
        <w:rPr>
          <w:b/>
          <w:color w:val="000000"/>
          <w:sz w:val="18"/>
          <w:szCs w:val="18"/>
        </w:rPr>
      </w:pPr>
      <w:r>
        <w:rPr>
          <w:b/>
          <w:color w:val="000000"/>
        </w:rPr>
        <w:t>Hlavnými činnosťami Spoločnosti sú</w:t>
      </w:r>
      <w:r>
        <w:rPr>
          <w:color w:val="000000"/>
        </w:rPr>
        <w:t>:</w:t>
      </w:r>
    </w:p>
    <w:p w:rsidR="00675D42" w:rsidRDefault="00F81C08">
      <w:pPr>
        <w:ind w:left="0" w:hanging="2"/>
      </w:pPr>
      <w:r>
        <w:t>-kúpa tovaru za účelom jeho predaja konečnému spotrebiteľovi (maloobchod), (veľkoobchod)</w:t>
      </w:r>
    </w:p>
    <w:p w:rsidR="00675D42" w:rsidRDefault="00675D42">
      <w:pPr>
        <w:ind w:left="0" w:hanging="2"/>
      </w:pPr>
    </w:p>
    <w:p w:rsidR="00675D42" w:rsidRDefault="00675D42">
      <w:pPr>
        <w:ind w:left="0" w:hanging="2"/>
      </w:pPr>
    </w:p>
    <w:p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 xml:space="preserve">Priemerný počet zamestnancov </w:t>
      </w:r>
    </w:p>
    <w:p w:rsidR="00675D42" w:rsidRDefault="00F81C08">
      <w:pPr>
        <w:pBdr>
          <w:top w:val="nil"/>
          <w:left w:val="nil"/>
          <w:bottom w:val="nil"/>
          <w:right w:val="nil"/>
          <w:between w:val="nil"/>
        </w:pBdr>
        <w:spacing w:line="240" w:lineRule="auto"/>
        <w:ind w:left="0" w:hanging="2"/>
        <w:jc w:val="both"/>
        <w:rPr>
          <w:color w:val="000000"/>
        </w:rPr>
      </w:pPr>
      <w:r>
        <w:rPr>
          <w:color w:val="000000"/>
        </w:rPr>
        <w:t>Priemerný počet zamest</w:t>
      </w:r>
      <w:r w:rsidR="00F213D7">
        <w:rPr>
          <w:color w:val="000000"/>
        </w:rPr>
        <w:t>nancov v Spoločnosti v roku 2022 bol 26</w:t>
      </w:r>
      <w:r>
        <w:rPr>
          <w:color w:val="FF0000"/>
        </w:rPr>
        <w:t xml:space="preserve"> </w:t>
      </w:r>
      <w:r>
        <w:rPr>
          <w:color w:val="000000"/>
        </w:rPr>
        <w:t>z toh</w:t>
      </w:r>
      <w:r w:rsidR="00A3079B">
        <w:rPr>
          <w:color w:val="000000"/>
        </w:rPr>
        <w:t xml:space="preserve">o 1 vedúci zamestnanec- konateľ. </w:t>
      </w:r>
      <w:r>
        <w:rPr>
          <w:color w:val="000000"/>
        </w:rPr>
        <w:t>V</w:t>
      </w:r>
      <w:r w:rsidR="00A3079B">
        <w:rPr>
          <w:color w:val="000000"/>
        </w:rPr>
        <w:t xml:space="preserve"> </w:t>
      </w:r>
      <w:r w:rsidR="00F213D7">
        <w:rPr>
          <w:color w:val="000000"/>
        </w:rPr>
        <w:t>roku 2021</w:t>
      </w:r>
      <w:r>
        <w:rPr>
          <w:color w:val="000000"/>
        </w:rPr>
        <w:t xml:space="preserve"> bolo 25</w:t>
      </w:r>
      <w:r w:rsidR="00F213D7">
        <w:rPr>
          <w:color w:val="000000"/>
        </w:rPr>
        <w:t xml:space="preserve"> </w:t>
      </w:r>
      <w:r>
        <w:rPr>
          <w:color w:val="000000"/>
        </w:rPr>
        <w:t>zamestnancov a 1vedúci zamestnanec-konateľ.</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1"/>
        </w:numPr>
        <w:pBdr>
          <w:top w:val="nil"/>
          <w:left w:val="nil"/>
          <w:bottom w:val="nil"/>
          <w:right w:val="nil"/>
          <w:between w:val="nil"/>
        </w:pBdr>
        <w:spacing w:line="240" w:lineRule="auto"/>
        <w:ind w:left="0" w:hanging="2"/>
        <w:rPr>
          <w:b/>
          <w:color w:val="000000"/>
        </w:rPr>
      </w:pPr>
      <w:r>
        <w:rPr>
          <w:b/>
          <w:color w:val="000000"/>
        </w:rPr>
        <w:t>Právny dôvod na zostavenie účtovnej závierky</w:t>
      </w:r>
    </w:p>
    <w:p w:rsidR="00675D42" w:rsidRDefault="00F81C08">
      <w:pPr>
        <w:pBdr>
          <w:top w:val="nil"/>
          <w:left w:val="nil"/>
          <w:bottom w:val="nil"/>
          <w:right w:val="nil"/>
          <w:between w:val="nil"/>
        </w:pBdr>
        <w:spacing w:line="240" w:lineRule="auto"/>
        <w:ind w:left="0" w:hanging="2"/>
        <w:jc w:val="both"/>
        <w:rPr>
          <w:color w:val="000000"/>
        </w:rPr>
      </w:pPr>
      <w:r>
        <w:rPr>
          <w:color w:val="000000"/>
        </w:rPr>
        <w:tab/>
        <w:t>Účtovná závierka</w:t>
      </w:r>
      <w:r w:rsidR="00F213D7">
        <w:rPr>
          <w:color w:val="000000"/>
        </w:rPr>
        <w:t xml:space="preserve"> Spoločnosti k 31. decembru 2022</w:t>
      </w:r>
      <w:r>
        <w:rPr>
          <w:color w:val="000000"/>
        </w:rPr>
        <w:t xml:space="preserve"> je zostavená ako riadna účtovná závierka podľa § 17 ods. 6 zákona NR SR č. 431/2002 Z. z. o účtovníctve, za úč</w:t>
      </w:r>
      <w:r w:rsidR="00F213D7">
        <w:rPr>
          <w:color w:val="000000"/>
        </w:rPr>
        <w:t>tovné obdobie od 1. januára 2022</w:t>
      </w:r>
      <w:r w:rsidR="00840A1C">
        <w:rPr>
          <w:color w:val="000000"/>
        </w:rPr>
        <w:t xml:space="preserve"> do </w:t>
      </w:r>
      <w:r w:rsidR="00A3079B">
        <w:rPr>
          <w:color w:val="000000"/>
        </w:rPr>
        <w:t xml:space="preserve">31.decembra </w:t>
      </w:r>
      <w:r w:rsidR="00F213D7">
        <w:rPr>
          <w:color w:val="000000"/>
        </w:rPr>
        <w:t>2022</w:t>
      </w:r>
      <w:r>
        <w:rPr>
          <w:color w:val="000000"/>
        </w:rPr>
        <w:t>.</w:t>
      </w:r>
    </w:p>
    <w:p w:rsidR="00675D42" w:rsidRDefault="00675D42">
      <w:pPr>
        <w:pBdr>
          <w:top w:val="nil"/>
          <w:left w:val="nil"/>
          <w:bottom w:val="nil"/>
          <w:right w:val="nil"/>
          <w:between w:val="nil"/>
        </w:pBdr>
        <w:spacing w:line="240" w:lineRule="auto"/>
        <w:ind w:left="0" w:hanging="2"/>
        <w:jc w:val="both"/>
        <w:rPr>
          <w:color w:val="000000"/>
        </w:rPr>
      </w:pPr>
    </w:p>
    <w:p w:rsidR="00675D42" w:rsidRPr="00840A1C" w:rsidRDefault="00F81C08">
      <w:pPr>
        <w:keepNext/>
        <w:numPr>
          <w:ilvl w:val="1"/>
          <w:numId w:val="1"/>
        </w:numPr>
        <w:pBdr>
          <w:top w:val="nil"/>
          <w:left w:val="nil"/>
          <w:bottom w:val="nil"/>
          <w:right w:val="nil"/>
          <w:between w:val="nil"/>
        </w:pBdr>
        <w:spacing w:line="240" w:lineRule="auto"/>
        <w:ind w:left="0" w:hanging="2"/>
        <w:rPr>
          <w:b/>
          <w:color w:val="000000"/>
        </w:rPr>
      </w:pPr>
      <w:r w:rsidRPr="00840A1C">
        <w:rPr>
          <w:b/>
          <w:color w:val="000000"/>
        </w:rPr>
        <w:t>Dátum schválenia účtovnej závierky za predchádzajúce účtovné obdobie</w:t>
      </w:r>
    </w:p>
    <w:p w:rsidR="00675D42" w:rsidRDefault="00F81C08">
      <w:pPr>
        <w:pBdr>
          <w:top w:val="nil"/>
          <w:left w:val="nil"/>
          <w:bottom w:val="nil"/>
          <w:right w:val="nil"/>
          <w:between w:val="nil"/>
        </w:pBdr>
        <w:spacing w:line="240" w:lineRule="auto"/>
        <w:ind w:left="0" w:hanging="2"/>
        <w:jc w:val="both"/>
        <w:rPr>
          <w:color w:val="FF0000"/>
        </w:rPr>
      </w:pPr>
      <w:r w:rsidRPr="00840A1C">
        <w:rPr>
          <w:color w:val="000000"/>
        </w:rPr>
        <w:tab/>
        <w:t>Účtovná závierka</w:t>
      </w:r>
      <w:r w:rsidR="00F213D7" w:rsidRPr="00840A1C">
        <w:rPr>
          <w:color w:val="000000"/>
        </w:rPr>
        <w:t xml:space="preserve"> Spoločnosti k 31. decembru 2021</w:t>
      </w:r>
      <w:r w:rsidRPr="00840A1C">
        <w:rPr>
          <w:color w:val="000000"/>
        </w:rPr>
        <w:t xml:space="preserve"> za predchádzajúce účtovné obdobie, bola schválená valným z</w:t>
      </w:r>
      <w:r w:rsidR="00FF2EF5" w:rsidRPr="00840A1C">
        <w:rPr>
          <w:color w:val="000000"/>
        </w:rPr>
        <w:t xml:space="preserve">hromaždením Spoločnosti dňa </w:t>
      </w:r>
      <w:r w:rsidR="00840A1C" w:rsidRPr="00840A1C">
        <w:rPr>
          <w:color w:val="000000"/>
        </w:rPr>
        <w:t>30.06.2022</w:t>
      </w:r>
      <w:r w:rsidRPr="00840A1C">
        <w:rPr>
          <w:color w:val="000000"/>
        </w:rPr>
        <w:t>.</w:t>
      </w:r>
    </w:p>
    <w:p w:rsidR="00675D42" w:rsidRDefault="00675D42">
      <w:pPr>
        <w:pBdr>
          <w:top w:val="nil"/>
          <w:left w:val="nil"/>
          <w:bottom w:val="nil"/>
          <w:right w:val="nil"/>
          <w:between w:val="nil"/>
        </w:pBdr>
        <w:spacing w:line="240" w:lineRule="auto"/>
        <w:ind w:left="0" w:hanging="2"/>
        <w:jc w:val="both"/>
        <w:rPr>
          <w:color w:val="FF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Pr>
          <w:b/>
          <w:smallCaps/>
          <w:color w:val="000000"/>
          <w:sz w:val="18"/>
          <w:szCs w:val="18"/>
        </w:rPr>
        <w:t>INFORMÁCIE O ORGÁNOCH ÚČTOVNEJ JEDNOTKY</w:t>
      </w:r>
    </w:p>
    <w:p w:rsidR="00675D42" w:rsidRDefault="00F81C08">
      <w:pPr>
        <w:spacing w:before="120"/>
        <w:ind w:left="0" w:hanging="2"/>
        <w:rPr>
          <w:b/>
        </w:rPr>
      </w:pPr>
      <w:r>
        <w:t xml:space="preserve">                                                                                                                                                                                     </w:t>
      </w:r>
    </w:p>
    <w:tbl>
      <w:tblPr>
        <w:tblStyle w:val="a"/>
        <w:tblW w:w="8463" w:type="dxa"/>
        <w:tblInd w:w="0" w:type="dxa"/>
        <w:tblLayout w:type="fixed"/>
        <w:tblLook w:val="0000" w:firstRow="0" w:lastRow="0" w:firstColumn="0" w:lastColumn="0" w:noHBand="0" w:noVBand="0"/>
      </w:tblPr>
      <w:tblGrid>
        <w:gridCol w:w="3826"/>
        <w:gridCol w:w="4637"/>
      </w:tblGrid>
      <w:tr w:rsidR="00675D42">
        <w:tc>
          <w:tcPr>
            <w:tcW w:w="3826"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rPr>
                <w:b/>
              </w:rPr>
            </w:pPr>
            <w:r>
              <w:rPr>
                <w:b/>
              </w:rPr>
              <w:t>Štatutárny orgán</w:t>
            </w:r>
          </w:p>
        </w:tc>
        <w:tc>
          <w:tcPr>
            <w:tcW w:w="4637"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pPr>
            <w:r>
              <w:rPr>
                <w:b/>
              </w:rPr>
              <w:t>Výkonné vedenie</w:t>
            </w:r>
          </w:p>
        </w:tc>
      </w:tr>
      <w:tr w:rsidR="00675D42">
        <w:tc>
          <w:tcPr>
            <w:tcW w:w="3826"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pPr>
            <w:r>
              <w:t>konateľ spoločnosti</w:t>
            </w:r>
          </w:p>
        </w:tc>
        <w:tc>
          <w:tcPr>
            <w:tcW w:w="4637"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pPr>
            <w:proofErr w:type="spellStart"/>
            <w:r>
              <w:t>Ing.Ľubomír</w:t>
            </w:r>
            <w:proofErr w:type="spellEnd"/>
            <w:r>
              <w:t xml:space="preserve"> </w:t>
            </w:r>
            <w:proofErr w:type="spellStart"/>
            <w:r>
              <w:t>Duplák</w:t>
            </w:r>
            <w:proofErr w:type="spellEnd"/>
          </w:p>
        </w:tc>
      </w:tr>
    </w:tbl>
    <w:p w:rsidR="00675D42" w:rsidRDefault="00F81C08">
      <w:pPr>
        <w:pBdr>
          <w:top w:val="nil"/>
          <w:left w:val="nil"/>
          <w:bottom w:val="nil"/>
          <w:right w:val="nil"/>
          <w:between w:val="nil"/>
        </w:pBdr>
        <w:spacing w:line="240" w:lineRule="auto"/>
        <w:ind w:left="0" w:hanging="2"/>
        <w:jc w:val="both"/>
        <w:rPr>
          <w:color w:val="000000"/>
        </w:rPr>
      </w:pPr>
      <w:r>
        <w:rPr>
          <w:color w:val="000000"/>
          <w:sz w:val="18"/>
          <w:szCs w:val="18"/>
        </w:rPr>
        <w:tab/>
      </w:r>
      <w:r>
        <w:rPr>
          <w:color w:val="000000"/>
          <w:sz w:val="18"/>
          <w:szCs w:val="18"/>
        </w:rPr>
        <w:tab/>
      </w:r>
      <w:r>
        <w:rPr>
          <w:color w:val="000000"/>
          <w:sz w:val="18"/>
          <w:szCs w:val="18"/>
        </w:rPr>
        <w:tab/>
      </w:r>
    </w:p>
    <w:p w:rsidR="00675D42"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Pr>
          <w:b/>
          <w:smallCaps/>
          <w:color w:val="000000"/>
        </w:rPr>
        <w:t>INFORMÁCIE O SPOLOČNÍKOCH ÚČTOVNEJ JEDNOTKY</w:t>
      </w:r>
    </w:p>
    <w:p w:rsidR="00675D42" w:rsidRDefault="00675D42">
      <w:pPr>
        <w:ind w:left="0" w:hanging="2"/>
      </w:pPr>
    </w:p>
    <w:p w:rsidR="00675D42" w:rsidRDefault="00F81C08">
      <w:pPr>
        <w:pBdr>
          <w:top w:val="nil"/>
          <w:left w:val="nil"/>
          <w:bottom w:val="nil"/>
          <w:right w:val="nil"/>
          <w:between w:val="nil"/>
        </w:pBdr>
        <w:spacing w:line="240" w:lineRule="auto"/>
        <w:ind w:left="0" w:hanging="2"/>
        <w:jc w:val="both"/>
        <w:rPr>
          <w:color w:val="000000"/>
        </w:rPr>
      </w:pPr>
      <w:r>
        <w:rPr>
          <w:color w:val="000000"/>
        </w:rPr>
        <w:t>Štruktúra spoločníkov spoločnosti k 31.12.2020 bola takáto:</w:t>
      </w:r>
    </w:p>
    <w:p w:rsidR="00675D42" w:rsidRDefault="00675D42">
      <w:pPr>
        <w:pBdr>
          <w:top w:val="nil"/>
          <w:left w:val="nil"/>
          <w:bottom w:val="nil"/>
          <w:right w:val="nil"/>
          <w:between w:val="nil"/>
        </w:pBdr>
        <w:spacing w:line="240" w:lineRule="auto"/>
        <w:ind w:left="0" w:hanging="2"/>
        <w:jc w:val="both"/>
        <w:rPr>
          <w:color w:val="000000"/>
        </w:rPr>
      </w:pPr>
    </w:p>
    <w:tbl>
      <w:tblPr>
        <w:tblStyle w:val="a0"/>
        <w:tblW w:w="8462" w:type="dxa"/>
        <w:tblInd w:w="0" w:type="dxa"/>
        <w:tblLayout w:type="fixed"/>
        <w:tblLook w:val="0000" w:firstRow="0" w:lastRow="0" w:firstColumn="0" w:lastColumn="0" w:noHBand="0" w:noVBand="0"/>
      </w:tblPr>
      <w:tblGrid>
        <w:gridCol w:w="2385"/>
        <w:gridCol w:w="2881"/>
        <w:gridCol w:w="3196"/>
      </w:tblGrid>
      <w:tr w:rsidR="00675D42">
        <w:tc>
          <w:tcPr>
            <w:tcW w:w="2385"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pPr>
            <w:r>
              <w:t>Spoločníci, akcionári</w:t>
            </w:r>
          </w:p>
        </w:tc>
        <w:tc>
          <w:tcPr>
            <w:tcW w:w="2881"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pPr>
            <w:r>
              <w:t>Podiel v % na základnom imaní.</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pPr>
            <w:r>
              <w:t>% hlasov. práv na ZI</w:t>
            </w:r>
          </w:p>
        </w:tc>
      </w:tr>
      <w:tr w:rsidR="00675D42">
        <w:tc>
          <w:tcPr>
            <w:tcW w:w="2385"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rPr>
                <w:color w:val="000000"/>
              </w:rPr>
            </w:pPr>
            <w:proofErr w:type="spellStart"/>
            <w:r>
              <w:rPr>
                <w:color w:val="000000"/>
              </w:rPr>
              <w:t>Ing.Ľubomír</w:t>
            </w:r>
            <w:proofErr w:type="spellEnd"/>
            <w:r>
              <w:rPr>
                <w:color w:val="000000"/>
              </w:rPr>
              <w:t xml:space="preserve"> </w:t>
            </w:r>
            <w:proofErr w:type="spellStart"/>
            <w:r>
              <w:rPr>
                <w:color w:val="000000"/>
              </w:rPr>
              <w:t>Duplák</w:t>
            </w:r>
            <w:proofErr w:type="spellEnd"/>
          </w:p>
        </w:tc>
        <w:tc>
          <w:tcPr>
            <w:tcW w:w="2881"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jc w:val="center"/>
              <w:rPr>
                <w:color w:val="000000"/>
              </w:rPr>
            </w:pPr>
            <w:r>
              <w:rPr>
                <w:color w:val="000000"/>
              </w:rPr>
              <w:t>92,5%</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jc w:val="center"/>
            </w:pPr>
            <w:r>
              <w:rPr>
                <w:color w:val="000000"/>
              </w:rPr>
              <w:t>92,5%</w:t>
            </w:r>
          </w:p>
        </w:tc>
      </w:tr>
      <w:tr w:rsidR="00675D42">
        <w:tc>
          <w:tcPr>
            <w:tcW w:w="2385"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rPr>
                <w:color w:val="000000"/>
              </w:rPr>
            </w:pPr>
            <w:r>
              <w:rPr>
                <w:color w:val="000000"/>
              </w:rPr>
              <w:t xml:space="preserve">EKOPRIM, </w:t>
            </w:r>
            <w:proofErr w:type="spellStart"/>
            <w:r>
              <w:rPr>
                <w:color w:val="000000"/>
              </w:rPr>
              <w:t>s.r.o</w:t>
            </w:r>
            <w:proofErr w:type="spellEnd"/>
            <w:r>
              <w:rPr>
                <w:color w:val="000000"/>
              </w:rPr>
              <w:t>.</w:t>
            </w:r>
          </w:p>
        </w:tc>
        <w:tc>
          <w:tcPr>
            <w:tcW w:w="2881" w:type="dxa"/>
            <w:tcBorders>
              <w:top w:val="single" w:sz="6" w:space="0" w:color="000000"/>
              <w:left w:val="single" w:sz="6" w:space="0" w:color="000000"/>
              <w:bottom w:val="single" w:sz="6" w:space="0" w:color="000000"/>
            </w:tcBorders>
            <w:shd w:val="clear" w:color="auto" w:fill="auto"/>
          </w:tcPr>
          <w:p w:rsidR="00675D42" w:rsidRDefault="00F81C08">
            <w:pPr>
              <w:spacing w:before="120"/>
              <w:ind w:left="0" w:hanging="2"/>
              <w:jc w:val="center"/>
              <w:rPr>
                <w:color w:val="000000"/>
              </w:rPr>
            </w:pPr>
            <w:r>
              <w:rPr>
                <w:color w:val="000000"/>
              </w:rPr>
              <w:t>7,5%</w:t>
            </w:r>
          </w:p>
        </w:tc>
        <w:tc>
          <w:tcPr>
            <w:tcW w:w="3196" w:type="dxa"/>
            <w:tcBorders>
              <w:top w:val="single" w:sz="6" w:space="0" w:color="000000"/>
              <w:left w:val="single" w:sz="6" w:space="0" w:color="000000"/>
              <w:bottom w:val="single" w:sz="6" w:space="0" w:color="000000"/>
              <w:right w:val="single" w:sz="6" w:space="0" w:color="000000"/>
            </w:tcBorders>
            <w:shd w:val="clear" w:color="auto" w:fill="auto"/>
          </w:tcPr>
          <w:p w:rsidR="00675D42" w:rsidRDefault="00F81C08">
            <w:pPr>
              <w:spacing w:before="120"/>
              <w:ind w:left="0" w:hanging="2"/>
              <w:jc w:val="center"/>
            </w:pPr>
            <w:r>
              <w:rPr>
                <w:color w:val="000000"/>
              </w:rPr>
              <w:t>7,5%</w:t>
            </w:r>
          </w:p>
        </w:tc>
      </w:tr>
    </w:tbl>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KONSOLIDOVANOM CELKU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ind w:left="0" w:hanging="2"/>
      </w:pPr>
      <w:r>
        <w:t xml:space="preserve">Spoločnosť sa </w:t>
      </w:r>
      <w:r>
        <w:rPr>
          <w:color w:val="FF0000"/>
        </w:rPr>
        <w:t xml:space="preserve"> </w:t>
      </w:r>
      <w:r>
        <w:rPr>
          <w:color w:val="000000"/>
        </w:rPr>
        <w:t xml:space="preserve">nezahrňuje </w:t>
      </w:r>
      <w:r>
        <w:t>do konsolidovanej účtovnej závierky</w:t>
      </w:r>
      <w:r>
        <w:rPr>
          <w:color w:val="FF0000"/>
        </w:rPr>
        <w:t>.</w:t>
      </w:r>
      <w:r>
        <w:t xml:space="preserve"> </w:t>
      </w:r>
    </w:p>
    <w:p w:rsidR="00675D42" w:rsidRDefault="00F81C08">
      <w:pPr>
        <w:pBdr>
          <w:top w:val="nil"/>
          <w:left w:val="nil"/>
          <w:bottom w:val="nil"/>
          <w:right w:val="nil"/>
          <w:between w:val="nil"/>
        </w:pBdr>
        <w:spacing w:line="240" w:lineRule="auto"/>
        <w:ind w:left="0" w:hanging="2"/>
        <w:rPr>
          <w:color w:val="000000"/>
        </w:rPr>
      </w:pPr>
      <w:r>
        <w:rPr>
          <w:color w:val="000000"/>
        </w:rPr>
        <w:t>Spoločnosť má podiel v jednej spoločnosti vo výške 100% základného imania.</w:t>
      </w:r>
    </w:p>
    <w:p w:rsidR="00675D42" w:rsidRDefault="00675D42">
      <w:pPr>
        <w:pBdr>
          <w:top w:val="nil"/>
          <w:left w:val="nil"/>
          <w:bottom w:val="nil"/>
          <w:right w:val="nil"/>
          <w:between w:val="nil"/>
        </w:pBdr>
        <w:spacing w:line="240" w:lineRule="auto"/>
        <w:ind w:left="0" w:hanging="2"/>
        <w:rPr>
          <w:color w:val="000000"/>
        </w:rPr>
      </w:pPr>
    </w:p>
    <w:p w:rsidR="00675D42" w:rsidRDefault="00675D42">
      <w:pPr>
        <w:pBdr>
          <w:top w:val="nil"/>
          <w:left w:val="nil"/>
          <w:bottom w:val="nil"/>
          <w:right w:val="nil"/>
          <w:between w:val="nil"/>
        </w:pBdr>
        <w:spacing w:line="240" w:lineRule="auto"/>
        <w:ind w:left="0" w:hanging="2"/>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 xml:space="preserve">INFORMÁCIE O ÚČTOVNÝCH ZÁSADÁCH A ÚČTOVNÝCH METÓDACH  </w:t>
      </w:r>
    </w:p>
    <w:p w:rsidR="00675D42" w:rsidRDefault="00675D42">
      <w:pPr>
        <w:pBdr>
          <w:top w:val="nil"/>
          <w:left w:val="nil"/>
          <w:bottom w:val="nil"/>
          <w:right w:val="nil"/>
          <w:between w:val="nil"/>
        </w:pBdr>
        <w:spacing w:line="240" w:lineRule="auto"/>
        <w:ind w:left="0" w:hanging="2"/>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rPr>
          <w:b/>
          <w:color w:val="000000"/>
        </w:rPr>
      </w:pPr>
      <w:r>
        <w:rPr>
          <w:b/>
          <w:color w:val="000000"/>
        </w:rPr>
        <w:lastRenderedPageBreak/>
        <w:t>Východiská pre zostavenie účtovnej závierky</w:t>
      </w:r>
    </w:p>
    <w:p w:rsidR="00675D42" w:rsidRDefault="00F81C08">
      <w:pPr>
        <w:pBdr>
          <w:top w:val="nil"/>
          <w:left w:val="nil"/>
          <w:bottom w:val="nil"/>
          <w:right w:val="nil"/>
          <w:between w:val="nil"/>
        </w:pBdr>
        <w:spacing w:line="240" w:lineRule="auto"/>
        <w:ind w:left="0" w:hanging="2"/>
        <w:rPr>
          <w:color w:val="000000"/>
        </w:rPr>
      </w:pPr>
      <w:r>
        <w:rPr>
          <w:color w:val="000000"/>
        </w:rPr>
        <w:t>Účtovná závierka bola zostavená za predpokladu nepretržitého trvania Spoločnosti (</w:t>
      </w:r>
      <w:proofErr w:type="spellStart"/>
      <w:r>
        <w:rPr>
          <w:color w:val="000000"/>
        </w:rPr>
        <w:t>going</w:t>
      </w:r>
      <w:proofErr w:type="spellEnd"/>
      <w:r>
        <w:rPr>
          <w:color w:val="000000"/>
        </w:rPr>
        <w:t xml:space="preserve"> </w:t>
      </w:r>
      <w:proofErr w:type="spellStart"/>
      <w:r>
        <w:rPr>
          <w:color w:val="000000"/>
        </w:rPr>
        <w:t>concern</w:t>
      </w:r>
      <w:proofErr w:type="spellEnd"/>
      <w:r>
        <w:rPr>
          <w:color w:val="000000"/>
        </w:rPr>
        <w:t>).</w:t>
      </w:r>
    </w:p>
    <w:p w:rsidR="00675D42" w:rsidRDefault="00F81C08">
      <w:pPr>
        <w:pBdr>
          <w:top w:val="nil"/>
          <w:left w:val="nil"/>
          <w:bottom w:val="nil"/>
          <w:right w:val="nil"/>
          <w:between w:val="nil"/>
        </w:pBdr>
        <w:spacing w:line="240" w:lineRule="auto"/>
        <w:ind w:left="0" w:hanging="2"/>
        <w:rPr>
          <w:color w:val="000000"/>
        </w:rPr>
      </w:pPr>
      <w:r>
        <w:rPr>
          <w:color w:val="000000"/>
        </w:rPr>
        <w:t>Účtovné metódy a všeobecné zásady boli účtovnou jednotkou konzistentne aplikované  podľa Zákona o účtovníctve.</w:t>
      </w:r>
    </w:p>
    <w:p w:rsidR="00675D42" w:rsidRDefault="00675D42">
      <w:pPr>
        <w:pBdr>
          <w:top w:val="nil"/>
          <w:left w:val="nil"/>
          <w:bottom w:val="nil"/>
          <w:right w:val="nil"/>
          <w:between w:val="nil"/>
        </w:pBdr>
        <w:spacing w:line="240" w:lineRule="auto"/>
        <w:ind w:left="0" w:hanging="2"/>
        <w:rPr>
          <w:color w:val="000000"/>
        </w:rPr>
      </w:pPr>
    </w:p>
    <w:p w:rsidR="00675D42" w:rsidRDefault="00675D42">
      <w:pPr>
        <w:pBdr>
          <w:top w:val="nil"/>
          <w:left w:val="nil"/>
          <w:bottom w:val="nil"/>
          <w:right w:val="nil"/>
          <w:between w:val="nil"/>
        </w:pBdr>
        <w:spacing w:line="240" w:lineRule="auto"/>
        <w:ind w:left="0" w:hanging="2"/>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Dlhodobý nehmotný a dlhodobý hmotný majetok</w:t>
      </w:r>
    </w:p>
    <w:p w:rsidR="00675D42" w:rsidRDefault="00F81C08">
      <w:pPr>
        <w:pBdr>
          <w:top w:val="nil"/>
          <w:left w:val="nil"/>
          <w:bottom w:val="nil"/>
          <w:right w:val="nil"/>
          <w:between w:val="nil"/>
        </w:pBdr>
        <w:spacing w:line="240" w:lineRule="auto"/>
        <w:ind w:left="0" w:hanging="2"/>
        <w:jc w:val="both"/>
        <w:rPr>
          <w:color w:val="000000"/>
        </w:rPr>
      </w:pPr>
      <w:r>
        <w:rPr>
          <w:color w:val="00000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nevytvára dlhodobý majetok vlastnou činnosťou.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Majetok, ktorý svojim charakterom odpovedá dlhodobému nehmotnému majetku a ktorého obstarávacia cena je nižšia alebo rovná ako suma podľa daňového zákona za jednotlivý prípad sa považuje za </w:t>
      </w:r>
      <w:r>
        <w:rPr>
          <w:color w:val="000000"/>
          <w:u w:val="single"/>
        </w:rPr>
        <w:t>nehmotný majetok</w:t>
      </w:r>
      <w:r>
        <w:rPr>
          <w:color w:val="00000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Dlhodobý nehmotný majetok sa odpisuje v účtovníctve na základe odpisového plánu.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Do účtovníctva je zaúčtovaná </w:t>
      </w:r>
      <w:r w:rsidR="006A379E">
        <w:rPr>
          <w:color w:val="000000"/>
        </w:rPr>
        <w:t>alikvotná</w:t>
      </w:r>
      <w:r>
        <w:rPr>
          <w:color w:val="000000"/>
        </w:rPr>
        <w:t xml:space="preserve"> časť odpisov, odpovedajúca príslušnej dvanástine ročného objemu odpisov, v závislosti od dátumu zaradenia predmetu do majetku spoločnosti.</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Dlhodobým hmotným majetkom sú:</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 xml:space="preserve">autá, </w:t>
      </w:r>
      <w:r w:rsidR="00FF2EF5">
        <w:rPr>
          <w:color w:val="000000"/>
        </w:rPr>
        <w:t xml:space="preserve">nákladné autá, </w:t>
      </w:r>
      <w:r>
        <w:rPr>
          <w:color w:val="000000"/>
        </w:rPr>
        <w:t xml:space="preserve">vysokozdvižné vozíky, </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samostatné hnuteľné veci, prípadne súbory hnuteľných vecí, ktorých obstarávacia cena je vyššia ako suma podľa daňového zákona a doba použiteľnosti dlhšia ako jeden rok.</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 xml:space="preserve">dlhodobý hmotný majetok je podľa svojho charakteru pre účely odpisovania zatriedený do odpisových skupín, stanovených zákonom o daniach z príjmov, rešpektujúc zaradenie podľa klasifikácie produkcie. </w:t>
      </w:r>
    </w:p>
    <w:p w:rsidR="00675D42" w:rsidRDefault="00F81C08">
      <w:pPr>
        <w:pBdr>
          <w:top w:val="nil"/>
          <w:left w:val="nil"/>
          <w:bottom w:val="nil"/>
          <w:right w:val="nil"/>
          <w:between w:val="nil"/>
        </w:pBdr>
        <w:spacing w:line="240" w:lineRule="auto"/>
        <w:ind w:left="0" w:hanging="2"/>
        <w:jc w:val="both"/>
        <w:rPr>
          <w:color w:val="000000"/>
        </w:rPr>
      </w:pPr>
      <w:r>
        <w:rPr>
          <w:color w:val="000000"/>
        </w:rPr>
        <w:t>-</w:t>
      </w:r>
      <w:r>
        <w:rPr>
          <w:color w:val="000000"/>
        </w:rPr>
        <w:tab/>
        <w:t>dlhodobý hmotný majetok obstaraný formou finančného prenájmu.</w:t>
      </w:r>
    </w:p>
    <w:p w:rsidR="00675D42" w:rsidRDefault="00F81C08">
      <w:pPr>
        <w:pBdr>
          <w:top w:val="nil"/>
          <w:left w:val="nil"/>
          <w:bottom w:val="nil"/>
          <w:right w:val="nil"/>
          <w:between w:val="nil"/>
        </w:pBdr>
        <w:spacing w:line="240" w:lineRule="auto"/>
        <w:ind w:left="0" w:hanging="2"/>
        <w:jc w:val="both"/>
        <w:rPr>
          <w:color w:val="000000"/>
          <w:u w:val="single"/>
        </w:rPr>
      </w:pPr>
      <w:r>
        <w:rPr>
          <w:color w:val="000000"/>
        </w:rPr>
        <w:tab/>
      </w: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Odpisy dlhodobého hmotného majetku</w:t>
      </w:r>
      <w:r>
        <w:rPr>
          <w:color w:val="000000"/>
        </w:rPr>
        <w:t xml:space="preserve"> sú stanovené vychádzajúc z predpokladanej doby jeho používania a predpokladaného priebehu jeho opotrebovania. Odpisovať sa začína v mesiaci uvedenia dlhodobého majetku do používania.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Drobný dlhodobý hmotný majetok</w:t>
      </w:r>
      <w:r>
        <w:rPr>
          <w:color w:val="000000"/>
        </w:rPr>
        <w:t xml:space="preserve">, ktorého obstarávacia cena je rovná alebo nižšia ako suma podľa daňového zákona sa odpisuje jednorazovo pri uvedení do používania.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u w:val="single"/>
        </w:rPr>
        <w:t>Pozemky</w:t>
      </w:r>
      <w:r>
        <w:rPr>
          <w:color w:val="000000"/>
        </w:rPr>
        <w:t xml:space="preserve"> sa neodpisujú.</w:t>
      </w: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color w:val="000000"/>
        </w:rPr>
        <w:t>Predpokladaná doba používania, metóda odpisovania a počet rokov odpisovania sú uvedené v nasledujúcej tabuľke:</w:t>
      </w:r>
    </w:p>
    <w:tbl>
      <w:tblPr>
        <w:tblStyle w:val="a1"/>
        <w:tblW w:w="7908" w:type="dxa"/>
        <w:tblInd w:w="0" w:type="dxa"/>
        <w:tblLayout w:type="fixed"/>
        <w:tblLook w:val="0000" w:firstRow="0" w:lastRow="0" w:firstColumn="0" w:lastColumn="0" w:noHBand="0" w:noVBand="0"/>
      </w:tblPr>
      <w:tblGrid>
        <w:gridCol w:w="2820"/>
        <w:gridCol w:w="1600"/>
        <w:gridCol w:w="3125"/>
        <w:gridCol w:w="363"/>
      </w:tblGrid>
      <w:tr w:rsidR="00675D42">
        <w:trPr>
          <w:trHeight w:val="780"/>
        </w:trPr>
        <w:tc>
          <w:tcPr>
            <w:tcW w:w="2820" w:type="dxa"/>
            <w:tcBorders>
              <w:top w:val="single" w:sz="8" w:space="0" w:color="000000"/>
              <w:left w:val="single" w:sz="8" w:space="0" w:color="000000"/>
              <w:bottom w:val="single" w:sz="8"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majetok</w:t>
            </w:r>
          </w:p>
        </w:tc>
        <w:tc>
          <w:tcPr>
            <w:tcW w:w="1600" w:type="dxa"/>
            <w:tcBorders>
              <w:top w:val="single" w:sz="8" w:space="0" w:color="000000"/>
              <w:left w:val="single" w:sz="4" w:space="0" w:color="000000"/>
              <w:bottom w:val="single" w:sz="8"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predpokladaná doba užívania v rokoch</w:t>
            </w:r>
          </w:p>
        </w:tc>
        <w:tc>
          <w:tcPr>
            <w:tcW w:w="3125" w:type="dxa"/>
            <w:tcBorders>
              <w:top w:val="single" w:sz="8" w:space="0" w:color="000000"/>
              <w:left w:val="single" w:sz="4" w:space="0" w:color="000000"/>
              <w:bottom w:val="single" w:sz="8"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metóda odpisovania</w:t>
            </w:r>
          </w:p>
        </w:tc>
        <w:tc>
          <w:tcPr>
            <w:tcW w:w="363" w:type="dxa"/>
            <w:tcBorders>
              <w:top w:val="single" w:sz="8" w:space="0" w:color="000000"/>
              <w:left w:val="single" w:sz="4" w:space="0" w:color="000000"/>
              <w:bottom w:val="single" w:sz="8" w:space="0" w:color="000000"/>
              <w:right w:val="single" w:sz="8" w:space="0" w:color="000000"/>
            </w:tcBorders>
            <w:shd w:val="clear" w:color="auto" w:fill="auto"/>
          </w:tcPr>
          <w:p w:rsidR="00675D42" w:rsidRDefault="00675D42">
            <w:pPr>
              <w:ind w:left="0" w:hanging="2"/>
              <w:rPr>
                <w:rFonts w:ascii="Arial" w:eastAsia="Arial" w:hAnsi="Arial" w:cs="Arial"/>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675D42">
            <w:pPr>
              <w:ind w:left="0" w:hanging="2"/>
              <w:rPr>
                <w:rFonts w:ascii="Arial" w:eastAsia="Arial" w:hAnsi="Arial" w:cs="Arial"/>
              </w:rPr>
            </w:pPr>
          </w:p>
        </w:tc>
        <w:tc>
          <w:tcPr>
            <w:tcW w:w="1600" w:type="dxa"/>
            <w:tcBorders>
              <w:left w:val="single" w:sz="4" w:space="0" w:color="000000"/>
              <w:bottom w:val="single" w:sz="4" w:space="0" w:color="000000"/>
            </w:tcBorders>
            <w:shd w:val="clear" w:color="auto" w:fill="auto"/>
          </w:tcPr>
          <w:p w:rsidR="00675D42" w:rsidRDefault="00675D42">
            <w:pPr>
              <w:ind w:left="0" w:hanging="2"/>
              <w:jc w:val="right"/>
              <w:rPr>
                <w:rFonts w:ascii="Arial" w:eastAsia="Arial" w:hAnsi="Arial" w:cs="Arial"/>
              </w:rPr>
            </w:pPr>
          </w:p>
        </w:tc>
        <w:tc>
          <w:tcPr>
            <w:tcW w:w="3125" w:type="dxa"/>
            <w:tcBorders>
              <w:left w:val="single" w:sz="4" w:space="0" w:color="000000"/>
              <w:bottom w:val="single" w:sz="4" w:space="0" w:color="000000"/>
            </w:tcBorders>
            <w:shd w:val="clear" w:color="auto" w:fill="auto"/>
          </w:tcPr>
          <w:p w:rsidR="00675D42" w:rsidRDefault="00675D42">
            <w:pPr>
              <w:ind w:left="0" w:hanging="2"/>
              <w:rPr>
                <w:rFonts w:ascii="Arial" w:eastAsia="Arial" w:hAnsi="Arial" w:cs="Arial"/>
              </w:rPr>
            </w:pP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675D42">
            <w:pPr>
              <w:pBdr>
                <w:top w:val="nil"/>
                <w:left w:val="nil"/>
                <w:bottom w:val="nil"/>
                <w:right w:val="nil"/>
                <w:between w:val="nil"/>
              </w:pBdr>
              <w:spacing w:line="240" w:lineRule="auto"/>
              <w:ind w:left="0" w:hanging="2"/>
              <w:jc w:val="both"/>
              <w:rPr>
                <w:rFonts w:ascii="Arial" w:eastAsia="Arial" w:hAnsi="Arial" w:cs="Arial"/>
                <w:color w:val="000000"/>
                <w:sz w:val="18"/>
                <w:szCs w:val="18"/>
              </w:rPr>
            </w:pPr>
          </w:p>
        </w:tc>
        <w:tc>
          <w:tcPr>
            <w:tcW w:w="1600" w:type="dxa"/>
            <w:tcBorders>
              <w:left w:val="single" w:sz="4" w:space="0" w:color="000000"/>
              <w:bottom w:val="single" w:sz="4" w:space="0" w:color="000000"/>
            </w:tcBorders>
            <w:shd w:val="clear" w:color="auto" w:fill="auto"/>
          </w:tcPr>
          <w:p w:rsidR="00675D42" w:rsidRDefault="00675D42">
            <w:pPr>
              <w:ind w:left="0" w:hanging="2"/>
              <w:jc w:val="right"/>
              <w:rPr>
                <w:rFonts w:ascii="Arial" w:eastAsia="Arial" w:hAnsi="Arial" w:cs="Arial"/>
              </w:rPr>
            </w:pPr>
          </w:p>
        </w:tc>
        <w:tc>
          <w:tcPr>
            <w:tcW w:w="3125" w:type="dxa"/>
            <w:tcBorders>
              <w:left w:val="single" w:sz="4" w:space="0" w:color="000000"/>
              <w:bottom w:val="single" w:sz="4" w:space="0" w:color="000000"/>
            </w:tcBorders>
            <w:shd w:val="clear" w:color="auto" w:fill="auto"/>
          </w:tcPr>
          <w:p w:rsidR="00675D42" w:rsidRDefault="00675D42">
            <w:pPr>
              <w:ind w:left="0" w:hanging="2"/>
              <w:rPr>
                <w:rFonts w:ascii="Arial" w:eastAsia="Arial" w:hAnsi="Arial" w:cs="Arial"/>
                <w:highlight w:val="yellow"/>
              </w:rPr>
            </w:pP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DD0C1F">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sz w:val="18"/>
                <w:szCs w:val="18"/>
              </w:rPr>
              <w:t>Vecné bremeno k </w:t>
            </w:r>
            <w:proofErr w:type="spellStart"/>
            <w:r>
              <w:rPr>
                <w:rFonts w:ascii="Arial" w:eastAsia="Arial" w:hAnsi="Arial" w:cs="Arial"/>
                <w:color w:val="000000"/>
                <w:sz w:val="18"/>
                <w:szCs w:val="18"/>
              </w:rPr>
              <w:t>príst.ceste</w:t>
            </w:r>
            <w:proofErr w:type="spellEnd"/>
          </w:p>
        </w:tc>
        <w:tc>
          <w:tcPr>
            <w:tcW w:w="1600" w:type="dxa"/>
            <w:tcBorders>
              <w:left w:val="single" w:sz="4" w:space="0" w:color="000000"/>
              <w:bottom w:val="single" w:sz="4" w:space="0" w:color="000000"/>
            </w:tcBorders>
            <w:shd w:val="clear" w:color="auto" w:fill="auto"/>
          </w:tcPr>
          <w:p w:rsidR="00675D42" w:rsidRDefault="00DD0C1F">
            <w:pPr>
              <w:ind w:left="0" w:hanging="2"/>
              <w:jc w:val="right"/>
              <w:rPr>
                <w:rFonts w:ascii="Arial" w:eastAsia="Arial" w:hAnsi="Arial" w:cs="Arial"/>
              </w:rPr>
            </w:pPr>
            <w:r>
              <w:rPr>
                <w:rFonts w:ascii="Arial" w:eastAsia="Arial" w:hAnsi="Arial" w:cs="Arial"/>
              </w:rPr>
              <w:t>5</w:t>
            </w:r>
          </w:p>
        </w:tc>
        <w:tc>
          <w:tcPr>
            <w:tcW w:w="3125"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4" w:space="0" w:color="000000"/>
            </w:tcBorders>
            <w:shd w:val="clear" w:color="auto" w:fill="auto"/>
          </w:tcPr>
          <w:p w:rsidR="00675D42" w:rsidRDefault="00DD0C1F">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sz w:val="18"/>
                <w:szCs w:val="18"/>
              </w:rPr>
              <w:t>Nákladné autá</w:t>
            </w:r>
          </w:p>
        </w:tc>
        <w:tc>
          <w:tcPr>
            <w:tcW w:w="1600" w:type="dxa"/>
            <w:tcBorders>
              <w:left w:val="single" w:sz="4" w:space="0" w:color="000000"/>
              <w:bottom w:val="single" w:sz="4" w:space="0" w:color="000000"/>
            </w:tcBorders>
            <w:shd w:val="clear" w:color="auto" w:fill="auto"/>
          </w:tcPr>
          <w:p w:rsidR="00675D42" w:rsidRDefault="00DD0C1F">
            <w:pPr>
              <w:ind w:left="0" w:hanging="2"/>
              <w:jc w:val="right"/>
              <w:rPr>
                <w:rFonts w:ascii="Arial" w:eastAsia="Arial" w:hAnsi="Arial" w:cs="Arial"/>
              </w:rPr>
            </w:pPr>
            <w:r>
              <w:rPr>
                <w:rFonts w:ascii="Arial" w:eastAsia="Arial" w:hAnsi="Arial" w:cs="Arial"/>
              </w:rPr>
              <w:t>4</w:t>
            </w:r>
          </w:p>
        </w:tc>
        <w:tc>
          <w:tcPr>
            <w:tcW w:w="3125"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360"/>
        </w:trPr>
        <w:tc>
          <w:tcPr>
            <w:tcW w:w="2820" w:type="dxa"/>
            <w:tcBorders>
              <w:left w:val="single" w:sz="8"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 xml:space="preserve">dopravné prostriedky </w:t>
            </w:r>
          </w:p>
        </w:tc>
        <w:tc>
          <w:tcPr>
            <w:tcW w:w="1600"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4</w:t>
            </w:r>
          </w:p>
        </w:tc>
        <w:tc>
          <w:tcPr>
            <w:tcW w:w="3125"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4"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r w:rsidR="00675D42">
        <w:trPr>
          <w:trHeight w:val="255"/>
        </w:trPr>
        <w:tc>
          <w:tcPr>
            <w:tcW w:w="2820" w:type="dxa"/>
            <w:tcBorders>
              <w:left w:val="single" w:sz="8" w:space="0" w:color="000000"/>
              <w:bottom w:val="single" w:sz="8" w:space="0" w:color="000000"/>
            </w:tcBorders>
            <w:shd w:val="clear" w:color="auto" w:fill="auto"/>
          </w:tcPr>
          <w:p w:rsidR="00675D42" w:rsidRDefault="00F81C08">
            <w:pPr>
              <w:pBdr>
                <w:top w:val="nil"/>
                <w:left w:val="nil"/>
                <w:bottom w:val="nil"/>
                <w:right w:val="nil"/>
                <w:between w:val="nil"/>
              </w:pBdr>
              <w:spacing w:line="240" w:lineRule="auto"/>
              <w:ind w:left="0" w:hanging="2"/>
              <w:jc w:val="both"/>
              <w:rPr>
                <w:rFonts w:ascii="Arial" w:eastAsia="Arial" w:hAnsi="Arial" w:cs="Arial"/>
                <w:color w:val="000000"/>
                <w:sz w:val="18"/>
                <w:szCs w:val="18"/>
              </w:rPr>
            </w:pPr>
            <w:r>
              <w:rPr>
                <w:rFonts w:ascii="Arial" w:eastAsia="Arial" w:hAnsi="Arial" w:cs="Arial"/>
                <w:color w:val="000000"/>
              </w:rPr>
              <w:t>vysokozdvižné vozíky</w:t>
            </w:r>
          </w:p>
        </w:tc>
        <w:tc>
          <w:tcPr>
            <w:tcW w:w="1600" w:type="dxa"/>
            <w:tcBorders>
              <w:left w:val="single" w:sz="4" w:space="0" w:color="000000"/>
              <w:bottom w:val="single" w:sz="8"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6</w:t>
            </w:r>
          </w:p>
        </w:tc>
        <w:tc>
          <w:tcPr>
            <w:tcW w:w="3125" w:type="dxa"/>
            <w:tcBorders>
              <w:left w:val="single" w:sz="4" w:space="0" w:color="000000"/>
              <w:bottom w:val="single" w:sz="8" w:space="0" w:color="000000"/>
            </w:tcBorders>
            <w:shd w:val="clear" w:color="auto" w:fill="auto"/>
          </w:tcPr>
          <w:p w:rsidR="00675D42" w:rsidRDefault="00F81C08">
            <w:pPr>
              <w:ind w:left="0" w:hanging="2"/>
              <w:rPr>
                <w:rFonts w:ascii="Arial" w:eastAsia="Arial" w:hAnsi="Arial" w:cs="Arial"/>
                <w:highlight w:val="yellow"/>
              </w:rPr>
            </w:pPr>
            <w:r>
              <w:rPr>
                <w:rFonts w:ascii="Arial" w:eastAsia="Arial" w:hAnsi="Arial" w:cs="Arial"/>
              </w:rPr>
              <w:t>rovnomerne</w:t>
            </w:r>
          </w:p>
        </w:tc>
        <w:tc>
          <w:tcPr>
            <w:tcW w:w="363" w:type="dxa"/>
            <w:tcBorders>
              <w:left w:val="single" w:sz="4" w:space="0" w:color="000000"/>
              <w:bottom w:val="single" w:sz="8" w:space="0" w:color="000000"/>
              <w:right w:val="single" w:sz="8" w:space="0" w:color="000000"/>
            </w:tcBorders>
            <w:shd w:val="clear" w:color="auto" w:fill="auto"/>
          </w:tcPr>
          <w:p w:rsidR="00675D42" w:rsidRDefault="00675D42">
            <w:pPr>
              <w:ind w:left="0" w:hanging="2"/>
              <w:jc w:val="right"/>
              <w:rPr>
                <w:rFonts w:ascii="Arial" w:eastAsia="Arial" w:hAnsi="Arial" w:cs="Arial"/>
                <w:highlight w:val="yellow"/>
              </w:rPr>
            </w:pPr>
          </w:p>
        </w:tc>
      </w:tr>
    </w:tbl>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color w:val="000000"/>
          <w:sz w:val="18"/>
          <w:szCs w:val="18"/>
        </w:rPr>
      </w:pPr>
      <w:r>
        <w:rPr>
          <w:color w:val="000000"/>
        </w:rPr>
        <w:t xml:space="preserve">Pre daňové účely sa vypočítavajú </w:t>
      </w:r>
      <w:r>
        <w:rPr>
          <w:color w:val="000000"/>
          <w:u w:val="single"/>
        </w:rPr>
        <w:t>daňové odpisy</w:t>
      </w:r>
      <w:r>
        <w:rPr>
          <w:color w:val="000000"/>
        </w:rPr>
        <w:t xml:space="preserve"> podľa  týchto pravidiel :</w:t>
      </w: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color w:val="000000"/>
        </w:rPr>
      </w:pPr>
      <w:r>
        <w:rPr>
          <w:color w:val="000000"/>
        </w:rPr>
        <w:t>-Majetok  sa odpisuje na báze  sadzieb lineárnych podľa zákona  o daniach z príjmov.</w:t>
      </w:r>
    </w:p>
    <w:p w:rsidR="00675D42" w:rsidRDefault="00F81C08">
      <w:pPr>
        <w:pBdr>
          <w:top w:val="nil"/>
          <w:left w:val="nil"/>
          <w:bottom w:val="nil"/>
          <w:right w:val="nil"/>
          <w:between w:val="nil"/>
        </w:pBdr>
        <w:spacing w:line="240" w:lineRule="auto"/>
        <w:ind w:left="0" w:hanging="2"/>
        <w:jc w:val="both"/>
        <w:rPr>
          <w:color w:val="000000"/>
        </w:rPr>
      </w:pPr>
      <w:r>
        <w:rPr>
          <w:color w:val="000000"/>
        </w:rPr>
        <w:lastRenderedPageBreak/>
        <w:t>-Pokiaľ dôjde v prvom roku odpisovania predmetu k  technickému zhodnoteniu predmetu rekonštrukciou alebo  modernizáciou, hodnota technického zhodnotenia povyšuje  vstupnú cenu hmotného majetku, ako základ pre výpočet  daňových odpisov.</w:t>
      </w:r>
    </w:p>
    <w:p w:rsidR="00675D42" w:rsidRDefault="00F81C08">
      <w:pPr>
        <w:pBdr>
          <w:top w:val="nil"/>
          <w:left w:val="nil"/>
          <w:bottom w:val="nil"/>
          <w:right w:val="nil"/>
          <w:between w:val="nil"/>
        </w:pBdr>
        <w:spacing w:line="240" w:lineRule="auto"/>
        <w:ind w:left="0" w:hanging="2"/>
        <w:jc w:val="both"/>
        <w:rPr>
          <w:color w:val="000000"/>
        </w:rPr>
      </w:pPr>
      <w:r>
        <w:rPr>
          <w:color w:val="000000"/>
        </w:rPr>
        <w:t>-Pokiaľ dôjde k technickému zhodnoteniu predmetu v  druhom a nasledujúcich rokoch odpisovania, hodnota  technického zhodnotenia tvorí základ pre "zvýšenú  zostatkovú cenu" a tomu odpovedajú odpisy uvedené         v § 27 a 28 zákona o daniach z príjmov.</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-Algoritmus výpočtu daňových odpisov rovnomerných  i  zrýchlených je uvedený v § 27 </w:t>
      </w:r>
      <w:proofErr w:type="spellStart"/>
      <w:r>
        <w:rPr>
          <w:color w:val="000000"/>
        </w:rPr>
        <w:t>odst</w:t>
      </w:r>
      <w:proofErr w:type="spellEnd"/>
      <w:r>
        <w:rPr>
          <w:color w:val="000000"/>
        </w:rPr>
        <w:t xml:space="preserve">. 1 a v § 28  </w:t>
      </w:r>
      <w:proofErr w:type="spellStart"/>
      <w:r>
        <w:rPr>
          <w:color w:val="000000"/>
        </w:rPr>
        <w:t>odst</w:t>
      </w:r>
      <w:proofErr w:type="spellEnd"/>
      <w:r>
        <w:rPr>
          <w:color w:val="000000"/>
        </w:rPr>
        <w:t>. 1,2,3 Zákona o dani z príjmov v znení neskorších predpisov a je zabudovaný do programov pre výpočet  daňových odpisov cestou výpočtovej techniky.</w:t>
      </w:r>
    </w:p>
    <w:p w:rsidR="00675D42" w:rsidRDefault="00F81C08">
      <w:pPr>
        <w:pBdr>
          <w:top w:val="nil"/>
          <w:left w:val="nil"/>
          <w:bottom w:val="nil"/>
          <w:right w:val="nil"/>
          <w:between w:val="nil"/>
        </w:pBdr>
        <w:spacing w:line="240" w:lineRule="auto"/>
        <w:ind w:left="0" w:hanging="2"/>
        <w:jc w:val="both"/>
        <w:rPr>
          <w:color w:val="000000"/>
        </w:rPr>
      </w:pPr>
      <w:r>
        <w:rPr>
          <w:color w:val="000000"/>
        </w:rPr>
        <w:t>-Majetok obstaraný  formou finančného prenájmu sa odpisuje počas doby trvania prenájmu do výšky 100% hodnoty (istina, kúpna cena, poplatok za leasingovú zmluvu a </w:t>
      </w:r>
      <w:proofErr w:type="spellStart"/>
      <w:r>
        <w:rPr>
          <w:color w:val="000000"/>
        </w:rPr>
        <w:t>ost</w:t>
      </w:r>
      <w:proofErr w:type="spellEnd"/>
      <w:r>
        <w:rPr>
          <w:color w:val="000000"/>
        </w:rPr>
        <w: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rsidR="00675D42" w:rsidRDefault="00F81C08">
      <w:pPr>
        <w:pBdr>
          <w:top w:val="nil"/>
          <w:left w:val="nil"/>
          <w:bottom w:val="nil"/>
          <w:right w:val="nil"/>
          <w:between w:val="nil"/>
        </w:pBdr>
        <w:spacing w:line="240" w:lineRule="auto"/>
        <w:ind w:left="0" w:hanging="2"/>
        <w:jc w:val="both"/>
        <w:rPr>
          <w:b/>
          <w:color w:val="000000"/>
          <w:sz w:val="18"/>
          <w:szCs w:val="18"/>
        </w:rPr>
      </w:pPr>
      <w:r>
        <w:rPr>
          <w:color w:val="000000"/>
        </w:rPr>
        <w:t>-Pri odpisovaní  dlhodobého majetku, ktorý sa iba sčasti používa na zabezpečenie zdaniteľného príjmu sa do daňových výdavkov zahŕňa len pomerná časť odpisov.</w:t>
      </w:r>
    </w:p>
    <w:p w:rsidR="00675D42" w:rsidRDefault="00675D42">
      <w:pPr>
        <w:pBdr>
          <w:top w:val="nil"/>
          <w:left w:val="nil"/>
          <w:bottom w:val="nil"/>
          <w:right w:val="nil"/>
          <w:between w:val="nil"/>
        </w:pBdr>
        <w:spacing w:before="120" w:line="240" w:lineRule="auto"/>
        <w:ind w:left="0" w:hanging="2"/>
        <w:jc w:val="both"/>
        <w:rPr>
          <w:b/>
          <w:color w:val="000000"/>
        </w:rPr>
      </w:pPr>
    </w:p>
    <w:p w:rsidR="00675D42" w:rsidRDefault="00F81C08">
      <w:pPr>
        <w:pBdr>
          <w:top w:val="nil"/>
          <w:left w:val="nil"/>
          <w:bottom w:val="nil"/>
          <w:right w:val="nil"/>
          <w:between w:val="nil"/>
        </w:pBdr>
        <w:spacing w:before="120" w:line="240" w:lineRule="auto"/>
        <w:ind w:left="0" w:hanging="2"/>
        <w:jc w:val="both"/>
        <w:rPr>
          <w:b/>
          <w:color w:val="000000"/>
        </w:rPr>
      </w:pPr>
      <w:r>
        <w:rPr>
          <w:b/>
          <w:color w:val="000000"/>
        </w:rPr>
        <w:t>Prehľad účtovných a daňových odpisov v EUR  je uvedený v nasledujúcej tabuľke :</w:t>
      </w:r>
    </w:p>
    <w:p w:rsidR="00675D42" w:rsidRDefault="00F81C08">
      <w:pPr>
        <w:pBdr>
          <w:top w:val="nil"/>
          <w:left w:val="nil"/>
          <w:bottom w:val="nil"/>
          <w:right w:val="nil"/>
          <w:between w:val="nil"/>
        </w:pBdr>
        <w:spacing w:before="120" w:line="240" w:lineRule="auto"/>
        <w:ind w:left="0" w:hanging="2"/>
        <w:jc w:val="both"/>
        <w:rPr>
          <w:rFonts w:ascii="Arial" w:eastAsia="Arial" w:hAnsi="Arial" w:cs="Arial"/>
          <w:color w:val="0000FF"/>
        </w:rPr>
      </w:pPr>
      <w:r>
        <w:rPr>
          <w:b/>
          <w:color w:val="000000"/>
        </w:rPr>
        <w:t xml:space="preserve">      </w:t>
      </w:r>
    </w:p>
    <w:tbl>
      <w:tblPr>
        <w:tblStyle w:val="a2"/>
        <w:tblW w:w="7725" w:type="dxa"/>
        <w:tblInd w:w="0" w:type="dxa"/>
        <w:tblLayout w:type="fixed"/>
        <w:tblLook w:val="0000" w:firstRow="0" w:lastRow="0" w:firstColumn="0" w:lastColumn="0" w:noHBand="0" w:noVBand="0"/>
      </w:tblPr>
      <w:tblGrid>
        <w:gridCol w:w="3460"/>
        <w:gridCol w:w="1066"/>
        <w:gridCol w:w="993"/>
        <w:gridCol w:w="992"/>
        <w:gridCol w:w="1214"/>
      </w:tblGrid>
      <w:tr w:rsidR="00675D42" w:rsidTr="00F213D7">
        <w:trPr>
          <w:trHeight w:val="255"/>
        </w:trPr>
        <w:tc>
          <w:tcPr>
            <w:tcW w:w="3460" w:type="dxa"/>
            <w:vMerge w:val="restart"/>
            <w:tcBorders>
              <w:top w:val="single" w:sz="8" w:space="0" w:color="000000"/>
              <w:left w:val="single" w:sz="8" w:space="0" w:color="000000"/>
              <w:bottom w:val="single" w:sz="4" w:space="0" w:color="000000"/>
            </w:tcBorders>
            <w:shd w:val="clear" w:color="auto" w:fill="auto"/>
            <w:vAlign w:val="center"/>
          </w:tcPr>
          <w:p w:rsidR="00675D42" w:rsidRDefault="00F81C08">
            <w:pPr>
              <w:ind w:left="0" w:hanging="2"/>
              <w:jc w:val="center"/>
              <w:rPr>
                <w:rFonts w:ascii="Arial" w:eastAsia="Arial" w:hAnsi="Arial" w:cs="Arial"/>
              </w:rPr>
            </w:pPr>
            <w:r>
              <w:rPr>
                <w:rFonts w:ascii="Arial" w:eastAsia="Arial" w:hAnsi="Arial" w:cs="Arial"/>
              </w:rPr>
              <w:t>Odpisy</w:t>
            </w:r>
          </w:p>
        </w:tc>
        <w:tc>
          <w:tcPr>
            <w:tcW w:w="2059" w:type="dxa"/>
            <w:gridSpan w:val="2"/>
            <w:tcBorders>
              <w:top w:val="single" w:sz="8" w:space="0" w:color="000000"/>
              <w:left w:val="single" w:sz="4" w:space="0" w:color="000000"/>
              <w:bottom w:val="single" w:sz="4" w:space="0" w:color="000000"/>
            </w:tcBorders>
            <w:shd w:val="clear" w:color="auto" w:fill="auto"/>
          </w:tcPr>
          <w:p w:rsidR="00675D42" w:rsidRDefault="00F213D7">
            <w:pPr>
              <w:ind w:left="0" w:hanging="2"/>
              <w:jc w:val="center"/>
              <w:rPr>
                <w:rFonts w:ascii="Arial" w:eastAsia="Arial" w:hAnsi="Arial" w:cs="Arial"/>
              </w:rPr>
            </w:pPr>
            <w:r>
              <w:rPr>
                <w:rFonts w:ascii="Arial" w:eastAsia="Arial" w:hAnsi="Arial" w:cs="Arial"/>
              </w:rPr>
              <w:t>2021</w:t>
            </w:r>
          </w:p>
        </w:tc>
        <w:tc>
          <w:tcPr>
            <w:tcW w:w="2206" w:type="dxa"/>
            <w:gridSpan w:val="2"/>
            <w:tcBorders>
              <w:top w:val="single" w:sz="8" w:space="0" w:color="000000"/>
              <w:left w:val="single" w:sz="4" w:space="0" w:color="000000"/>
              <w:bottom w:val="single" w:sz="4" w:space="0" w:color="000000"/>
              <w:right w:val="single" w:sz="8" w:space="0" w:color="000000"/>
            </w:tcBorders>
            <w:shd w:val="clear" w:color="auto" w:fill="auto"/>
          </w:tcPr>
          <w:p w:rsidR="00675D42" w:rsidRDefault="00F213D7">
            <w:pPr>
              <w:ind w:left="0" w:hanging="2"/>
              <w:jc w:val="center"/>
            </w:pPr>
            <w:r>
              <w:rPr>
                <w:rFonts w:ascii="Arial" w:eastAsia="Arial" w:hAnsi="Arial" w:cs="Arial"/>
              </w:rPr>
              <w:t>2022</w:t>
            </w:r>
          </w:p>
        </w:tc>
      </w:tr>
      <w:tr w:rsidR="00675D42" w:rsidTr="00F213D7">
        <w:trPr>
          <w:trHeight w:val="255"/>
        </w:trPr>
        <w:tc>
          <w:tcPr>
            <w:tcW w:w="3460" w:type="dxa"/>
            <w:vMerge/>
            <w:tcBorders>
              <w:top w:val="single" w:sz="8" w:space="0" w:color="000000"/>
              <w:left w:val="single" w:sz="8" w:space="0" w:color="000000"/>
              <w:bottom w:val="single" w:sz="4" w:space="0" w:color="000000"/>
            </w:tcBorders>
            <w:shd w:val="clear" w:color="auto" w:fill="auto"/>
            <w:vAlign w:val="center"/>
          </w:tcPr>
          <w:p w:rsidR="00675D42" w:rsidRDefault="00675D42">
            <w:pPr>
              <w:widowControl w:val="0"/>
              <w:pBdr>
                <w:top w:val="nil"/>
                <w:left w:val="nil"/>
                <w:bottom w:val="nil"/>
                <w:right w:val="nil"/>
                <w:between w:val="nil"/>
              </w:pBdr>
              <w:spacing w:line="276" w:lineRule="auto"/>
              <w:ind w:left="0" w:hanging="2"/>
            </w:pPr>
          </w:p>
        </w:tc>
        <w:tc>
          <w:tcPr>
            <w:tcW w:w="1066"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účtovné</w:t>
            </w:r>
          </w:p>
        </w:tc>
        <w:tc>
          <w:tcPr>
            <w:tcW w:w="993"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daňové</w:t>
            </w:r>
          </w:p>
        </w:tc>
        <w:tc>
          <w:tcPr>
            <w:tcW w:w="992" w:type="dxa"/>
            <w:tcBorders>
              <w:left w:val="single" w:sz="4"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účtovné</w:t>
            </w:r>
          </w:p>
        </w:tc>
        <w:tc>
          <w:tcPr>
            <w:tcW w:w="1214" w:type="dxa"/>
            <w:tcBorders>
              <w:left w:val="single" w:sz="4" w:space="0" w:color="000000"/>
              <w:bottom w:val="single" w:sz="4" w:space="0" w:color="000000"/>
              <w:right w:val="single" w:sz="8" w:space="0" w:color="000000"/>
            </w:tcBorders>
            <w:shd w:val="clear" w:color="auto" w:fill="auto"/>
          </w:tcPr>
          <w:p w:rsidR="00675D42" w:rsidRDefault="00F81C08">
            <w:pPr>
              <w:ind w:left="0" w:hanging="2"/>
            </w:pPr>
            <w:r>
              <w:rPr>
                <w:rFonts w:ascii="Arial" w:eastAsia="Arial" w:hAnsi="Arial" w:cs="Arial"/>
              </w:rPr>
              <w:t>daňové</w:t>
            </w:r>
          </w:p>
        </w:tc>
      </w:tr>
      <w:tr w:rsidR="00675D42" w:rsidTr="00F213D7">
        <w:trPr>
          <w:trHeight w:val="255"/>
        </w:trPr>
        <w:tc>
          <w:tcPr>
            <w:tcW w:w="3460" w:type="dxa"/>
            <w:tcBorders>
              <w:left w:val="single" w:sz="8"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Softvér</w:t>
            </w:r>
          </w:p>
        </w:tc>
        <w:tc>
          <w:tcPr>
            <w:tcW w:w="1066"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993"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992"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1214" w:type="dxa"/>
            <w:tcBorders>
              <w:left w:val="single" w:sz="4" w:space="0" w:color="000000"/>
              <w:bottom w:val="single" w:sz="4" w:space="0" w:color="000000"/>
              <w:right w:val="single" w:sz="8" w:space="0" w:color="000000"/>
            </w:tcBorders>
            <w:shd w:val="clear" w:color="auto" w:fill="auto"/>
          </w:tcPr>
          <w:p w:rsidR="00675D42" w:rsidRDefault="00F81C08">
            <w:pPr>
              <w:ind w:left="0" w:hanging="2"/>
              <w:jc w:val="right"/>
            </w:pPr>
            <w:r>
              <w:rPr>
                <w:rFonts w:ascii="Arial" w:eastAsia="Arial" w:hAnsi="Arial" w:cs="Arial"/>
              </w:rPr>
              <w:t>0</w:t>
            </w:r>
          </w:p>
        </w:tc>
      </w:tr>
      <w:tr w:rsidR="00675D42" w:rsidTr="00F213D7">
        <w:trPr>
          <w:trHeight w:val="255"/>
        </w:trPr>
        <w:tc>
          <w:tcPr>
            <w:tcW w:w="3460" w:type="dxa"/>
            <w:tcBorders>
              <w:left w:val="single" w:sz="8" w:space="0" w:color="000000"/>
              <w:bottom w:val="single" w:sz="4" w:space="0" w:color="000000"/>
            </w:tcBorders>
            <w:shd w:val="clear" w:color="auto" w:fill="auto"/>
          </w:tcPr>
          <w:p w:rsidR="00675D42" w:rsidRDefault="00F81C08">
            <w:pPr>
              <w:ind w:left="0" w:hanging="2"/>
              <w:rPr>
                <w:rFonts w:ascii="Arial" w:eastAsia="Arial" w:hAnsi="Arial" w:cs="Arial"/>
              </w:rPr>
            </w:pPr>
            <w:r>
              <w:rPr>
                <w:rFonts w:ascii="Arial" w:eastAsia="Arial" w:hAnsi="Arial" w:cs="Arial"/>
              </w:rPr>
              <w:t>Stavby</w:t>
            </w:r>
          </w:p>
        </w:tc>
        <w:tc>
          <w:tcPr>
            <w:tcW w:w="1066"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993" w:type="dxa"/>
            <w:tcBorders>
              <w:left w:val="single" w:sz="4" w:space="0" w:color="000000"/>
              <w:bottom w:val="single" w:sz="4" w:space="0" w:color="000000"/>
            </w:tcBorders>
            <w:shd w:val="clear" w:color="auto" w:fill="auto"/>
          </w:tcPr>
          <w:p w:rsidR="00675D42" w:rsidRDefault="00675D42">
            <w:pPr>
              <w:ind w:left="0" w:hanging="2"/>
              <w:jc w:val="right"/>
              <w:rPr>
                <w:rFonts w:ascii="Arial" w:eastAsia="Arial" w:hAnsi="Arial" w:cs="Arial"/>
              </w:rPr>
            </w:pPr>
          </w:p>
        </w:tc>
        <w:tc>
          <w:tcPr>
            <w:tcW w:w="992" w:type="dxa"/>
            <w:tcBorders>
              <w:left w:val="single" w:sz="4" w:space="0" w:color="000000"/>
              <w:bottom w:val="single" w:sz="4" w:space="0" w:color="000000"/>
            </w:tcBorders>
            <w:shd w:val="clear" w:color="auto" w:fill="auto"/>
          </w:tcPr>
          <w:p w:rsidR="00675D42" w:rsidRDefault="00F81C08">
            <w:pPr>
              <w:ind w:left="0" w:hanging="2"/>
              <w:jc w:val="right"/>
              <w:rPr>
                <w:rFonts w:ascii="Arial" w:eastAsia="Arial" w:hAnsi="Arial" w:cs="Arial"/>
              </w:rPr>
            </w:pPr>
            <w:r>
              <w:rPr>
                <w:rFonts w:ascii="Arial" w:eastAsia="Arial" w:hAnsi="Arial" w:cs="Arial"/>
              </w:rPr>
              <w:t>0</w:t>
            </w:r>
          </w:p>
        </w:tc>
        <w:tc>
          <w:tcPr>
            <w:tcW w:w="1214" w:type="dxa"/>
            <w:tcBorders>
              <w:left w:val="single" w:sz="4" w:space="0" w:color="000000"/>
              <w:bottom w:val="single" w:sz="4" w:space="0" w:color="000000"/>
              <w:right w:val="single" w:sz="8" w:space="0" w:color="000000"/>
            </w:tcBorders>
            <w:shd w:val="clear" w:color="auto" w:fill="auto"/>
          </w:tcPr>
          <w:p w:rsidR="00675D42" w:rsidRDefault="00F81C08">
            <w:pPr>
              <w:ind w:left="0" w:hanging="2"/>
              <w:jc w:val="right"/>
            </w:pPr>
            <w:r>
              <w:rPr>
                <w:rFonts w:ascii="Arial" w:eastAsia="Arial" w:hAnsi="Arial" w:cs="Arial"/>
              </w:rPr>
              <w:t>0</w:t>
            </w:r>
          </w:p>
        </w:tc>
      </w:tr>
      <w:tr w:rsidR="00F213D7" w:rsidTr="00F213D7">
        <w:trPr>
          <w:trHeight w:val="510"/>
        </w:trPr>
        <w:tc>
          <w:tcPr>
            <w:tcW w:w="3460" w:type="dxa"/>
            <w:tcBorders>
              <w:left w:val="single" w:sz="8" w:space="0" w:color="000000"/>
              <w:bottom w:val="single" w:sz="4" w:space="0" w:color="000000"/>
            </w:tcBorders>
            <w:shd w:val="clear" w:color="auto" w:fill="auto"/>
          </w:tcPr>
          <w:p w:rsidR="00F213D7" w:rsidRDefault="00F213D7" w:rsidP="00F213D7">
            <w:pPr>
              <w:ind w:left="0" w:hanging="2"/>
              <w:rPr>
                <w:rFonts w:ascii="Arial" w:eastAsia="Arial" w:hAnsi="Arial" w:cs="Arial"/>
              </w:rPr>
            </w:pPr>
            <w:r>
              <w:rPr>
                <w:rFonts w:ascii="Arial" w:eastAsia="Arial" w:hAnsi="Arial" w:cs="Arial"/>
              </w:rPr>
              <w:t>Samostatné hnuteľné veci a súbory hnuteľných vecí</w:t>
            </w:r>
          </w:p>
        </w:tc>
        <w:tc>
          <w:tcPr>
            <w:tcW w:w="1066" w:type="dxa"/>
            <w:tcBorders>
              <w:left w:val="single" w:sz="4" w:space="0" w:color="000000"/>
              <w:bottom w:val="single" w:sz="4" w:space="0" w:color="000000"/>
            </w:tcBorders>
            <w:shd w:val="clear" w:color="auto" w:fill="auto"/>
          </w:tcPr>
          <w:p w:rsidR="00F213D7" w:rsidRDefault="00F213D7" w:rsidP="00F213D7">
            <w:pPr>
              <w:ind w:left="0" w:hanging="2"/>
            </w:pPr>
            <w:r w:rsidRPr="0048610F">
              <w:rPr>
                <w:rFonts w:ascii="Arial" w:eastAsia="Arial" w:hAnsi="Arial" w:cs="Arial"/>
              </w:rPr>
              <w:t>84844,72</w:t>
            </w:r>
          </w:p>
        </w:tc>
        <w:tc>
          <w:tcPr>
            <w:tcW w:w="993" w:type="dxa"/>
            <w:tcBorders>
              <w:left w:val="single" w:sz="4" w:space="0" w:color="000000"/>
              <w:bottom w:val="single" w:sz="4" w:space="0" w:color="000000"/>
            </w:tcBorders>
            <w:shd w:val="clear" w:color="auto" w:fill="auto"/>
          </w:tcPr>
          <w:p w:rsidR="00F213D7" w:rsidRDefault="00F213D7" w:rsidP="00F213D7">
            <w:pPr>
              <w:ind w:left="0" w:hanging="2"/>
            </w:pPr>
            <w:r w:rsidRPr="0048610F">
              <w:rPr>
                <w:rFonts w:ascii="Arial" w:eastAsia="Arial" w:hAnsi="Arial" w:cs="Arial"/>
              </w:rPr>
              <w:t>84844,72</w:t>
            </w:r>
          </w:p>
        </w:tc>
        <w:tc>
          <w:tcPr>
            <w:tcW w:w="992" w:type="dxa"/>
            <w:tcBorders>
              <w:left w:val="single" w:sz="4" w:space="0" w:color="000000"/>
              <w:bottom w:val="single" w:sz="4" w:space="0" w:color="000000"/>
            </w:tcBorders>
            <w:shd w:val="clear" w:color="auto" w:fill="auto"/>
          </w:tcPr>
          <w:p w:rsidR="00F213D7" w:rsidRDefault="00C6468C" w:rsidP="00F213D7">
            <w:pPr>
              <w:ind w:left="0" w:hanging="2"/>
              <w:jc w:val="right"/>
              <w:rPr>
                <w:rFonts w:ascii="Arial" w:eastAsia="Arial" w:hAnsi="Arial" w:cs="Arial"/>
              </w:rPr>
            </w:pPr>
            <w:r>
              <w:rPr>
                <w:rFonts w:ascii="Arial" w:eastAsia="Arial" w:hAnsi="Arial" w:cs="Arial"/>
              </w:rPr>
              <w:t>76723,69</w:t>
            </w:r>
          </w:p>
        </w:tc>
        <w:tc>
          <w:tcPr>
            <w:tcW w:w="1214" w:type="dxa"/>
            <w:tcBorders>
              <w:left w:val="single" w:sz="4" w:space="0" w:color="000000"/>
              <w:bottom w:val="single" w:sz="4" w:space="0" w:color="000000"/>
              <w:right w:val="single" w:sz="8" w:space="0" w:color="000000"/>
            </w:tcBorders>
            <w:shd w:val="clear" w:color="auto" w:fill="auto"/>
          </w:tcPr>
          <w:p w:rsidR="00F213D7" w:rsidRDefault="00C6468C" w:rsidP="00F213D7">
            <w:pPr>
              <w:ind w:left="0" w:hanging="2"/>
              <w:jc w:val="right"/>
            </w:pPr>
            <w:r>
              <w:rPr>
                <w:rFonts w:ascii="Arial" w:eastAsia="Arial" w:hAnsi="Arial" w:cs="Arial"/>
              </w:rPr>
              <w:t>76723,69</w:t>
            </w:r>
          </w:p>
        </w:tc>
      </w:tr>
      <w:tr w:rsidR="00675D42" w:rsidTr="00F213D7">
        <w:trPr>
          <w:trHeight w:val="270"/>
        </w:trPr>
        <w:tc>
          <w:tcPr>
            <w:tcW w:w="3460" w:type="dxa"/>
            <w:tcBorders>
              <w:left w:val="single" w:sz="8" w:space="0" w:color="000000"/>
              <w:bottom w:val="single" w:sz="8" w:space="0" w:color="000000"/>
            </w:tcBorders>
            <w:shd w:val="clear" w:color="auto" w:fill="auto"/>
          </w:tcPr>
          <w:p w:rsidR="00675D42" w:rsidRDefault="00F81C08">
            <w:pPr>
              <w:ind w:left="0" w:hanging="2"/>
              <w:rPr>
                <w:rFonts w:ascii="Arial" w:eastAsia="Arial" w:hAnsi="Arial" w:cs="Arial"/>
                <w:b/>
              </w:rPr>
            </w:pPr>
            <w:r>
              <w:rPr>
                <w:rFonts w:ascii="Arial" w:eastAsia="Arial" w:hAnsi="Arial" w:cs="Arial"/>
                <w:b/>
              </w:rPr>
              <w:t>Spolu</w:t>
            </w:r>
          </w:p>
        </w:tc>
        <w:tc>
          <w:tcPr>
            <w:tcW w:w="1066" w:type="dxa"/>
            <w:tcBorders>
              <w:left w:val="single" w:sz="4" w:space="0" w:color="000000"/>
              <w:bottom w:val="single" w:sz="8" w:space="0" w:color="000000"/>
            </w:tcBorders>
            <w:shd w:val="clear" w:color="auto" w:fill="auto"/>
          </w:tcPr>
          <w:p w:rsidR="00675D42" w:rsidRDefault="00675D42">
            <w:pPr>
              <w:ind w:left="0" w:hanging="2"/>
              <w:jc w:val="right"/>
              <w:rPr>
                <w:rFonts w:ascii="Arial" w:eastAsia="Arial" w:hAnsi="Arial" w:cs="Arial"/>
                <w:b/>
              </w:rPr>
            </w:pPr>
          </w:p>
        </w:tc>
        <w:tc>
          <w:tcPr>
            <w:tcW w:w="993" w:type="dxa"/>
            <w:tcBorders>
              <w:left w:val="single" w:sz="4" w:space="0" w:color="000000"/>
              <w:bottom w:val="single" w:sz="8" w:space="0" w:color="000000"/>
            </w:tcBorders>
            <w:shd w:val="clear" w:color="auto" w:fill="auto"/>
          </w:tcPr>
          <w:p w:rsidR="00675D42" w:rsidRDefault="00675D42">
            <w:pPr>
              <w:ind w:left="0" w:hanging="2"/>
              <w:jc w:val="right"/>
              <w:rPr>
                <w:rFonts w:ascii="Arial" w:eastAsia="Arial" w:hAnsi="Arial" w:cs="Arial"/>
                <w:b/>
              </w:rPr>
            </w:pPr>
          </w:p>
        </w:tc>
        <w:tc>
          <w:tcPr>
            <w:tcW w:w="992" w:type="dxa"/>
            <w:tcBorders>
              <w:left w:val="single" w:sz="4" w:space="0" w:color="000000"/>
              <w:bottom w:val="single" w:sz="8" w:space="0" w:color="000000"/>
            </w:tcBorders>
            <w:shd w:val="clear" w:color="auto" w:fill="auto"/>
          </w:tcPr>
          <w:p w:rsidR="00675D42" w:rsidRDefault="00675D42">
            <w:pPr>
              <w:ind w:left="0" w:hanging="2"/>
              <w:jc w:val="right"/>
              <w:rPr>
                <w:rFonts w:ascii="Arial" w:eastAsia="Arial" w:hAnsi="Arial" w:cs="Arial"/>
                <w:b/>
              </w:rPr>
            </w:pPr>
          </w:p>
        </w:tc>
        <w:tc>
          <w:tcPr>
            <w:tcW w:w="1214" w:type="dxa"/>
            <w:tcBorders>
              <w:left w:val="single" w:sz="4" w:space="0" w:color="000000"/>
              <w:bottom w:val="single" w:sz="8" w:space="0" w:color="000000"/>
              <w:right w:val="single" w:sz="8" w:space="0" w:color="000000"/>
            </w:tcBorders>
            <w:shd w:val="clear" w:color="auto" w:fill="auto"/>
          </w:tcPr>
          <w:p w:rsidR="00675D42" w:rsidRDefault="00675D42">
            <w:pPr>
              <w:ind w:left="0" w:hanging="2"/>
              <w:jc w:val="right"/>
              <w:rPr>
                <w:rFonts w:ascii="Arial" w:eastAsia="Arial" w:hAnsi="Arial" w:cs="Arial"/>
                <w:b/>
              </w:rPr>
            </w:pPr>
          </w:p>
        </w:tc>
      </w:tr>
    </w:tbl>
    <w:p w:rsidR="00675D42" w:rsidRDefault="00F81C08">
      <w:pPr>
        <w:pBdr>
          <w:top w:val="nil"/>
          <w:left w:val="nil"/>
          <w:bottom w:val="nil"/>
          <w:right w:val="nil"/>
          <w:between w:val="nil"/>
        </w:pBdr>
        <w:spacing w:line="240" w:lineRule="auto"/>
        <w:ind w:left="0" w:hanging="2"/>
        <w:jc w:val="both"/>
        <w:rPr>
          <w:b/>
          <w:color w:val="000000"/>
        </w:rPr>
      </w:pPr>
      <w:r>
        <w:rPr>
          <w:b/>
          <w:color w:val="000000"/>
        </w:rPr>
        <w:t xml:space="preserve">        </w:t>
      </w:r>
    </w:p>
    <w:p w:rsidR="00675D42" w:rsidRDefault="00F81C08">
      <w:pPr>
        <w:pBdr>
          <w:top w:val="nil"/>
          <w:left w:val="nil"/>
          <w:bottom w:val="nil"/>
          <w:right w:val="nil"/>
          <w:between w:val="nil"/>
        </w:pBdr>
        <w:spacing w:line="240" w:lineRule="auto"/>
        <w:ind w:left="0" w:hanging="2"/>
        <w:jc w:val="both"/>
        <w:rPr>
          <w:color w:val="000000"/>
        </w:rPr>
      </w:pPr>
      <w:r>
        <w:rPr>
          <w:b/>
          <w:color w:val="000000"/>
        </w:rPr>
        <w:t xml:space="preserve">        Poistenie dlhodobého majetku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rPr>
        <w:t>Spoločnosť hradí povinné zákonné a  havarijné poistenie za osobné autá, ktoré má v majetku.</w:t>
      </w:r>
    </w:p>
    <w:p w:rsidR="00675D42" w:rsidRDefault="00675D42">
      <w:pPr>
        <w:pBdr>
          <w:top w:val="nil"/>
          <w:left w:val="nil"/>
          <w:bottom w:val="nil"/>
          <w:right w:val="nil"/>
          <w:between w:val="nil"/>
        </w:pBdr>
        <w:tabs>
          <w:tab w:val="left" w:pos="426"/>
        </w:tabs>
        <w:spacing w:line="240" w:lineRule="auto"/>
        <w:ind w:left="0" w:hanging="2"/>
        <w:jc w:val="both"/>
        <w:rPr>
          <w:b/>
          <w:color w:val="000000"/>
          <w:highlight w:val="white"/>
        </w:rPr>
      </w:pPr>
    </w:p>
    <w:p w:rsidR="00675D42" w:rsidRDefault="00664E55">
      <w:pPr>
        <w:pBdr>
          <w:top w:val="nil"/>
          <w:left w:val="nil"/>
          <w:bottom w:val="nil"/>
          <w:right w:val="nil"/>
          <w:between w:val="nil"/>
        </w:pBdr>
        <w:tabs>
          <w:tab w:val="left" w:pos="426"/>
        </w:tabs>
        <w:spacing w:line="240" w:lineRule="auto"/>
        <w:ind w:left="0" w:hanging="2"/>
        <w:jc w:val="both"/>
        <w:rPr>
          <w:b/>
          <w:color w:val="000000"/>
          <w:highlight w:val="white"/>
        </w:rPr>
      </w:pPr>
      <w:r>
        <w:rPr>
          <w:b/>
          <w:color w:val="000000"/>
          <w:highlight w:val="white"/>
        </w:rPr>
        <w:t xml:space="preserve"> </w:t>
      </w: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sz w:val="18"/>
          <w:szCs w:val="18"/>
          <w:highlight w:val="white"/>
        </w:rPr>
      </w:pPr>
      <w:r>
        <w:rPr>
          <w:b/>
          <w:color w:val="000000"/>
          <w:highlight w:val="white"/>
        </w:rPr>
        <w:t xml:space="preserve">Zásoby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sz w:val="18"/>
          <w:szCs w:val="18"/>
          <w:highlight w:val="white"/>
        </w:rPr>
        <w:t>Zásoby nakupované sa oceňujú obstarávacou cenou, ktorá zahrnuje cenu obstara</w:t>
      </w:r>
      <w:r w:rsidR="00840A1C">
        <w:rPr>
          <w:color w:val="000000"/>
          <w:sz w:val="18"/>
          <w:szCs w:val="18"/>
          <w:highlight w:val="white"/>
        </w:rPr>
        <w:t xml:space="preserve">nia a náklady </w:t>
      </w:r>
      <w:proofErr w:type="spellStart"/>
      <w:r w:rsidR="00840A1C">
        <w:rPr>
          <w:color w:val="000000"/>
          <w:sz w:val="18"/>
          <w:szCs w:val="18"/>
          <w:highlight w:val="white"/>
        </w:rPr>
        <w:t>súvisiace</w:t>
      </w:r>
      <w:r>
        <w:rPr>
          <w:color w:val="000000"/>
          <w:sz w:val="18"/>
          <w:szCs w:val="18"/>
          <w:highlight w:val="white"/>
        </w:rPr>
        <w:t>s</w:t>
      </w:r>
      <w:proofErr w:type="spellEnd"/>
      <w:r>
        <w:rPr>
          <w:color w:val="000000"/>
          <w:sz w:val="18"/>
          <w:szCs w:val="18"/>
          <w:highlight w:val="white"/>
        </w:rPr>
        <w:t xml:space="preserve"> obstaraním (clo, prepravu, poistné, provízie, skonto a pod.). Úroky z cudzích zdrojov nie sú súčasťou obstarávacej ceny. </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before="120" w:line="240" w:lineRule="auto"/>
        <w:ind w:left="0" w:hanging="2"/>
        <w:jc w:val="both"/>
        <w:rPr>
          <w:color w:val="000000"/>
          <w:highlight w:val="white"/>
        </w:rPr>
      </w:pPr>
      <w:r>
        <w:rPr>
          <w:color w:val="000000"/>
          <w:highlight w:val="white"/>
          <w:u w:val="single"/>
        </w:rPr>
        <w:t>Zásoby nakupované</w:t>
      </w:r>
      <w:r>
        <w:rPr>
          <w:color w:val="000000"/>
          <w:highlight w:val="white"/>
        </w:rPr>
        <w:t xml:space="preserve">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ab/>
        <w:t xml:space="preserve">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V priebehu účtovného obdobia sme používali spôsob A účtovania zásob s použitím kalkulačného účtu 111. Po spracovaní došlej faktúry s príjmom na sklad sa ce</w:t>
      </w:r>
      <w:r w:rsidR="00FF2EF5">
        <w:rPr>
          <w:color w:val="000000"/>
          <w:highlight w:val="white"/>
        </w:rPr>
        <w:t>lá hodnota preúčtuje na účet 132</w:t>
      </w:r>
      <w:r>
        <w:rPr>
          <w:color w:val="000000"/>
          <w:highlight w:val="white"/>
        </w:rPr>
        <w:t xml:space="preserve"> - Materiál na sklade,  v osobitnom analytickom členení obsahujúcom hodnotu materiálu a obstarávacích nákladov.</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Oceňovanie  materiálu na skladoch sa uskutočňuje systémom okamžitých reálnych cien.</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rPr>
      </w:pPr>
      <w:r>
        <w:rPr>
          <w:color w:val="00000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Zákazková výroba a výrobky</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neúčtuje o zákazkovej  výrobe. Výrobky oceňuje na základe kalkulácie jednotlivých druhov výrobkov.</w:t>
      </w:r>
    </w:p>
    <w:p w:rsidR="00675D42" w:rsidRDefault="00675D42">
      <w:pPr>
        <w:pBdr>
          <w:top w:val="nil"/>
          <w:left w:val="nil"/>
          <w:bottom w:val="nil"/>
          <w:right w:val="nil"/>
          <w:between w:val="nil"/>
        </w:pBdr>
        <w:tabs>
          <w:tab w:val="left" w:pos="426"/>
        </w:tabs>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Pohľadávky</w:t>
      </w:r>
    </w:p>
    <w:p w:rsidR="00675D42" w:rsidRDefault="00F81C08">
      <w:pPr>
        <w:pBdr>
          <w:top w:val="nil"/>
          <w:left w:val="nil"/>
          <w:bottom w:val="nil"/>
          <w:right w:val="nil"/>
          <w:between w:val="nil"/>
        </w:pBdr>
        <w:spacing w:line="240" w:lineRule="auto"/>
        <w:ind w:left="0" w:hanging="2"/>
        <w:jc w:val="both"/>
        <w:rPr>
          <w:color w:val="000000"/>
        </w:rPr>
      </w:pPr>
      <w:r>
        <w:rPr>
          <w:color w:val="000000"/>
        </w:rPr>
        <w:t>Pohľadávky sa pri ich vzniku oceňujú ich menovitou hodnotou; postúpené pohľadávky sa oceňujú obstarávacou cenou, vrátane nákladov súvisiacich s obstaraním. Toto ocenenie sa znižuje o pochybné a nevymožiteľné pohľadávky- formou opravných položiek k pohľadávkam.</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lastRenderedPageBreak/>
        <w:t>Peňažné prostriedky a ceniny</w:t>
      </w:r>
    </w:p>
    <w:p w:rsidR="00675D42" w:rsidRDefault="00F81C08">
      <w:pPr>
        <w:pBdr>
          <w:top w:val="nil"/>
          <w:left w:val="nil"/>
          <w:bottom w:val="nil"/>
          <w:right w:val="nil"/>
          <w:between w:val="nil"/>
        </w:pBdr>
        <w:spacing w:line="240" w:lineRule="auto"/>
        <w:ind w:left="0" w:hanging="2"/>
        <w:jc w:val="both"/>
        <w:rPr>
          <w:color w:val="000000"/>
        </w:rPr>
      </w:pPr>
      <w:r>
        <w:rPr>
          <w:color w:val="000000"/>
        </w:rPr>
        <w:t>Peňažné prostriedky a ceniny sa oceňujú ich menovitou hodnotou.</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Náklady budúcich období a príjmy budúcich období</w:t>
      </w:r>
    </w:p>
    <w:p w:rsidR="00675D42" w:rsidRDefault="00F81C08">
      <w:pPr>
        <w:pBdr>
          <w:top w:val="nil"/>
          <w:left w:val="nil"/>
          <w:bottom w:val="nil"/>
          <w:right w:val="nil"/>
          <w:between w:val="nil"/>
        </w:pBdr>
        <w:spacing w:line="240" w:lineRule="auto"/>
        <w:ind w:left="0" w:hanging="2"/>
        <w:jc w:val="both"/>
        <w:rPr>
          <w:color w:val="000000"/>
        </w:rPr>
      </w:pPr>
      <w:r>
        <w:rPr>
          <w:color w:val="000000"/>
        </w:rPr>
        <w:t>Náklady budúcich období a príjmy budúcich období sa vykazujú vo výške, ktorá je potrebná na dodržanie zásady vecnej a časovej súvislosti s účtovným obdobím.</w:t>
      </w:r>
    </w:p>
    <w:p w:rsidR="00675D42" w:rsidRDefault="00F81C08">
      <w:pPr>
        <w:pBdr>
          <w:top w:val="nil"/>
          <w:left w:val="nil"/>
          <w:bottom w:val="nil"/>
          <w:right w:val="nil"/>
          <w:between w:val="nil"/>
        </w:pBdr>
        <w:spacing w:line="240" w:lineRule="auto"/>
        <w:ind w:left="0" w:hanging="2"/>
        <w:jc w:val="both"/>
        <w:rPr>
          <w:color w:val="000000"/>
        </w:rPr>
      </w:pPr>
      <w:r>
        <w:rPr>
          <w:color w:val="000000"/>
        </w:rPr>
        <w:t>Účtovná jednotka vytvorila NBO na poistné PZP, HP,</w:t>
      </w:r>
      <w:r w:rsidR="00FF2EF5">
        <w:rPr>
          <w:color w:val="000000"/>
        </w:rPr>
        <w:t xml:space="preserve"> </w:t>
      </w:r>
      <w:r>
        <w:rPr>
          <w:color w:val="000000"/>
        </w:rPr>
        <w:t>náklady na ubytovňu v celkovej sume:</w:t>
      </w:r>
      <w:r w:rsidR="00C6468C">
        <w:rPr>
          <w:color w:val="000000"/>
        </w:rPr>
        <w:t>35.932,11</w:t>
      </w:r>
      <w:r>
        <w:rPr>
          <w:color w:val="000000"/>
        </w:rPr>
        <w:t>Eur.</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Rezervy</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Rezervy sú záväzky s neurčitým časovým vymedzením alebo výškou. Tvoria sa na základe zásady opatrnosti  na krytie známych rizík alebo strát z podnikania. Oceňujú sa v očakávanej výške záväzku.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Rezerva na nevyčerpané dovolenky s odvodmi: </w:t>
      </w:r>
      <w:r w:rsidR="00C6468C">
        <w:rPr>
          <w:color w:val="000000"/>
        </w:rPr>
        <w:t>20.228,22</w:t>
      </w:r>
      <w:r>
        <w:rPr>
          <w:color w:val="000000"/>
        </w:rPr>
        <w:t>€</w:t>
      </w:r>
    </w:p>
    <w:p w:rsidR="00675D42" w:rsidRDefault="00675D42">
      <w:pPr>
        <w:pBdr>
          <w:top w:val="nil"/>
          <w:left w:val="nil"/>
          <w:bottom w:val="nil"/>
          <w:right w:val="nil"/>
          <w:between w:val="nil"/>
        </w:pBdr>
        <w:tabs>
          <w:tab w:val="left" w:pos="426"/>
        </w:tabs>
        <w:spacing w:line="240" w:lineRule="auto"/>
        <w:ind w:left="0" w:hanging="2"/>
        <w:jc w:val="both"/>
        <w:rPr>
          <w:b/>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Záväzky</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Odložené dane</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Odložené dane (odložená daňová pohľadávka a odložený daňový záväzok) sa vzťahujú na: </w:t>
      </w:r>
    </w:p>
    <w:p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dočasné rozdiely medzi účtovnou hodnotou majetku a účtovnou hodnotou záväzkov vykázanou v súvahe a ich daňovou základňou,</w:t>
      </w:r>
    </w:p>
    <w:p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možnosti umorovať daňovú stratu v budúcnosti, pod ktorou sa rozumie možnosť odpočítať daňovú stratu od základu dane v budúcnosti,</w:t>
      </w:r>
    </w:p>
    <w:p w:rsidR="00675D42" w:rsidRDefault="00F81C08">
      <w:pPr>
        <w:numPr>
          <w:ilvl w:val="0"/>
          <w:numId w:val="6"/>
        </w:numPr>
        <w:pBdr>
          <w:top w:val="nil"/>
          <w:left w:val="nil"/>
          <w:bottom w:val="nil"/>
          <w:right w:val="nil"/>
          <w:between w:val="nil"/>
        </w:pBdr>
        <w:spacing w:line="240" w:lineRule="auto"/>
        <w:ind w:left="0" w:hanging="2"/>
        <w:jc w:val="both"/>
        <w:rPr>
          <w:color w:val="000000"/>
        </w:rPr>
      </w:pPr>
      <w:r>
        <w:rPr>
          <w:color w:val="000000"/>
        </w:rPr>
        <w:t>možnosti previesť nevyužité daňové odpočty a iné daňové nároky do budúcich období.</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V spoločnosti EKOPRIM </w:t>
      </w:r>
      <w:proofErr w:type="spellStart"/>
      <w:r>
        <w:rPr>
          <w:color w:val="000000"/>
        </w:rPr>
        <w:t>istata</w:t>
      </w:r>
      <w:proofErr w:type="spellEnd"/>
      <w:r>
        <w:rPr>
          <w:color w:val="000000"/>
        </w:rPr>
        <w:t xml:space="preserve"> stavby </w:t>
      </w:r>
      <w:proofErr w:type="spellStart"/>
      <w:r>
        <w:rPr>
          <w:color w:val="000000"/>
        </w:rPr>
        <w:t>s.r.o</w:t>
      </w:r>
      <w:proofErr w:type="spellEnd"/>
      <w:r>
        <w:rPr>
          <w:color w:val="000000"/>
        </w:rPr>
        <w:t>,  sa o odloženej dani neúčtovalo.</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Výdavky budúcich období a výnosy budúcich období</w:t>
      </w:r>
    </w:p>
    <w:p w:rsidR="00675D42" w:rsidRDefault="00F81C08">
      <w:pPr>
        <w:pBdr>
          <w:top w:val="nil"/>
          <w:left w:val="nil"/>
          <w:bottom w:val="nil"/>
          <w:right w:val="nil"/>
          <w:between w:val="nil"/>
        </w:pBdr>
        <w:spacing w:line="240" w:lineRule="auto"/>
        <w:ind w:left="0" w:hanging="2"/>
        <w:jc w:val="both"/>
        <w:rPr>
          <w:color w:val="000000"/>
        </w:rPr>
      </w:pPr>
      <w:r>
        <w:rPr>
          <w:color w:val="000000"/>
        </w:rPr>
        <w:t>Výdavky budúcich období a výnosy budúcich období sa vykazujú vo výške, ktorá je potrebná na dodržanie zásady vecnej a časovej súvislosti s účtovným obdobím.</w:t>
      </w:r>
    </w:p>
    <w:p w:rsidR="00675D42" w:rsidRDefault="00F81C08">
      <w:pPr>
        <w:pBdr>
          <w:top w:val="nil"/>
          <w:left w:val="nil"/>
          <w:bottom w:val="nil"/>
          <w:right w:val="nil"/>
          <w:between w:val="nil"/>
        </w:pBdr>
        <w:spacing w:line="240" w:lineRule="auto"/>
        <w:ind w:left="0" w:hanging="2"/>
        <w:jc w:val="both"/>
        <w:rPr>
          <w:color w:val="000000"/>
        </w:rPr>
      </w:pPr>
      <w:r>
        <w:rPr>
          <w:color w:val="000000"/>
        </w:rPr>
        <w:t>-Nie sú.</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Leasing</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Pri </w:t>
      </w:r>
      <w:r w:rsidR="00FF2EF5">
        <w:rPr>
          <w:color w:val="000000"/>
        </w:rPr>
        <w:t>zmluvách</w:t>
      </w:r>
      <w:r>
        <w:rPr>
          <w:color w:val="000000"/>
        </w:rPr>
        <w:t xml:space="preserve"> uzatvorených po 1.1.2004 </w:t>
      </w:r>
      <w:r w:rsidR="00FF2EF5">
        <w:rPr>
          <w:color w:val="000000"/>
        </w:rPr>
        <w:t>vykazuje</w:t>
      </w:r>
      <w:r>
        <w:rPr>
          <w:color w:val="000000"/>
        </w:rPr>
        <w:t xml:space="preserve"> majetok obstaraný formou finančného leasingu </w:t>
      </w:r>
      <w:r w:rsidR="00FF2EF5">
        <w:rPr>
          <w:color w:val="000000"/>
        </w:rPr>
        <w:t>nájomca. V</w:t>
      </w:r>
      <w:r>
        <w:rPr>
          <w:color w:val="000000"/>
        </w:rPr>
        <w:t xml:space="preserve"> roku 2021 spoločnosť nenakupovala na leasingovú </w:t>
      </w:r>
      <w:r w:rsidR="00FF2EF5">
        <w:rPr>
          <w:color w:val="000000"/>
        </w:rPr>
        <w:t>zmluvu</w:t>
      </w:r>
      <w:r>
        <w:rPr>
          <w:color w:val="000000"/>
        </w:rPr>
        <w:t xml:space="preserve"> osobné automobily.</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Deriváty</w:t>
      </w:r>
    </w:p>
    <w:p w:rsidR="00675D42" w:rsidRDefault="00F81C08">
      <w:pPr>
        <w:pBdr>
          <w:top w:val="nil"/>
          <w:left w:val="nil"/>
          <w:bottom w:val="nil"/>
          <w:right w:val="nil"/>
          <w:between w:val="nil"/>
        </w:pBdr>
        <w:spacing w:line="240" w:lineRule="auto"/>
        <w:ind w:left="0" w:hanging="2"/>
        <w:jc w:val="both"/>
        <w:rPr>
          <w:color w:val="000000"/>
        </w:rPr>
      </w:pPr>
      <w:r>
        <w:rPr>
          <w:color w:val="000000"/>
        </w:rPr>
        <w:t>O derivátoch spoločnosť neúčtovala.</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Majetok a záväzky zabezpečené derivátmi</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Majetok a záväzky neboli zabezpečené derivátmi. </w:t>
      </w:r>
    </w:p>
    <w:p w:rsidR="00675D42" w:rsidRDefault="00675D42" w:rsidP="00840A1C">
      <w:pPr>
        <w:pBdr>
          <w:top w:val="nil"/>
          <w:left w:val="nil"/>
          <w:bottom w:val="nil"/>
          <w:right w:val="nil"/>
          <w:between w:val="nil"/>
        </w:pBdr>
        <w:spacing w:line="240" w:lineRule="auto"/>
        <w:ind w:leftChars="0" w:left="0" w:firstLineChars="0" w:firstLine="0"/>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Cudzia mena</w:t>
      </w:r>
    </w:p>
    <w:p w:rsidR="00675D42" w:rsidRDefault="00675D42">
      <w:pPr>
        <w:pBdr>
          <w:top w:val="nil"/>
          <w:left w:val="nil"/>
          <w:bottom w:val="nil"/>
          <w:right w:val="nil"/>
          <w:between w:val="nil"/>
        </w:pBdr>
        <w:tabs>
          <w:tab w:val="left" w:pos="426"/>
        </w:tabs>
        <w:spacing w:line="240" w:lineRule="auto"/>
        <w:ind w:left="0" w:hanging="2"/>
        <w:jc w:val="both"/>
        <w:rPr>
          <w:b/>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color w:val="000000"/>
          <w:sz w:val="18"/>
          <w:szCs w:val="18"/>
        </w:rPr>
        <w:t xml:space="preserve">. </w:t>
      </w:r>
    </w:p>
    <w:p w:rsidR="00675D42" w:rsidRDefault="00F81C08">
      <w:pPr>
        <w:pBdr>
          <w:top w:val="nil"/>
          <w:left w:val="nil"/>
          <w:bottom w:val="nil"/>
          <w:right w:val="nil"/>
          <w:between w:val="nil"/>
        </w:pBdr>
        <w:spacing w:line="240" w:lineRule="auto"/>
        <w:ind w:left="0" w:hanging="2"/>
        <w:jc w:val="both"/>
        <w:rPr>
          <w:color w:val="000000"/>
        </w:rPr>
      </w:pPr>
      <w:r>
        <w:rPr>
          <w:color w:val="000000"/>
        </w:rPr>
        <w:t>Účtovná jednotka v cudzej mene neúčtovala.</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numPr>
          <w:ilvl w:val="0"/>
          <w:numId w:val="7"/>
        </w:numPr>
        <w:pBdr>
          <w:top w:val="nil"/>
          <w:left w:val="nil"/>
          <w:bottom w:val="nil"/>
          <w:right w:val="nil"/>
          <w:between w:val="nil"/>
        </w:pBdr>
        <w:tabs>
          <w:tab w:val="left" w:pos="426"/>
        </w:tabs>
        <w:spacing w:line="240" w:lineRule="auto"/>
        <w:ind w:left="0" w:hanging="2"/>
        <w:jc w:val="both"/>
        <w:rPr>
          <w:b/>
          <w:color w:val="000000"/>
        </w:rPr>
      </w:pPr>
      <w:r>
        <w:rPr>
          <w:b/>
          <w:color w:val="000000"/>
        </w:rPr>
        <w:t>Výnosy</w:t>
      </w:r>
    </w:p>
    <w:p w:rsidR="00675D42" w:rsidRDefault="00F81C08">
      <w:pPr>
        <w:pBdr>
          <w:top w:val="nil"/>
          <w:left w:val="nil"/>
          <w:bottom w:val="nil"/>
          <w:right w:val="nil"/>
          <w:between w:val="nil"/>
        </w:pBdr>
        <w:spacing w:line="240" w:lineRule="auto"/>
        <w:ind w:left="0" w:hanging="2"/>
        <w:jc w:val="both"/>
        <w:rPr>
          <w:color w:val="000000"/>
        </w:rPr>
      </w:pPr>
      <w:r>
        <w:rPr>
          <w:color w:val="000000"/>
        </w:rPr>
        <w:t>Tržby za vlastné výkony a tovar neobsahujú daň z pridanej hodnoty. Sú znížené o zľavy a zrážky (rabaty, bonusy, skontá, dobropisy a pod.) bez ohľadu na to, či zákazník mal vopred na zľavu nárok, alebo či ide o dodatočne uznanú zľavu.</w:t>
      </w:r>
    </w:p>
    <w:p w:rsidR="00675D42" w:rsidRDefault="00675D42">
      <w:pPr>
        <w:pBdr>
          <w:top w:val="nil"/>
          <w:left w:val="nil"/>
          <w:bottom w:val="nil"/>
          <w:right w:val="nil"/>
          <w:between w:val="nil"/>
        </w:pBdr>
        <w:spacing w:line="240" w:lineRule="auto"/>
        <w:ind w:left="0" w:hanging="2"/>
        <w:jc w:val="both"/>
        <w:rPr>
          <w:color w:val="000000"/>
        </w:rPr>
      </w:pPr>
    </w:p>
    <w:p w:rsidR="00675D42" w:rsidRPr="00840A1C" w:rsidRDefault="00F81C08">
      <w:pPr>
        <w:keepNext/>
        <w:numPr>
          <w:ilvl w:val="0"/>
          <w:numId w:val="2"/>
        </w:numPr>
        <w:pBdr>
          <w:top w:val="nil"/>
          <w:left w:val="nil"/>
          <w:bottom w:val="nil"/>
          <w:right w:val="nil"/>
          <w:between w:val="nil"/>
        </w:pBdr>
        <w:spacing w:line="240" w:lineRule="auto"/>
        <w:ind w:left="0" w:hanging="2"/>
        <w:rPr>
          <w:b/>
          <w:smallCaps/>
          <w:color w:val="000000"/>
          <w:sz w:val="18"/>
          <w:szCs w:val="18"/>
        </w:rPr>
      </w:pPr>
      <w:r w:rsidRPr="00840A1C">
        <w:rPr>
          <w:b/>
          <w:smallCaps/>
          <w:color w:val="000000"/>
        </w:rPr>
        <w:t>INFORMÁCIE O ÚDAJOCH NA STRANE AKTÍV SÚVAHY</w:t>
      </w:r>
    </w:p>
    <w:p w:rsidR="00675D42" w:rsidRDefault="00675D42">
      <w:pPr>
        <w:pBdr>
          <w:top w:val="nil"/>
          <w:left w:val="nil"/>
          <w:bottom w:val="nil"/>
          <w:right w:val="nil"/>
          <w:between w:val="nil"/>
        </w:pBdr>
        <w:tabs>
          <w:tab w:val="center" w:pos="4153"/>
          <w:tab w:val="right" w:pos="8306"/>
        </w:tabs>
        <w:spacing w:line="240" w:lineRule="auto"/>
        <w:ind w:left="0" w:hanging="2"/>
        <w:jc w:val="both"/>
        <w:rPr>
          <w:color w:val="000000"/>
        </w:rPr>
      </w:pPr>
    </w:p>
    <w:p w:rsid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rsid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rsidR="00840A1C" w:rsidRPr="00840A1C" w:rsidRDefault="00840A1C">
      <w:pPr>
        <w:pBdr>
          <w:top w:val="nil"/>
          <w:left w:val="nil"/>
          <w:bottom w:val="nil"/>
          <w:right w:val="nil"/>
          <w:between w:val="nil"/>
        </w:pBdr>
        <w:tabs>
          <w:tab w:val="center" w:pos="4153"/>
          <w:tab w:val="right" w:pos="8306"/>
        </w:tabs>
        <w:spacing w:line="240" w:lineRule="auto"/>
        <w:ind w:left="0" w:hanging="2"/>
        <w:jc w:val="both"/>
        <w:rPr>
          <w:color w:val="000000"/>
        </w:rPr>
      </w:pPr>
    </w:p>
    <w:p w:rsidR="00675D42" w:rsidRDefault="00F81C08">
      <w:pPr>
        <w:keepNext/>
        <w:numPr>
          <w:ilvl w:val="0"/>
          <w:numId w:val="3"/>
        </w:numPr>
        <w:pBdr>
          <w:top w:val="nil"/>
          <w:left w:val="nil"/>
          <w:bottom w:val="nil"/>
          <w:right w:val="nil"/>
          <w:between w:val="nil"/>
        </w:pBdr>
        <w:tabs>
          <w:tab w:val="left" w:pos="426"/>
        </w:tabs>
        <w:spacing w:line="240" w:lineRule="auto"/>
        <w:ind w:left="0" w:hanging="2"/>
        <w:rPr>
          <w:b/>
          <w:color w:val="000000"/>
        </w:rPr>
      </w:pPr>
      <w:r>
        <w:rPr>
          <w:b/>
          <w:color w:val="000000"/>
        </w:rPr>
        <w:t>Dlhodobý nehmotný majetok a dlhodobý hmotný majetok</w:t>
      </w:r>
    </w:p>
    <w:p w:rsidR="00675D42" w:rsidRDefault="00F81C08">
      <w:pPr>
        <w:pBdr>
          <w:top w:val="nil"/>
          <w:left w:val="nil"/>
          <w:bottom w:val="nil"/>
          <w:right w:val="nil"/>
          <w:between w:val="nil"/>
        </w:pBdr>
        <w:spacing w:line="240" w:lineRule="auto"/>
        <w:ind w:left="0" w:hanging="2"/>
        <w:jc w:val="both"/>
        <w:rPr>
          <w:color w:val="000000"/>
        </w:rPr>
      </w:pPr>
      <w:r>
        <w:rPr>
          <w:color w:val="000000"/>
        </w:rPr>
        <w:t>Prehľad o pohybe dlhodobého nehmotného a dlhodobého hmo</w:t>
      </w:r>
      <w:r w:rsidR="00C6468C">
        <w:rPr>
          <w:color w:val="000000"/>
        </w:rPr>
        <w:t>tného majetku od 1. januára 2022</w:t>
      </w:r>
      <w:r>
        <w:rPr>
          <w:color w:val="000000"/>
        </w:rPr>
        <w:t xml:space="preserve"> d</w:t>
      </w:r>
      <w:r w:rsidR="00840A1C">
        <w:rPr>
          <w:color w:val="000000"/>
        </w:rPr>
        <w:t xml:space="preserve">o </w:t>
      </w:r>
      <w:r w:rsidR="00C6468C">
        <w:rPr>
          <w:color w:val="000000"/>
        </w:rPr>
        <w:t>31. decembra 2022</w:t>
      </w:r>
      <w:r>
        <w:rPr>
          <w:color w:val="000000"/>
        </w:rPr>
        <w:t xml:space="preserve"> je uvedený v tabuľke :</w: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highlight w:val="yellow"/>
        </w:rPr>
      </w:pPr>
    </w:p>
    <w:tbl>
      <w:tblPr>
        <w:tblStyle w:val="a3"/>
        <w:tblW w:w="9490" w:type="dxa"/>
        <w:tblInd w:w="0" w:type="dxa"/>
        <w:tblLayout w:type="fixed"/>
        <w:tblLook w:val="0000" w:firstRow="0" w:lastRow="0" w:firstColumn="0" w:lastColumn="0" w:noHBand="0" w:noVBand="0"/>
      </w:tblPr>
      <w:tblGrid>
        <w:gridCol w:w="3285"/>
        <w:gridCol w:w="990"/>
        <w:gridCol w:w="1320"/>
        <w:gridCol w:w="960"/>
        <w:gridCol w:w="1110"/>
        <w:gridCol w:w="1440"/>
        <w:gridCol w:w="45"/>
        <w:gridCol w:w="60"/>
        <w:gridCol w:w="60"/>
        <w:gridCol w:w="60"/>
        <w:gridCol w:w="60"/>
        <w:gridCol w:w="100"/>
      </w:tblGrid>
      <w:tr w:rsidR="00675D42">
        <w:trPr>
          <w:trHeight w:val="270"/>
        </w:trPr>
        <w:tc>
          <w:tcPr>
            <w:tcW w:w="4275" w:type="dxa"/>
            <w:gridSpan w:val="2"/>
            <w:shd w:val="clear" w:color="auto" w:fill="auto"/>
          </w:tcPr>
          <w:p w:rsidR="00675D42" w:rsidRDefault="00F81C08">
            <w:pPr>
              <w:ind w:left="0" w:hanging="2"/>
              <w:rPr>
                <w:rFonts w:ascii="Arial" w:eastAsia="Arial" w:hAnsi="Arial" w:cs="Arial"/>
              </w:rPr>
            </w:pPr>
            <w:r>
              <w:rPr>
                <w:rFonts w:ascii="Arial" w:eastAsia="Arial" w:hAnsi="Arial" w:cs="Arial"/>
              </w:rPr>
              <w:t>a.) pohyby DM v obstarávacích cenách</w:t>
            </w:r>
          </w:p>
        </w:tc>
        <w:tc>
          <w:tcPr>
            <w:tcW w:w="1320" w:type="dxa"/>
            <w:shd w:val="clear" w:color="auto" w:fill="auto"/>
          </w:tcPr>
          <w:p w:rsidR="00675D42" w:rsidRDefault="00675D42">
            <w:pPr>
              <w:ind w:left="0" w:hanging="2"/>
              <w:rPr>
                <w:rFonts w:ascii="Arial" w:eastAsia="Arial" w:hAnsi="Arial" w:cs="Arial"/>
              </w:rPr>
            </w:pPr>
          </w:p>
        </w:tc>
        <w:tc>
          <w:tcPr>
            <w:tcW w:w="960" w:type="dxa"/>
            <w:shd w:val="clear" w:color="auto" w:fill="auto"/>
          </w:tcPr>
          <w:p w:rsidR="00675D42" w:rsidRDefault="00675D42">
            <w:pPr>
              <w:ind w:left="0" w:hanging="2"/>
              <w:rPr>
                <w:rFonts w:ascii="Arial" w:eastAsia="Arial" w:hAnsi="Arial" w:cs="Arial"/>
              </w:rPr>
            </w:pPr>
          </w:p>
        </w:tc>
        <w:tc>
          <w:tcPr>
            <w:tcW w:w="1110" w:type="dxa"/>
            <w:shd w:val="clear" w:color="auto" w:fill="auto"/>
          </w:tcPr>
          <w:p w:rsidR="00675D42" w:rsidRDefault="00675D42">
            <w:pPr>
              <w:ind w:left="0" w:hanging="2"/>
              <w:rPr>
                <w:rFonts w:ascii="Arial" w:eastAsia="Arial" w:hAnsi="Arial" w:cs="Arial"/>
              </w:rPr>
            </w:pPr>
          </w:p>
        </w:tc>
        <w:tc>
          <w:tcPr>
            <w:tcW w:w="1440" w:type="dxa"/>
            <w:shd w:val="clear" w:color="auto" w:fill="auto"/>
          </w:tcPr>
          <w:p w:rsidR="00675D42" w:rsidRDefault="00675D42">
            <w:pPr>
              <w:ind w:left="0" w:hanging="2"/>
              <w:rPr>
                <w:rFonts w:ascii="Arial" w:eastAsia="Arial" w:hAnsi="Arial" w:cs="Arial"/>
              </w:rPr>
            </w:pPr>
          </w:p>
        </w:tc>
        <w:tc>
          <w:tcPr>
            <w:tcW w:w="45"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60" w:type="dxa"/>
            <w:shd w:val="clear" w:color="auto" w:fill="auto"/>
          </w:tcPr>
          <w:p w:rsidR="00675D42" w:rsidRDefault="00675D42">
            <w:pPr>
              <w:ind w:left="0" w:hanging="2"/>
            </w:pPr>
          </w:p>
        </w:tc>
        <w:tc>
          <w:tcPr>
            <w:tcW w:w="100" w:type="dxa"/>
            <w:shd w:val="clear" w:color="auto" w:fill="auto"/>
          </w:tcPr>
          <w:p w:rsidR="00675D42" w:rsidRDefault="00675D42">
            <w:pPr>
              <w:ind w:left="0" w:hanging="2"/>
            </w:pPr>
          </w:p>
        </w:tc>
      </w:tr>
      <w:tr w:rsidR="00675D42">
        <w:trPr>
          <w:trHeight w:val="780"/>
        </w:trPr>
        <w:tc>
          <w:tcPr>
            <w:tcW w:w="3285" w:type="dxa"/>
            <w:tcBorders>
              <w:top w:val="single" w:sz="8" w:space="0" w:color="000000"/>
              <w:left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Majetok podľa položiek súvahy</w:t>
            </w:r>
          </w:p>
        </w:tc>
        <w:tc>
          <w:tcPr>
            <w:tcW w:w="99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Riadok S</w:t>
            </w:r>
          </w:p>
        </w:tc>
        <w:tc>
          <w:tcPr>
            <w:tcW w:w="132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Ob</w:t>
            </w:r>
            <w:r w:rsidR="00C6468C" w:rsidRPr="00E7366E">
              <w:rPr>
                <w:rFonts w:eastAsia="Arial"/>
              </w:rPr>
              <w:t>starávacia cena v EUR k 1.1.2022</w:t>
            </w:r>
          </w:p>
        </w:tc>
        <w:tc>
          <w:tcPr>
            <w:tcW w:w="96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Prírastky</w:t>
            </w:r>
          </w:p>
        </w:tc>
        <w:tc>
          <w:tcPr>
            <w:tcW w:w="1110" w:type="dxa"/>
            <w:tcBorders>
              <w:top w:val="single" w:sz="8" w:space="0" w:color="000000"/>
              <w:bottom w:val="single" w:sz="8" w:space="0" w:color="000000"/>
            </w:tcBorders>
            <w:shd w:val="clear" w:color="auto" w:fill="auto"/>
          </w:tcPr>
          <w:p w:rsidR="00675D42" w:rsidRPr="00E7366E" w:rsidRDefault="00F81C08">
            <w:pPr>
              <w:ind w:left="0" w:hanging="2"/>
              <w:rPr>
                <w:rFonts w:eastAsia="Arial"/>
              </w:rPr>
            </w:pPr>
            <w:r w:rsidRPr="00E7366E">
              <w:rPr>
                <w:rFonts w:eastAsia="Arial"/>
              </w:rPr>
              <w:t>Úbytky</w:t>
            </w:r>
          </w:p>
        </w:tc>
        <w:tc>
          <w:tcPr>
            <w:tcW w:w="1825" w:type="dxa"/>
            <w:gridSpan w:val="7"/>
            <w:tcBorders>
              <w:top w:val="single" w:sz="8" w:space="0" w:color="000000"/>
              <w:bottom w:val="single" w:sz="8" w:space="0" w:color="000000"/>
              <w:right w:val="single" w:sz="8" w:space="0" w:color="000000"/>
            </w:tcBorders>
            <w:shd w:val="clear" w:color="auto" w:fill="auto"/>
          </w:tcPr>
          <w:p w:rsidR="00675D42" w:rsidRPr="00E7366E" w:rsidRDefault="00675D42">
            <w:pPr>
              <w:ind w:left="0" w:hanging="2"/>
              <w:rPr>
                <w:rFonts w:eastAsia="Arial"/>
              </w:rPr>
            </w:pPr>
          </w:p>
          <w:p w:rsidR="00675D42" w:rsidRPr="00E7366E" w:rsidRDefault="00F81C08" w:rsidP="00C6468C">
            <w:pPr>
              <w:ind w:left="0" w:hanging="2"/>
            </w:pPr>
            <w:r w:rsidRPr="00E7366E">
              <w:rPr>
                <w:rFonts w:eastAsia="Arial"/>
              </w:rPr>
              <w:t>Obstarávacia cena v EUR k 31.12.202</w:t>
            </w:r>
            <w:r w:rsidR="00C6468C" w:rsidRPr="00E7366E">
              <w:rPr>
                <w:rFonts w:eastAsia="Arial"/>
              </w:rPr>
              <w:t>2</w:t>
            </w:r>
          </w:p>
        </w:tc>
      </w:tr>
      <w:tr w:rsidR="00675D42">
        <w:trPr>
          <w:trHeight w:val="255"/>
        </w:trPr>
        <w:tc>
          <w:tcPr>
            <w:tcW w:w="3285" w:type="dxa"/>
            <w:tcBorders>
              <w:left w:val="single" w:sz="8" w:space="0" w:color="000000"/>
            </w:tcBorders>
            <w:shd w:val="clear" w:color="auto" w:fill="auto"/>
          </w:tcPr>
          <w:p w:rsidR="00675D42" w:rsidRPr="00E7366E" w:rsidRDefault="00675D42">
            <w:pPr>
              <w:ind w:left="0" w:hanging="2"/>
              <w:rPr>
                <w:rFonts w:eastAsia="Arial"/>
              </w:rPr>
            </w:pPr>
          </w:p>
        </w:tc>
        <w:tc>
          <w:tcPr>
            <w:tcW w:w="990" w:type="dxa"/>
            <w:shd w:val="clear" w:color="auto" w:fill="auto"/>
          </w:tcPr>
          <w:p w:rsidR="00675D42" w:rsidRPr="00E7366E" w:rsidRDefault="00675D42">
            <w:pPr>
              <w:ind w:left="0" w:hanging="2"/>
              <w:rPr>
                <w:rFonts w:eastAsia="Arial"/>
              </w:rPr>
            </w:pPr>
          </w:p>
        </w:tc>
        <w:tc>
          <w:tcPr>
            <w:tcW w:w="1320" w:type="dxa"/>
            <w:shd w:val="clear" w:color="auto" w:fill="auto"/>
          </w:tcPr>
          <w:p w:rsidR="00675D42" w:rsidRPr="00E7366E" w:rsidRDefault="00675D42">
            <w:pPr>
              <w:ind w:left="0" w:hanging="2"/>
              <w:jc w:val="right"/>
              <w:rPr>
                <w:rFonts w:eastAsia="Arial"/>
              </w:rPr>
            </w:pPr>
          </w:p>
        </w:tc>
        <w:tc>
          <w:tcPr>
            <w:tcW w:w="960" w:type="dxa"/>
            <w:shd w:val="clear" w:color="auto" w:fill="auto"/>
          </w:tcPr>
          <w:p w:rsidR="00675D42" w:rsidRPr="00E7366E" w:rsidRDefault="00675D42">
            <w:pPr>
              <w:ind w:left="0" w:hanging="2"/>
              <w:jc w:val="right"/>
              <w:rPr>
                <w:rFonts w:eastAsia="Arial"/>
              </w:rPr>
            </w:pPr>
          </w:p>
        </w:tc>
        <w:tc>
          <w:tcPr>
            <w:tcW w:w="1110" w:type="dxa"/>
            <w:shd w:val="clear" w:color="auto" w:fill="auto"/>
          </w:tcPr>
          <w:p w:rsidR="00675D42" w:rsidRPr="00E7366E" w:rsidRDefault="00675D42">
            <w:pPr>
              <w:ind w:left="0" w:hanging="2"/>
              <w:jc w:val="right"/>
              <w:rPr>
                <w:rFonts w:eastAsia="Arial"/>
              </w:rPr>
            </w:pPr>
          </w:p>
        </w:tc>
        <w:tc>
          <w:tcPr>
            <w:tcW w:w="1825" w:type="dxa"/>
            <w:gridSpan w:val="7"/>
            <w:tcBorders>
              <w:right w:val="single" w:sz="8" w:space="0" w:color="000000"/>
            </w:tcBorders>
            <w:shd w:val="clear" w:color="auto" w:fill="auto"/>
          </w:tcPr>
          <w:p w:rsidR="00675D42" w:rsidRPr="00E7366E" w:rsidRDefault="00675D42">
            <w:pPr>
              <w:ind w:left="0" w:hanging="2"/>
              <w:jc w:val="right"/>
              <w:rPr>
                <w:rFonts w:eastAsia="Arial"/>
              </w:rPr>
            </w:pPr>
          </w:p>
        </w:tc>
      </w:tr>
      <w:tr w:rsidR="00675D42">
        <w:trPr>
          <w:trHeight w:val="270"/>
        </w:trPr>
        <w:tc>
          <w:tcPr>
            <w:tcW w:w="3285" w:type="dxa"/>
            <w:tcBorders>
              <w:left w:val="single" w:sz="8" w:space="0" w:color="000000"/>
            </w:tcBorders>
            <w:shd w:val="clear" w:color="auto" w:fill="auto"/>
          </w:tcPr>
          <w:p w:rsidR="00675D42" w:rsidRPr="00E7366E" w:rsidRDefault="00F81C08">
            <w:pPr>
              <w:ind w:left="0" w:hanging="2"/>
              <w:rPr>
                <w:rFonts w:eastAsia="Arial"/>
              </w:rPr>
            </w:pPr>
            <w:r w:rsidRPr="00E7366E">
              <w:rPr>
                <w:rFonts w:eastAsia="Arial"/>
              </w:rPr>
              <w:t>Samostatné hnuteľné vecí</w:t>
            </w:r>
          </w:p>
        </w:tc>
        <w:tc>
          <w:tcPr>
            <w:tcW w:w="990" w:type="dxa"/>
            <w:shd w:val="clear" w:color="auto" w:fill="auto"/>
          </w:tcPr>
          <w:p w:rsidR="00675D42" w:rsidRPr="00E7366E" w:rsidRDefault="00C6468C">
            <w:pPr>
              <w:ind w:left="0" w:hanging="2"/>
              <w:rPr>
                <w:rFonts w:eastAsia="Arial"/>
              </w:rPr>
            </w:pPr>
            <w:r w:rsidRPr="00E7366E">
              <w:rPr>
                <w:rFonts w:eastAsia="Arial"/>
              </w:rPr>
              <w:t>022</w:t>
            </w:r>
          </w:p>
        </w:tc>
        <w:tc>
          <w:tcPr>
            <w:tcW w:w="1320" w:type="dxa"/>
            <w:shd w:val="clear" w:color="auto" w:fill="auto"/>
          </w:tcPr>
          <w:p w:rsidR="00675D42" w:rsidRPr="00E7366E" w:rsidRDefault="00C6468C">
            <w:pPr>
              <w:ind w:left="0" w:hanging="2"/>
              <w:jc w:val="right"/>
              <w:rPr>
                <w:rFonts w:eastAsia="Arial"/>
              </w:rPr>
            </w:pPr>
            <w:r w:rsidRPr="00E7366E">
              <w:rPr>
                <w:rFonts w:eastAsia="Arial"/>
              </w:rPr>
              <w:t>245390</w:t>
            </w:r>
          </w:p>
        </w:tc>
        <w:tc>
          <w:tcPr>
            <w:tcW w:w="960" w:type="dxa"/>
            <w:shd w:val="clear" w:color="auto" w:fill="auto"/>
          </w:tcPr>
          <w:p w:rsidR="00675D42" w:rsidRPr="00E7366E" w:rsidRDefault="00C6468C">
            <w:pPr>
              <w:ind w:left="0" w:hanging="2"/>
              <w:jc w:val="right"/>
              <w:rPr>
                <w:rFonts w:eastAsia="Arial"/>
              </w:rPr>
            </w:pPr>
            <w:r w:rsidRPr="00E7366E">
              <w:rPr>
                <w:rFonts w:eastAsia="Arial"/>
              </w:rPr>
              <w:t>6656</w:t>
            </w:r>
          </w:p>
        </w:tc>
        <w:tc>
          <w:tcPr>
            <w:tcW w:w="1110" w:type="dxa"/>
            <w:shd w:val="clear" w:color="auto" w:fill="auto"/>
          </w:tcPr>
          <w:p w:rsidR="00675D42" w:rsidRPr="00E7366E" w:rsidRDefault="00C6468C">
            <w:pPr>
              <w:ind w:left="0" w:hanging="2"/>
              <w:jc w:val="right"/>
              <w:rPr>
                <w:rFonts w:eastAsia="Arial"/>
              </w:rPr>
            </w:pPr>
            <w:r w:rsidRPr="00E7366E">
              <w:rPr>
                <w:rFonts w:eastAsia="Arial"/>
              </w:rPr>
              <w:t>0</w:t>
            </w:r>
          </w:p>
        </w:tc>
        <w:tc>
          <w:tcPr>
            <w:tcW w:w="1825" w:type="dxa"/>
            <w:gridSpan w:val="7"/>
            <w:tcBorders>
              <w:right w:val="single" w:sz="8" w:space="0" w:color="000000"/>
            </w:tcBorders>
            <w:shd w:val="clear" w:color="auto" w:fill="auto"/>
          </w:tcPr>
          <w:p w:rsidR="00675D42" w:rsidRPr="00E7366E" w:rsidRDefault="00C6468C">
            <w:pPr>
              <w:ind w:left="0" w:hanging="2"/>
              <w:jc w:val="right"/>
            </w:pPr>
            <w:r w:rsidRPr="00E7366E">
              <w:rPr>
                <w:rFonts w:eastAsia="Arial"/>
              </w:rPr>
              <w:t>252046</w:t>
            </w:r>
          </w:p>
        </w:tc>
      </w:tr>
      <w:tr w:rsidR="00675D42">
        <w:trPr>
          <w:trHeight w:val="270"/>
        </w:trPr>
        <w:tc>
          <w:tcPr>
            <w:tcW w:w="3285" w:type="dxa"/>
            <w:tcBorders>
              <w:top w:val="single" w:sz="8" w:space="0" w:color="000000"/>
              <w:left w:val="single" w:sz="8" w:space="0" w:color="000000"/>
              <w:bottom w:val="single" w:sz="8" w:space="0" w:color="000000"/>
            </w:tcBorders>
            <w:shd w:val="clear" w:color="auto" w:fill="auto"/>
          </w:tcPr>
          <w:p w:rsidR="00675D42" w:rsidRPr="00E7366E" w:rsidRDefault="00F81C08">
            <w:pPr>
              <w:ind w:left="0" w:hanging="2"/>
              <w:rPr>
                <w:rFonts w:eastAsia="Arial"/>
                <w:b/>
              </w:rPr>
            </w:pPr>
            <w:r w:rsidRPr="00E7366E">
              <w:rPr>
                <w:rFonts w:eastAsia="Arial"/>
                <w:b/>
              </w:rPr>
              <w:t>Spolu</w:t>
            </w:r>
          </w:p>
        </w:tc>
        <w:tc>
          <w:tcPr>
            <w:tcW w:w="990" w:type="dxa"/>
            <w:tcBorders>
              <w:top w:val="single" w:sz="8" w:space="0" w:color="000000"/>
              <w:bottom w:val="single" w:sz="8" w:space="0" w:color="000000"/>
            </w:tcBorders>
            <w:shd w:val="clear" w:color="auto" w:fill="auto"/>
          </w:tcPr>
          <w:p w:rsidR="00675D42" w:rsidRPr="00E7366E" w:rsidRDefault="00F81C08">
            <w:pPr>
              <w:ind w:left="0" w:hanging="2"/>
              <w:rPr>
                <w:rFonts w:eastAsia="Arial"/>
                <w:b/>
              </w:rPr>
            </w:pPr>
            <w:r w:rsidRPr="00E7366E">
              <w:rPr>
                <w:rFonts w:eastAsia="Arial"/>
                <w:b/>
              </w:rPr>
              <w:t> </w:t>
            </w:r>
          </w:p>
        </w:tc>
        <w:tc>
          <w:tcPr>
            <w:tcW w:w="1320" w:type="dxa"/>
            <w:tcBorders>
              <w:top w:val="single" w:sz="8" w:space="0" w:color="000000"/>
              <w:bottom w:val="single" w:sz="8" w:space="0" w:color="000000"/>
            </w:tcBorders>
            <w:shd w:val="clear" w:color="auto" w:fill="auto"/>
          </w:tcPr>
          <w:p w:rsidR="00675D42" w:rsidRPr="00E7366E" w:rsidRDefault="00675D42">
            <w:pPr>
              <w:ind w:left="0" w:hanging="2"/>
              <w:jc w:val="right"/>
              <w:rPr>
                <w:rFonts w:eastAsia="Arial"/>
                <w:b/>
              </w:rPr>
            </w:pPr>
          </w:p>
        </w:tc>
        <w:tc>
          <w:tcPr>
            <w:tcW w:w="960" w:type="dxa"/>
            <w:tcBorders>
              <w:top w:val="single" w:sz="8" w:space="0" w:color="000000"/>
              <w:bottom w:val="single" w:sz="8" w:space="0" w:color="000000"/>
            </w:tcBorders>
            <w:shd w:val="clear" w:color="auto" w:fill="auto"/>
          </w:tcPr>
          <w:p w:rsidR="00675D42" w:rsidRPr="00E7366E" w:rsidRDefault="00675D42">
            <w:pPr>
              <w:ind w:left="0" w:hanging="2"/>
              <w:jc w:val="right"/>
              <w:rPr>
                <w:rFonts w:eastAsia="Arial"/>
                <w:b/>
              </w:rPr>
            </w:pPr>
          </w:p>
        </w:tc>
        <w:tc>
          <w:tcPr>
            <w:tcW w:w="1110" w:type="dxa"/>
            <w:tcBorders>
              <w:top w:val="single" w:sz="8" w:space="0" w:color="000000"/>
              <w:bottom w:val="single" w:sz="8" w:space="0" w:color="000000"/>
            </w:tcBorders>
            <w:shd w:val="clear" w:color="auto" w:fill="auto"/>
          </w:tcPr>
          <w:p w:rsidR="00675D42" w:rsidRPr="00E7366E" w:rsidRDefault="00675D42">
            <w:pPr>
              <w:ind w:left="0" w:hanging="2"/>
              <w:jc w:val="right"/>
              <w:rPr>
                <w:rFonts w:eastAsia="Arial"/>
                <w:b/>
              </w:rPr>
            </w:pPr>
          </w:p>
        </w:tc>
        <w:tc>
          <w:tcPr>
            <w:tcW w:w="1825" w:type="dxa"/>
            <w:gridSpan w:val="7"/>
            <w:tcBorders>
              <w:top w:val="single" w:sz="8" w:space="0" w:color="000000"/>
              <w:bottom w:val="single" w:sz="8" w:space="0" w:color="000000"/>
              <w:right w:val="single" w:sz="8" w:space="0" w:color="000000"/>
            </w:tcBorders>
            <w:shd w:val="clear" w:color="auto" w:fill="auto"/>
          </w:tcPr>
          <w:p w:rsidR="00675D42" w:rsidRPr="00E7366E" w:rsidRDefault="00C6468C">
            <w:pPr>
              <w:ind w:left="0" w:hanging="2"/>
              <w:jc w:val="right"/>
            </w:pPr>
            <w:r w:rsidRPr="00E7366E">
              <w:rPr>
                <w:rFonts w:eastAsia="Arial"/>
                <w:b/>
              </w:rPr>
              <w:t>252046</w:t>
            </w:r>
          </w:p>
        </w:tc>
      </w:tr>
      <w:tr w:rsidR="00675D42">
        <w:trPr>
          <w:trHeight w:val="255"/>
        </w:trPr>
        <w:tc>
          <w:tcPr>
            <w:tcW w:w="3285" w:type="dxa"/>
            <w:shd w:val="clear" w:color="auto" w:fill="auto"/>
          </w:tcPr>
          <w:p w:rsidR="00675D42" w:rsidRPr="00E7366E" w:rsidRDefault="00675D42">
            <w:pPr>
              <w:ind w:left="0" w:hanging="2"/>
              <w:rPr>
                <w:rFonts w:eastAsia="Arial"/>
                <w:b/>
              </w:rPr>
            </w:pPr>
          </w:p>
        </w:tc>
        <w:tc>
          <w:tcPr>
            <w:tcW w:w="990" w:type="dxa"/>
            <w:shd w:val="clear" w:color="auto" w:fill="auto"/>
          </w:tcPr>
          <w:p w:rsidR="00675D42" w:rsidRPr="00E7366E" w:rsidRDefault="00675D42">
            <w:pPr>
              <w:ind w:left="0" w:hanging="2"/>
              <w:rPr>
                <w:rFonts w:eastAsia="Arial"/>
                <w:b/>
              </w:rPr>
            </w:pPr>
          </w:p>
        </w:tc>
        <w:tc>
          <w:tcPr>
            <w:tcW w:w="1320" w:type="dxa"/>
            <w:shd w:val="clear" w:color="auto" w:fill="auto"/>
          </w:tcPr>
          <w:p w:rsidR="00675D42" w:rsidRPr="00E7366E" w:rsidRDefault="00675D42">
            <w:pPr>
              <w:ind w:left="0" w:hanging="2"/>
              <w:rPr>
                <w:rFonts w:eastAsia="Arial"/>
                <w:b/>
              </w:rPr>
            </w:pPr>
          </w:p>
        </w:tc>
        <w:tc>
          <w:tcPr>
            <w:tcW w:w="960" w:type="dxa"/>
            <w:shd w:val="clear" w:color="auto" w:fill="auto"/>
          </w:tcPr>
          <w:p w:rsidR="00675D42" w:rsidRPr="00E7366E" w:rsidRDefault="00675D42">
            <w:pPr>
              <w:ind w:left="0" w:hanging="2"/>
              <w:rPr>
                <w:rFonts w:eastAsia="Arial"/>
                <w:b/>
              </w:rPr>
            </w:pPr>
          </w:p>
        </w:tc>
        <w:tc>
          <w:tcPr>
            <w:tcW w:w="1110" w:type="dxa"/>
            <w:shd w:val="clear" w:color="auto" w:fill="auto"/>
          </w:tcPr>
          <w:p w:rsidR="00675D42" w:rsidRPr="00E7366E" w:rsidRDefault="00675D42">
            <w:pPr>
              <w:ind w:left="0" w:hanging="2"/>
              <w:rPr>
                <w:rFonts w:eastAsia="Arial"/>
                <w:b/>
              </w:rPr>
            </w:pPr>
          </w:p>
        </w:tc>
        <w:tc>
          <w:tcPr>
            <w:tcW w:w="1440" w:type="dxa"/>
            <w:shd w:val="clear" w:color="auto" w:fill="auto"/>
          </w:tcPr>
          <w:p w:rsidR="00675D42" w:rsidRPr="00E7366E" w:rsidRDefault="00675D42">
            <w:pPr>
              <w:ind w:left="0" w:hanging="2"/>
              <w:rPr>
                <w:rFonts w:eastAsia="Arial"/>
                <w:b/>
              </w:rPr>
            </w:pPr>
          </w:p>
        </w:tc>
        <w:tc>
          <w:tcPr>
            <w:tcW w:w="45"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100" w:type="dxa"/>
            <w:shd w:val="clear" w:color="auto" w:fill="auto"/>
          </w:tcPr>
          <w:p w:rsidR="00675D42" w:rsidRPr="00E7366E" w:rsidRDefault="00675D42">
            <w:pPr>
              <w:ind w:left="0" w:hanging="2"/>
            </w:pPr>
          </w:p>
        </w:tc>
      </w:tr>
      <w:tr w:rsidR="00675D42">
        <w:trPr>
          <w:trHeight w:val="270"/>
        </w:trPr>
        <w:tc>
          <w:tcPr>
            <w:tcW w:w="3285" w:type="dxa"/>
            <w:shd w:val="clear" w:color="auto" w:fill="auto"/>
          </w:tcPr>
          <w:p w:rsidR="00675D42" w:rsidRPr="00E7366E" w:rsidRDefault="00F81C08">
            <w:pPr>
              <w:ind w:left="0" w:hanging="2"/>
              <w:rPr>
                <w:rFonts w:eastAsia="Arial"/>
                <w:b/>
              </w:rPr>
            </w:pPr>
            <w:r w:rsidRPr="00E7366E">
              <w:rPr>
                <w:rFonts w:eastAsia="Arial"/>
              </w:rPr>
              <w:t>b.) pohyb oprávok k DM</w:t>
            </w:r>
          </w:p>
        </w:tc>
        <w:tc>
          <w:tcPr>
            <w:tcW w:w="990" w:type="dxa"/>
            <w:shd w:val="clear" w:color="auto" w:fill="auto"/>
          </w:tcPr>
          <w:p w:rsidR="00675D42" w:rsidRPr="00E7366E" w:rsidRDefault="00675D42">
            <w:pPr>
              <w:ind w:left="0" w:hanging="2"/>
              <w:rPr>
                <w:rFonts w:eastAsia="Arial"/>
                <w:b/>
              </w:rPr>
            </w:pPr>
          </w:p>
        </w:tc>
        <w:tc>
          <w:tcPr>
            <w:tcW w:w="1320" w:type="dxa"/>
            <w:shd w:val="clear" w:color="auto" w:fill="auto"/>
          </w:tcPr>
          <w:p w:rsidR="00675D42" w:rsidRPr="00E7366E" w:rsidRDefault="00675D42">
            <w:pPr>
              <w:ind w:left="0" w:hanging="2"/>
              <w:rPr>
                <w:rFonts w:eastAsia="Arial"/>
                <w:b/>
              </w:rPr>
            </w:pPr>
          </w:p>
        </w:tc>
        <w:tc>
          <w:tcPr>
            <w:tcW w:w="960" w:type="dxa"/>
            <w:shd w:val="clear" w:color="auto" w:fill="auto"/>
          </w:tcPr>
          <w:p w:rsidR="00675D42" w:rsidRPr="00E7366E" w:rsidRDefault="00675D42">
            <w:pPr>
              <w:ind w:left="0" w:hanging="2"/>
              <w:rPr>
                <w:rFonts w:eastAsia="Arial"/>
                <w:b/>
              </w:rPr>
            </w:pPr>
          </w:p>
        </w:tc>
        <w:tc>
          <w:tcPr>
            <w:tcW w:w="1110" w:type="dxa"/>
            <w:shd w:val="clear" w:color="auto" w:fill="auto"/>
          </w:tcPr>
          <w:p w:rsidR="00675D42" w:rsidRPr="00E7366E" w:rsidRDefault="00675D42">
            <w:pPr>
              <w:ind w:left="0" w:hanging="2"/>
              <w:rPr>
                <w:rFonts w:eastAsia="Arial"/>
                <w:b/>
              </w:rPr>
            </w:pPr>
          </w:p>
        </w:tc>
        <w:tc>
          <w:tcPr>
            <w:tcW w:w="1440" w:type="dxa"/>
            <w:shd w:val="clear" w:color="auto" w:fill="auto"/>
          </w:tcPr>
          <w:p w:rsidR="00675D42" w:rsidRPr="00E7366E" w:rsidRDefault="00675D42">
            <w:pPr>
              <w:ind w:left="0" w:hanging="2"/>
              <w:rPr>
                <w:rFonts w:eastAsia="Arial"/>
                <w:b/>
              </w:rPr>
            </w:pPr>
          </w:p>
        </w:tc>
        <w:tc>
          <w:tcPr>
            <w:tcW w:w="45"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60" w:type="dxa"/>
            <w:shd w:val="clear" w:color="auto" w:fill="auto"/>
          </w:tcPr>
          <w:p w:rsidR="00675D42" w:rsidRPr="00E7366E" w:rsidRDefault="00675D42">
            <w:pPr>
              <w:ind w:left="0" w:hanging="2"/>
            </w:pPr>
          </w:p>
        </w:tc>
        <w:tc>
          <w:tcPr>
            <w:tcW w:w="100" w:type="dxa"/>
            <w:shd w:val="clear" w:color="auto" w:fill="auto"/>
          </w:tcPr>
          <w:p w:rsidR="00675D42" w:rsidRPr="00E7366E" w:rsidRDefault="00675D42">
            <w:pPr>
              <w:ind w:left="0" w:hanging="2"/>
            </w:pPr>
          </w:p>
        </w:tc>
      </w:tr>
      <w:tr w:rsidR="00675D42">
        <w:trPr>
          <w:trHeight w:val="525"/>
        </w:trPr>
        <w:tc>
          <w:tcPr>
            <w:tcW w:w="3285" w:type="dxa"/>
            <w:tcBorders>
              <w:top w:val="single" w:sz="8" w:space="0" w:color="000000"/>
              <w:left w:val="single" w:sz="8" w:space="0" w:color="000000"/>
            </w:tcBorders>
            <w:shd w:val="clear" w:color="auto" w:fill="auto"/>
          </w:tcPr>
          <w:p w:rsidR="00675D42" w:rsidRPr="00E7366E" w:rsidRDefault="00F81C08">
            <w:pPr>
              <w:ind w:left="0" w:hanging="2"/>
              <w:rPr>
                <w:rFonts w:eastAsia="Arial"/>
              </w:rPr>
            </w:pPr>
            <w:r w:rsidRPr="00E7366E">
              <w:rPr>
                <w:rFonts w:eastAsia="Arial"/>
              </w:rPr>
              <w:t> </w:t>
            </w:r>
          </w:p>
        </w:tc>
        <w:tc>
          <w:tcPr>
            <w:tcW w:w="990" w:type="dxa"/>
            <w:tcBorders>
              <w:top w:val="single" w:sz="8" w:space="0" w:color="000000"/>
            </w:tcBorders>
            <w:shd w:val="clear" w:color="auto" w:fill="auto"/>
          </w:tcPr>
          <w:p w:rsidR="00675D42" w:rsidRPr="00E7366E" w:rsidRDefault="00F81C08">
            <w:pPr>
              <w:ind w:left="0" w:hanging="2"/>
              <w:rPr>
                <w:rFonts w:eastAsia="Arial"/>
              </w:rPr>
            </w:pPr>
            <w:r w:rsidRPr="00E7366E">
              <w:rPr>
                <w:rFonts w:eastAsia="Arial"/>
              </w:rPr>
              <w:t> </w:t>
            </w:r>
          </w:p>
        </w:tc>
        <w:tc>
          <w:tcPr>
            <w:tcW w:w="1320" w:type="dxa"/>
            <w:tcBorders>
              <w:top w:val="single" w:sz="8" w:space="0" w:color="000000"/>
            </w:tcBorders>
            <w:shd w:val="clear" w:color="auto" w:fill="auto"/>
          </w:tcPr>
          <w:p w:rsidR="00675D42" w:rsidRPr="00E7366E" w:rsidRDefault="00B0439C">
            <w:pPr>
              <w:ind w:left="0" w:hanging="2"/>
              <w:rPr>
                <w:rFonts w:eastAsia="Arial"/>
              </w:rPr>
            </w:pPr>
            <w:r w:rsidRPr="00E7366E">
              <w:rPr>
                <w:rFonts w:eastAsia="Arial"/>
              </w:rPr>
              <w:t>oprávky k 1.1.2022</w:t>
            </w:r>
          </w:p>
        </w:tc>
        <w:tc>
          <w:tcPr>
            <w:tcW w:w="960" w:type="dxa"/>
            <w:tcBorders>
              <w:top w:val="single" w:sz="8" w:space="0" w:color="000000"/>
            </w:tcBorders>
            <w:shd w:val="clear" w:color="auto" w:fill="auto"/>
          </w:tcPr>
          <w:p w:rsidR="00675D42" w:rsidRPr="00E7366E" w:rsidRDefault="00F81C08">
            <w:pPr>
              <w:ind w:left="0" w:hanging="2"/>
              <w:rPr>
                <w:rFonts w:eastAsia="Arial"/>
              </w:rPr>
            </w:pPr>
            <w:r w:rsidRPr="00E7366E">
              <w:rPr>
                <w:rFonts w:eastAsia="Arial"/>
              </w:rPr>
              <w:t>prírastky</w:t>
            </w:r>
          </w:p>
        </w:tc>
        <w:tc>
          <w:tcPr>
            <w:tcW w:w="1110" w:type="dxa"/>
            <w:tcBorders>
              <w:top w:val="single" w:sz="8" w:space="0" w:color="000000"/>
            </w:tcBorders>
            <w:shd w:val="clear" w:color="auto" w:fill="auto"/>
          </w:tcPr>
          <w:p w:rsidR="00675D42" w:rsidRPr="00E7366E" w:rsidRDefault="00F81C08">
            <w:pPr>
              <w:ind w:left="0" w:hanging="2"/>
              <w:rPr>
                <w:rFonts w:eastAsia="Arial"/>
              </w:rPr>
            </w:pPr>
            <w:r w:rsidRPr="00E7366E">
              <w:rPr>
                <w:rFonts w:eastAsia="Arial"/>
              </w:rPr>
              <w:t>úbytky</w:t>
            </w:r>
          </w:p>
        </w:tc>
        <w:tc>
          <w:tcPr>
            <w:tcW w:w="1825" w:type="dxa"/>
            <w:gridSpan w:val="7"/>
            <w:tcBorders>
              <w:top w:val="single" w:sz="8" w:space="0" w:color="000000"/>
              <w:right w:val="single" w:sz="8" w:space="0" w:color="000000"/>
            </w:tcBorders>
            <w:shd w:val="clear" w:color="auto" w:fill="auto"/>
          </w:tcPr>
          <w:p w:rsidR="00675D42" w:rsidRPr="00E7366E" w:rsidRDefault="00B0439C">
            <w:pPr>
              <w:ind w:left="0" w:hanging="2"/>
            </w:pPr>
            <w:r w:rsidRPr="00E7366E">
              <w:rPr>
                <w:rFonts w:eastAsia="Arial"/>
              </w:rPr>
              <w:t>oprávky k 31.12.2022</w:t>
            </w:r>
          </w:p>
        </w:tc>
      </w:tr>
      <w:tr w:rsidR="00675D42">
        <w:trPr>
          <w:trHeight w:val="255"/>
        </w:trPr>
        <w:tc>
          <w:tcPr>
            <w:tcW w:w="3285" w:type="dxa"/>
            <w:tcBorders>
              <w:top w:val="single" w:sz="8" w:space="0" w:color="000000"/>
              <w:left w:val="single" w:sz="8" w:space="0" w:color="000000"/>
            </w:tcBorders>
            <w:shd w:val="clear" w:color="auto" w:fill="auto"/>
          </w:tcPr>
          <w:p w:rsidR="00675D42" w:rsidRPr="00E7366E" w:rsidRDefault="00675D42">
            <w:pPr>
              <w:ind w:left="0" w:hanging="2"/>
              <w:rPr>
                <w:rFonts w:eastAsia="Arial"/>
              </w:rPr>
            </w:pPr>
          </w:p>
        </w:tc>
        <w:tc>
          <w:tcPr>
            <w:tcW w:w="990" w:type="dxa"/>
            <w:tcBorders>
              <w:top w:val="single" w:sz="8" w:space="0" w:color="000000"/>
            </w:tcBorders>
            <w:shd w:val="clear" w:color="auto" w:fill="auto"/>
          </w:tcPr>
          <w:p w:rsidR="00675D42" w:rsidRPr="00E7366E" w:rsidRDefault="00675D42">
            <w:pPr>
              <w:ind w:left="0" w:hanging="2"/>
              <w:rPr>
                <w:rFonts w:eastAsia="Arial"/>
              </w:rPr>
            </w:pPr>
          </w:p>
        </w:tc>
        <w:tc>
          <w:tcPr>
            <w:tcW w:w="1320" w:type="dxa"/>
            <w:tcBorders>
              <w:top w:val="single" w:sz="8" w:space="0" w:color="000000"/>
            </w:tcBorders>
            <w:shd w:val="clear" w:color="auto" w:fill="auto"/>
          </w:tcPr>
          <w:p w:rsidR="00675D42" w:rsidRPr="00E7366E" w:rsidRDefault="00675D42">
            <w:pPr>
              <w:ind w:left="0" w:hanging="2"/>
              <w:jc w:val="right"/>
              <w:rPr>
                <w:rFonts w:eastAsia="Arial"/>
              </w:rPr>
            </w:pPr>
          </w:p>
        </w:tc>
        <w:tc>
          <w:tcPr>
            <w:tcW w:w="960" w:type="dxa"/>
            <w:tcBorders>
              <w:top w:val="single" w:sz="8" w:space="0" w:color="000000"/>
            </w:tcBorders>
            <w:shd w:val="clear" w:color="auto" w:fill="auto"/>
          </w:tcPr>
          <w:p w:rsidR="00675D42" w:rsidRPr="00E7366E" w:rsidRDefault="00675D42">
            <w:pPr>
              <w:ind w:left="0" w:hanging="2"/>
              <w:jc w:val="right"/>
              <w:rPr>
                <w:rFonts w:eastAsia="Arial"/>
              </w:rPr>
            </w:pPr>
          </w:p>
        </w:tc>
        <w:tc>
          <w:tcPr>
            <w:tcW w:w="1110" w:type="dxa"/>
            <w:tcBorders>
              <w:top w:val="single" w:sz="8" w:space="0" w:color="000000"/>
            </w:tcBorders>
            <w:shd w:val="clear" w:color="auto" w:fill="auto"/>
          </w:tcPr>
          <w:p w:rsidR="00675D42" w:rsidRPr="00E7366E" w:rsidRDefault="00675D42">
            <w:pPr>
              <w:ind w:left="0" w:hanging="2"/>
              <w:jc w:val="right"/>
              <w:rPr>
                <w:rFonts w:eastAsia="Arial"/>
              </w:rPr>
            </w:pPr>
          </w:p>
        </w:tc>
        <w:tc>
          <w:tcPr>
            <w:tcW w:w="1825" w:type="dxa"/>
            <w:gridSpan w:val="7"/>
            <w:tcBorders>
              <w:top w:val="single" w:sz="8" w:space="0" w:color="000000"/>
              <w:right w:val="single" w:sz="8" w:space="0" w:color="000000"/>
            </w:tcBorders>
            <w:shd w:val="clear" w:color="auto" w:fill="auto"/>
          </w:tcPr>
          <w:p w:rsidR="00675D42" w:rsidRPr="00E7366E" w:rsidRDefault="00675D42">
            <w:pPr>
              <w:ind w:left="0" w:hanging="2"/>
              <w:jc w:val="right"/>
              <w:rPr>
                <w:rFonts w:eastAsia="Arial"/>
              </w:rPr>
            </w:pPr>
          </w:p>
        </w:tc>
      </w:tr>
      <w:tr w:rsidR="00675D42">
        <w:trPr>
          <w:trHeight w:val="255"/>
        </w:trPr>
        <w:tc>
          <w:tcPr>
            <w:tcW w:w="3285" w:type="dxa"/>
            <w:tcBorders>
              <w:left w:val="single" w:sz="8" w:space="0" w:color="000000"/>
            </w:tcBorders>
            <w:shd w:val="clear" w:color="auto" w:fill="auto"/>
          </w:tcPr>
          <w:p w:rsidR="00675D42" w:rsidRPr="00E7366E" w:rsidRDefault="00675D42">
            <w:pPr>
              <w:ind w:left="0" w:hanging="2"/>
              <w:rPr>
                <w:rFonts w:eastAsia="Arial"/>
              </w:rPr>
            </w:pPr>
          </w:p>
        </w:tc>
        <w:tc>
          <w:tcPr>
            <w:tcW w:w="990" w:type="dxa"/>
            <w:shd w:val="clear" w:color="auto" w:fill="auto"/>
          </w:tcPr>
          <w:p w:rsidR="00675D42" w:rsidRPr="00E7366E" w:rsidRDefault="00675D42">
            <w:pPr>
              <w:ind w:left="0" w:hanging="2"/>
              <w:rPr>
                <w:rFonts w:eastAsia="Arial"/>
              </w:rPr>
            </w:pPr>
          </w:p>
        </w:tc>
        <w:tc>
          <w:tcPr>
            <w:tcW w:w="1320" w:type="dxa"/>
            <w:shd w:val="clear" w:color="auto" w:fill="auto"/>
          </w:tcPr>
          <w:p w:rsidR="00675D42" w:rsidRPr="00E7366E" w:rsidRDefault="00675D42">
            <w:pPr>
              <w:ind w:left="0" w:hanging="2"/>
              <w:jc w:val="right"/>
              <w:rPr>
                <w:rFonts w:eastAsia="Arial"/>
              </w:rPr>
            </w:pPr>
          </w:p>
        </w:tc>
        <w:tc>
          <w:tcPr>
            <w:tcW w:w="960" w:type="dxa"/>
            <w:shd w:val="clear" w:color="auto" w:fill="auto"/>
          </w:tcPr>
          <w:p w:rsidR="00675D42" w:rsidRPr="00E7366E" w:rsidRDefault="00675D42">
            <w:pPr>
              <w:ind w:left="0" w:hanging="2"/>
              <w:jc w:val="right"/>
              <w:rPr>
                <w:rFonts w:eastAsia="Arial"/>
              </w:rPr>
            </w:pPr>
          </w:p>
        </w:tc>
        <w:tc>
          <w:tcPr>
            <w:tcW w:w="1110" w:type="dxa"/>
            <w:shd w:val="clear" w:color="auto" w:fill="auto"/>
          </w:tcPr>
          <w:p w:rsidR="00675D42" w:rsidRPr="00E7366E" w:rsidRDefault="00675D42">
            <w:pPr>
              <w:ind w:left="0" w:hanging="2"/>
              <w:jc w:val="right"/>
              <w:rPr>
                <w:rFonts w:eastAsia="Arial"/>
              </w:rPr>
            </w:pPr>
          </w:p>
        </w:tc>
        <w:tc>
          <w:tcPr>
            <w:tcW w:w="1825" w:type="dxa"/>
            <w:gridSpan w:val="7"/>
            <w:tcBorders>
              <w:right w:val="single" w:sz="8" w:space="0" w:color="000000"/>
            </w:tcBorders>
            <w:shd w:val="clear" w:color="auto" w:fill="auto"/>
          </w:tcPr>
          <w:p w:rsidR="00675D42" w:rsidRPr="00E7366E" w:rsidRDefault="00675D42">
            <w:pPr>
              <w:ind w:left="0" w:hanging="2"/>
              <w:jc w:val="right"/>
              <w:rPr>
                <w:rFonts w:eastAsia="Arial"/>
              </w:rPr>
            </w:pPr>
          </w:p>
        </w:tc>
      </w:tr>
      <w:tr w:rsidR="00B0439C">
        <w:trPr>
          <w:trHeight w:val="270"/>
        </w:trPr>
        <w:tc>
          <w:tcPr>
            <w:tcW w:w="3285" w:type="dxa"/>
            <w:tcBorders>
              <w:left w:val="single" w:sz="8" w:space="0" w:color="000000"/>
            </w:tcBorders>
            <w:shd w:val="clear" w:color="auto" w:fill="auto"/>
          </w:tcPr>
          <w:p w:rsidR="00B0439C" w:rsidRPr="00E7366E" w:rsidRDefault="00B0439C" w:rsidP="00B0439C">
            <w:pPr>
              <w:ind w:left="0" w:hanging="2"/>
              <w:rPr>
                <w:rFonts w:eastAsia="Arial"/>
              </w:rPr>
            </w:pPr>
            <w:r w:rsidRPr="00E7366E">
              <w:rPr>
                <w:rFonts w:eastAsia="Arial"/>
              </w:rPr>
              <w:t>oprávky k </w:t>
            </w:r>
            <w:proofErr w:type="spellStart"/>
            <w:r w:rsidRPr="00E7366E">
              <w:rPr>
                <w:rFonts w:eastAsia="Arial"/>
              </w:rPr>
              <w:t>samostat</w:t>
            </w:r>
            <w:proofErr w:type="spellEnd"/>
            <w:r w:rsidRPr="00E7366E">
              <w:rPr>
                <w:rFonts w:eastAsia="Arial"/>
              </w:rPr>
              <w:t xml:space="preserve">. </w:t>
            </w:r>
            <w:proofErr w:type="spellStart"/>
            <w:r w:rsidRPr="00E7366E">
              <w:rPr>
                <w:rFonts w:eastAsia="Arial"/>
              </w:rPr>
              <w:t>hnut</w:t>
            </w:r>
            <w:proofErr w:type="spellEnd"/>
            <w:r w:rsidRPr="00E7366E">
              <w:rPr>
                <w:rFonts w:eastAsia="Arial"/>
              </w:rPr>
              <w:t>. veciam</w:t>
            </w:r>
          </w:p>
        </w:tc>
        <w:tc>
          <w:tcPr>
            <w:tcW w:w="990" w:type="dxa"/>
            <w:shd w:val="clear" w:color="auto" w:fill="auto"/>
          </w:tcPr>
          <w:p w:rsidR="00B0439C" w:rsidRPr="00E7366E" w:rsidRDefault="00B0439C" w:rsidP="00B0439C">
            <w:pPr>
              <w:ind w:left="0" w:hanging="2"/>
              <w:rPr>
                <w:rFonts w:eastAsia="Arial"/>
              </w:rPr>
            </w:pPr>
            <w:r w:rsidRPr="00E7366E">
              <w:rPr>
                <w:rFonts w:eastAsia="Arial"/>
              </w:rPr>
              <w:t>082</w:t>
            </w:r>
          </w:p>
        </w:tc>
        <w:tc>
          <w:tcPr>
            <w:tcW w:w="1320" w:type="dxa"/>
            <w:shd w:val="clear" w:color="auto" w:fill="auto"/>
          </w:tcPr>
          <w:p w:rsidR="00B0439C" w:rsidRPr="00E7366E" w:rsidRDefault="00B0439C" w:rsidP="00B0439C">
            <w:pPr>
              <w:ind w:left="0" w:hanging="2"/>
              <w:jc w:val="right"/>
            </w:pPr>
            <w:r w:rsidRPr="00E7366E">
              <w:rPr>
                <w:rFonts w:eastAsia="Arial"/>
              </w:rPr>
              <w:t>178787</w:t>
            </w:r>
          </w:p>
        </w:tc>
        <w:tc>
          <w:tcPr>
            <w:tcW w:w="960" w:type="dxa"/>
            <w:shd w:val="clear" w:color="auto" w:fill="auto"/>
          </w:tcPr>
          <w:p w:rsidR="00B0439C" w:rsidRPr="00E7366E" w:rsidRDefault="00B0439C" w:rsidP="00B0439C">
            <w:pPr>
              <w:ind w:left="0" w:hanging="2"/>
              <w:jc w:val="right"/>
              <w:rPr>
                <w:rFonts w:eastAsia="Arial"/>
              </w:rPr>
            </w:pPr>
            <w:r w:rsidRPr="00E7366E">
              <w:rPr>
                <w:rFonts w:eastAsia="Arial"/>
              </w:rPr>
              <w:t>46724</w:t>
            </w:r>
          </w:p>
        </w:tc>
        <w:tc>
          <w:tcPr>
            <w:tcW w:w="1110" w:type="dxa"/>
            <w:shd w:val="clear" w:color="auto" w:fill="auto"/>
          </w:tcPr>
          <w:p w:rsidR="00B0439C" w:rsidRPr="00E7366E" w:rsidRDefault="00B0439C" w:rsidP="00B0439C">
            <w:pPr>
              <w:ind w:left="0" w:hanging="2"/>
              <w:jc w:val="right"/>
              <w:rPr>
                <w:rFonts w:eastAsia="Arial"/>
              </w:rPr>
            </w:pPr>
            <w:r w:rsidRPr="00E7366E">
              <w:rPr>
                <w:rFonts w:eastAsia="Arial"/>
              </w:rPr>
              <w:t>0</w:t>
            </w:r>
          </w:p>
        </w:tc>
        <w:tc>
          <w:tcPr>
            <w:tcW w:w="1825" w:type="dxa"/>
            <w:gridSpan w:val="7"/>
            <w:tcBorders>
              <w:right w:val="single" w:sz="8" w:space="0" w:color="000000"/>
            </w:tcBorders>
            <w:shd w:val="clear" w:color="auto" w:fill="auto"/>
          </w:tcPr>
          <w:p w:rsidR="00B0439C" w:rsidRPr="00E7366E" w:rsidRDefault="00B0439C" w:rsidP="00B0439C">
            <w:pPr>
              <w:ind w:left="0" w:hanging="2"/>
              <w:jc w:val="right"/>
            </w:pPr>
            <w:r w:rsidRPr="00E7366E">
              <w:rPr>
                <w:rFonts w:eastAsia="Arial"/>
              </w:rPr>
              <w:t>225510</w:t>
            </w:r>
          </w:p>
        </w:tc>
      </w:tr>
      <w:tr w:rsidR="00B0439C">
        <w:trPr>
          <w:trHeight w:val="270"/>
        </w:trPr>
        <w:tc>
          <w:tcPr>
            <w:tcW w:w="3285" w:type="dxa"/>
            <w:tcBorders>
              <w:top w:val="single" w:sz="8" w:space="0" w:color="000000"/>
              <w:left w:val="single" w:sz="8" w:space="0" w:color="000000"/>
              <w:bottom w:val="single" w:sz="8" w:space="0" w:color="000000"/>
            </w:tcBorders>
            <w:shd w:val="clear" w:color="auto" w:fill="auto"/>
          </w:tcPr>
          <w:p w:rsidR="00B0439C" w:rsidRPr="00E7366E" w:rsidRDefault="00B0439C" w:rsidP="00B0439C">
            <w:pPr>
              <w:ind w:left="0" w:hanging="2"/>
              <w:rPr>
                <w:rFonts w:eastAsia="Arial"/>
                <w:b/>
              </w:rPr>
            </w:pPr>
            <w:r w:rsidRPr="00E7366E">
              <w:rPr>
                <w:rFonts w:eastAsia="Arial"/>
                <w:b/>
              </w:rPr>
              <w:t>Spolu</w:t>
            </w:r>
          </w:p>
        </w:tc>
        <w:tc>
          <w:tcPr>
            <w:tcW w:w="990" w:type="dxa"/>
            <w:tcBorders>
              <w:top w:val="single" w:sz="8" w:space="0" w:color="000000"/>
              <w:bottom w:val="single" w:sz="8" w:space="0" w:color="000000"/>
            </w:tcBorders>
            <w:shd w:val="clear" w:color="auto" w:fill="auto"/>
          </w:tcPr>
          <w:p w:rsidR="00B0439C" w:rsidRPr="00E7366E" w:rsidRDefault="00B0439C" w:rsidP="00B0439C">
            <w:pPr>
              <w:ind w:left="0" w:hanging="2"/>
              <w:rPr>
                <w:rFonts w:eastAsia="Arial"/>
                <w:b/>
              </w:rPr>
            </w:pPr>
            <w:r w:rsidRPr="00E7366E">
              <w:rPr>
                <w:rFonts w:eastAsia="Arial"/>
                <w:b/>
              </w:rPr>
              <w:t> </w:t>
            </w:r>
          </w:p>
        </w:tc>
        <w:tc>
          <w:tcPr>
            <w:tcW w:w="1320" w:type="dxa"/>
            <w:tcBorders>
              <w:top w:val="single" w:sz="8" w:space="0" w:color="000000"/>
              <w:bottom w:val="single" w:sz="8" w:space="0" w:color="000000"/>
            </w:tcBorders>
            <w:shd w:val="clear" w:color="auto" w:fill="auto"/>
          </w:tcPr>
          <w:p w:rsidR="00B0439C" w:rsidRPr="00E7366E" w:rsidRDefault="00B0439C" w:rsidP="00B0439C">
            <w:pPr>
              <w:ind w:left="0" w:hanging="2"/>
              <w:jc w:val="right"/>
            </w:pPr>
            <w:r w:rsidRPr="00E7366E">
              <w:rPr>
                <w:rFonts w:eastAsia="Arial"/>
              </w:rPr>
              <w:t>178787</w:t>
            </w:r>
          </w:p>
        </w:tc>
        <w:tc>
          <w:tcPr>
            <w:tcW w:w="960" w:type="dxa"/>
            <w:tcBorders>
              <w:top w:val="single" w:sz="8" w:space="0" w:color="000000"/>
              <w:bottom w:val="single" w:sz="8" w:space="0" w:color="000000"/>
            </w:tcBorders>
            <w:shd w:val="clear" w:color="auto" w:fill="auto"/>
          </w:tcPr>
          <w:p w:rsidR="00B0439C" w:rsidRPr="00E7366E" w:rsidRDefault="00B0439C" w:rsidP="00B0439C">
            <w:pPr>
              <w:ind w:left="0" w:hanging="2"/>
              <w:jc w:val="right"/>
              <w:rPr>
                <w:rFonts w:eastAsia="Arial"/>
                <w:b/>
              </w:rPr>
            </w:pPr>
            <w:r w:rsidRPr="00E7366E">
              <w:rPr>
                <w:rFonts w:eastAsia="Arial"/>
                <w:b/>
              </w:rPr>
              <w:t>46724</w:t>
            </w:r>
          </w:p>
        </w:tc>
        <w:tc>
          <w:tcPr>
            <w:tcW w:w="1110" w:type="dxa"/>
            <w:tcBorders>
              <w:top w:val="single" w:sz="8" w:space="0" w:color="000000"/>
              <w:bottom w:val="single" w:sz="8" w:space="0" w:color="000000"/>
            </w:tcBorders>
            <w:shd w:val="clear" w:color="auto" w:fill="auto"/>
          </w:tcPr>
          <w:p w:rsidR="00B0439C" w:rsidRPr="00E7366E" w:rsidRDefault="00B0439C" w:rsidP="00B0439C">
            <w:pPr>
              <w:ind w:left="0" w:hanging="2"/>
              <w:jc w:val="right"/>
              <w:rPr>
                <w:rFonts w:eastAsia="Arial"/>
                <w:b/>
              </w:rPr>
            </w:pPr>
          </w:p>
        </w:tc>
        <w:tc>
          <w:tcPr>
            <w:tcW w:w="1825" w:type="dxa"/>
            <w:gridSpan w:val="7"/>
            <w:tcBorders>
              <w:top w:val="single" w:sz="8" w:space="0" w:color="000000"/>
              <w:bottom w:val="single" w:sz="8" w:space="0" w:color="000000"/>
              <w:right w:val="single" w:sz="8" w:space="0" w:color="000000"/>
            </w:tcBorders>
            <w:shd w:val="clear" w:color="auto" w:fill="auto"/>
          </w:tcPr>
          <w:p w:rsidR="00B0439C" w:rsidRPr="00E7366E" w:rsidRDefault="00B0439C" w:rsidP="00B0439C">
            <w:pPr>
              <w:ind w:left="0" w:hanging="2"/>
              <w:jc w:val="right"/>
            </w:pPr>
            <w:r w:rsidRPr="00E7366E">
              <w:rPr>
                <w:rFonts w:eastAsia="Arial"/>
                <w:b/>
              </w:rPr>
              <w:t>225510</w:t>
            </w:r>
          </w:p>
        </w:tc>
      </w:tr>
    </w:tbl>
    <w:p w:rsidR="00675D42" w:rsidRDefault="00675D42">
      <w:pPr>
        <w:pBdr>
          <w:top w:val="nil"/>
          <w:left w:val="nil"/>
          <w:bottom w:val="nil"/>
          <w:right w:val="nil"/>
          <w:between w:val="nil"/>
        </w:pBdr>
        <w:spacing w:line="240" w:lineRule="auto"/>
        <w:ind w:left="0" w:hanging="2"/>
        <w:jc w:val="both"/>
        <w:rPr>
          <w:color w:val="000000"/>
          <w:highlight w:val="yellow"/>
        </w:rPr>
      </w:pP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keepNext/>
        <w:pBdr>
          <w:top w:val="nil"/>
          <w:left w:val="nil"/>
          <w:bottom w:val="nil"/>
          <w:right w:val="nil"/>
          <w:between w:val="nil"/>
        </w:pBdr>
        <w:spacing w:line="240" w:lineRule="auto"/>
        <w:ind w:left="0" w:hanging="2"/>
        <w:rPr>
          <w:b/>
          <w:color w:val="000000"/>
          <w:sz w:val="18"/>
          <w:szCs w:val="18"/>
          <w:highlight w:val="white"/>
        </w:rPr>
      </w:pPr>
      <w:r>
        <w:rPr>
          <w:b/>
          <w:color w:val="000000"/>
          <w:highlight w:val="white"/>
        </w:rPr>
        <w:t xml:space="preserve">  1.Dlhodobý finančný majetok</w:t>
      </w:r>
    </w:p>
    <w:p w:rsidR="00675D42" w:rsidRDefault="00B0439C">
      <w:pPr>
        <w:ind w:left="0" w:hanging="2"/>
        <w:rPr>
          <w:highlight w:val="white"/>
        </w:rPr>
      </w:pPr>
      <w:r>
        <w:rPr>
          <w:highlight w:val="white"/>
        </w:rPr>
        <w:t>Spoločnosť v roku 2022</w:t>
      </w:r>
      <w:r w:rsidR="00F81C08">
        <w:rPr>
          <w:highlight w:val="white"/>
        </w:rPr>
        <w:t xml:space="preserve"> neúčtovala o dlhodobom finančnom majetku.</w:t>
      </w:r>
    </w:p>
    <w:p w:rsidR="00675D42" w:rsidRDefault="00675D42">
      <w:pPr>
        <w:ind w:left="0" w:hanging="2"/>
        <w:rPr>
          <w:highlight w:val="white"/>
        </w:rPr>
      </w:pPr>
    </w:p>
    <w:p w:rsidR="00675D42" w:rsidRDefault="00F81C08">
      <w:pPr>
        <w:keepNext/>
        <w:pBdr>
          <w:top w:val="nil"/>
          <w:left w:val="nil"/>
          <w:bottom w:val="nil"/>
          <w:right w:val="nil"/>
          <w:between w:val="nil"/>
        </w:pBdr>
        <w:spacing w:line="240" w:lineRule="auto"/>
        <w:ind w:left="0" w:hanging="2"/>
        <w:rPr>
          <w:b/>
          <w:color w:val="000000"/>
        </w:rPr>
      </w:pPr>
      <w:r>
        <w:rPr>
          <w:b/>
          <w:color w:val="000000"/>
          <w:highlight w:val="white"/>
        </w:rPr>
        <w:t xml:space="preserve"> 2.Zásoby</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má poistené zásoby.</w:t>
      </w:r>
    </w:p>
    <w:p w:rsidR="00675D42" w:rsidRDefault="00F81C08">
      <w:pPr>
        <w:pBdr>
          <w:top w:val="nil"/>
          <w:left w:val="nil"/>
          <w:bottom w:val="nil"/>
          <w:right w:val="nil"/>
          <w:between w:val="nil"/>
        </w:pBdr>
        <w:spacing w:line="240" w:lineRule="auto"/>
        <w:ind w:left="0" w:hanging="2"/>
        <w:jc w:val="both"/>
        <w:rPr>
          <w:color w:val="000000"/>
        </w:rPr>
      </w:pPr>
      <w:r>
        <w:rPr>
          <w:color w:val="000000"/>
        </w:rPr>
        <w:t>Oprav</w:t>
      </w:r>
      <w:r w:rsidR="00B0439C">
        <w:rPr>
          <w:color w:val="000000"/>
        </w:rPr>
        <w:t>né položky k zásobám v roku 2022</w:t>
      </w:r>
      <w:r>
        <w:rPr>
          <w:color w:val="000000"/>
        </w:rPr>
        <w:t xml:space="preserve"> neboli tvorené. </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b/>
          <w:color w:val="000000"/>
        </w:rPr>
        <w:t>3.Údaje o zákazkovej výrobe</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neúčtuje o zákazkovej výrobe.</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Pohľadávky</w:t>
      </w:r>
    </w:p>
    <w:p w:rsidR="00675D42" w:rsidRDefault="00F81C08">
      <w:pPr>
        <w:pBdr>
          <w:top w:val="nil"/>
          <w:left w:val="nil"/>
          <w:bottom w:val="nil"/>
          <w:right w:val="nil"/>
          <w:between w:val="nil"/>
        </w:pBdr>
        <w:spacing w:line="240" w:lineRule="auto"/>
        <w:ind w:left="0" w:hanging="2"/>
        <w:jc w:val="both"/>
        <w:rPr>
          <w:color w:val="000000"/>
        </w:rPr>
      </w:pPr>
      <w:r>
        <w:rPr>
          <w:color w:val="000000"/>
        </w:rPr>
        <w:t>Spoločnosť tvorila opravné p</w:t>
      </w:r>
      <w:r w:rsidR="00B0439C">
        <w:rPr>
          <w:color w:val="000000"/>
        </w:rPr>
        <w:t>oložky k pohľadávkam v roku 2022</w:t>
      </w:r>
      <w:r>
        <w:rPr>
          <w:color w:val="000000"/>
        </w:rPr>
        <w:t xml:space="preserve"> vo výške </w:t>
      </w:r>
      <w:r w:rsidR="00B0439C">
        <w:rPr>
          <w:color w:val="000000"/>
        </w:rPr>
        <w:t>107.389</w:t>
      </w:r>
      <w:r>
        <w:rPr>
          <w:color w:val="000000"/>
        </w:rPr>
        <w:t>€.</w:t>
      </w:r>
    </w:p>
    <w:p w:rsidR="00675D42" w:rsidRDefault="00675D42">
      <w:pPr>
        <w:pBdr>
          <w:top w:val="nil"/>
          <w:left w:val="nil"/>
          <w:bottom w:val="nil"/>
          <w:right w:val="nil"/>
          <w:between w:val="nil"/>
        </w:pBdr>
        <w:spacing w:line="240" w:lineRule="auto"/>
        <w:ind w:left="0" w:hanging="2"/>
        <w:jc w:val="both"/>
        <w:rPr>
          <w:color w:val="000000"/>
        </w:rPr>
      </w:pPr>
    </w:p>
    <w:p w:rsidR="00675D42" w:rsidRPr="00E7366E" w:rsidRDefault="00675D42">
      <w:pPr>
        <w:pBdr>
          <w:top w:val="nil"/>
          <w:left w:val="nil"/>
          <w:bottom w:val="nil"/>
          <w:right w:val="nil"/>
          <w:between w:val="nil"/>
        </w:pBdr>
        <w:spacing w:line="240" w:lineRule="auto"/>
        <w:ind w:left="0" w:hanging="2"/>
        <w:jc w:val="both"/>
        <w:rPr>
          <w:color w:val="000000"/>
        </w:rPr>
      </w:pPr>
    </w:p>
    <w:p w:rsidR="00675D42" w:rsidRPr="00E7366E" w:rsidRDefault="00F81C08">
      <w:pPr>
        <w:pBdr>
          <w:top w:val="nil"/>
          <w:left w:val="nil"/>
          <w:bottom w:val="nil"/>
          <w:right w:val="nil"/>
          <w:between w:val="nil"/>
        </w:pBdr>
        <w:spacing w:line="240" w:lineRule="auto"/>
        <w:ind w:left="0" w:hanging="2"/>
        <w:jc w:val="both"/>
        <w:rPr>
          <w:color w:val="FFFFFF"/>
          <w:highlight w:val="white"/>
        </w:rPr>
      </w:pPr>
      <w:r w:rsidRPr="00E7366E">
        <w:rPr>
          <w:color w:val="000000"/>
        </w:rPr>
        <w:t xml:space="preserve">         V</w:t>
      </w:r>
      <w:r w:rsidRPr="00E7366E">
        <w:rPr>
          <w:color w:val="000000"/>
          <w:highlight w:val="white"/>
        </w:rPr>
        <w:t>eková štruktúra pohľadávok je uvedená v nasledujúcej tabuľke:</w:t>
      </w:r>
    </w:p>
    <w:p w:rsidR="00675D42" w:rsidRPr="00E7366E" w:rsidRDefault="00675D42">
      <w:pPr>
        <w:pBdr>
          <w:top w:val="nil"/>
          <w:left w:val="nil"/>
          <w:bottom w:val="nil"/>
          <w:right w:val="nil"/>
          <w:between w:val="nil"/>
        </w:pBdr>
        <w:spacing w:line="240" w:lineRule="auto"/>
        <w:ind w:left="0" w:hanging="2"/>
        <w:jc w:val="both"/>
        <w:rPr>
          <w:color w:val="FFFFFF"/>
          <w:highlight w:val="white"/>
        </w:rPr>
      </w:pPr>
      <w:bookmarkStart w:id="0" w:name="_heading=h.gjdgxs" w:colFirst="0" w:colLast="0"/>
      <w:bookmarkEnd w:id="0"/>
    </w:p>
    <w:bookmarkStart w:id="1" w:name="_MON_1709639763"/>
    <w:bookmarkEnd w:id="1"/>
    <w:p w:rsidR="00675D42" w:rsidRPr="00E7366E" w:rsidRDefault="0012221E">
      <w:pPr>
        <w:pBdr>
          <w:top w:val="nil"/>
          <w:left w:val="nil"/>
          <w:bottom w:val="nil"/>
          <w:right w:val="nil"/>
          <w:between w:val="nil"/>
        </w:pBdr>
        <w:spacing w:line="240" w:lineRule="auto"/>
        <w:ind w:left="0" w:hanging="2"/>
        <w:jc w:val="both"/>
        <w:rPr>
          <w:color w:val="000000"/>
        </w:rPr>
      </w:pPr>
      <w:r w:rsidRPr="00E7366E">
        <w:rPr>
          <w:color w:val="000000"/>
        </w:rPr>
        <w:object w:dxaOrig="8753" w:dyaOrig="2586">
          <v:shape id="_x0000_i1025" type="#_x0000_t75" style="width:345.6pt;height:123.6pt" o:ole="">
            <v:imagedata r:id="rId8" o:title=""/>
          </v:shape>
          <o:OLEObject Type="Embed" ProgID="Excel.Sheet.8" ShapeID="_x0000_i1025" DrawAspect="Content" ObjectID="_1741507138" r:id="rId9"/>
        </w:object>
      </w:r>
    </w:p>
    <w:p w:rsidR="00675D42" w:rsidRDefault="00F81C08">
      <w:pPr>
        <w:pBdr>
          <w:top w:val="nil"/>
          <w:left w:val="nil"/>
          <w:bottom w:val="nil"/>
          <w:right w:val="nil"/>
          <w:between w:val="nil"/>
        </w:pBdr>
        <w:spacing w:line="240" w:lineRule="auto"/>
        <w:ind w:left="0" w:hanging="2"/>
        <w:jc w:val="both"/>
        <w:rPr>
          <w:color w:val="000000"/>
        </w:rPr>
      </w:pPr>
      <w:r>
        <w:rPr>
          <w:color w:val="000000"/>
        </w:rPr>
        <w:t>Pohľadávky sú kryté záložným právom.</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Finančné účty</w:t>
      </w:r>
    </w:p>
    <w:p w:rsidR="00675D42" w:rsidRDefault="00F81C08">
      <w:pPr>
        <w:pBdr>
          <w:top w:val="nil"/>
          <w:left w:val="nil"/>
          <w:bottom w:val="nil"/>
          <w:right w:val="nil"/>
          <w:between w:val="nil"/>
        </w:pBdr>
        <w:spacing w:line="240" w:lineRule="auto"/>
        <w:ind w:left="0" w:hanging="2"/>
        <w:jc w:val="both"/>
        <w:rPr>
          <w:color w:val="000000"/>
          <w:sz w:val="18"/>
          <w:szCs w:val="18"/>
        </w:rPr>
      </w:pPr>
      <w:bookmarkStart w:id="2" w:name="_heading=h.30j0zll" w:colFirst="0" w:colLast="0"/>
      <w:bookmarkEnd w:id="2"/>
      <w:r>
        <w:rPr>
          <w:color w:val="000000"/>
        </w:rPr>
        <w:t>Ako finančné účty sú vykázané peniaze v pokladnici a účty v bankách .</w:t>
      </w:r>
    </w:p>
    <w:bookmarkStart w:id="3" w:name="_MON_1740829077"/>
    <w:bookmarkEnd w:id="3"/>
    <w:p w:rsidR="00675D42" w:rsidRDefault="000F2762">
      <w:pPr>
        <w:pBdr>
          <w:top w:val="nil"/>
          <w:left w:val="nil"/>
          <w:bottom w:val="nil"/>
          <w:right w:val="nil"/>
          <w:between w:val="nil"/>
        </w:pBdr>
        <w:spacing w:line="240" w:lineRule="auto"/>
        <w:ind w:left="0" w:hanging="2"/>
        <w:jc w:val="both"/>
        <w:rPr>
          <w:color w:val="000000"/>
        </w:rPr>
      </w:pPr>
      <w:r w:rsidRPr="00E7366E">
        <w:rPr>
          <w:color w:val="000000"/>
        </w:rPr>
        <w:object w:dxaOrig="9795" w:dyaOrig="2239">
          <v:shape id="_x0000_i1026" type="#_x0000_t75" style="width:503.4pt;height:114.6pt" o:ole="">
            <v:imagedata r:id="rId10" o:title=""/>
          </v:shape>
          <o:OLEObject Type="Embed" ProgID="Excel.Sheet.8" ShapeID="_x0000_i1026" DrawAspect="Content" ObjectID="_1741507139" r:id="rId11"/>
        </w:objec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Krátkodobý finančný majetok</w:t>
      </w:r>
    </w:p>
    <w:p w:rsidR="00675D42" w:rsidRDefault="00F81C08">
      <w:pPr>
        <w:pBdr>
          <w:top w:val="nil"/>
          <w:left w:val="nil"/>
          <w:bottom w:val="nil"/>
          <w:right w:val="nil"/>
          <w:between w:val="nil"/>
        </w:pBdr>
        <w:spacing w:line="240" w:lineRule="auto"/>
        <w:ind w:left="0" w:hanging="2"/>
        <w:jc w:val="both"/>
        <w:rPr>
          <w:color w:val="000000"/>
          <w:sz w:val="18"/>
          <w:szCs w:val="18"/>
        </w:rPr>
      </w:pPr>
      <w:bookmarkStart w:id="4" w:name="_heading=h.1fob9te" w:colFirst="0" w:colLast="0"/>
      <w:bookmarkEnd w:id="4"/>
      <w:r>
        <w:rPr>
          <w:color w:val="000000"/>
        </w:rPr>
        <w:t>Spoločnosť vlastní krátkodobý finančný majetok vo forme z</w:t>
      </w:r>
      <w:r w:rsidR="006A379E">
        <w:rPr>
          <w:color w:val="000000"/>
        </w:rPr>
        <w:t xml:space="preserve">ásob a pohľadávok do 365dní </w:t>
      </w:r>
      <w:proofErr w:type="spellStart"/>
      <w:r w:rsidR="006A379E">
        <w:rPr>
          <w:color w:val="000000"/>
        </w:rPr>
        <w:t>obrá</w:t>
      </w:r>
      <w:r>
        <w:rPr>
          <w:color w:val="000000"/>
        </w:rPr>
        <w:t>tkovosti</w:t>
      </w:r>
      <w:proofErr w:type="spellEnd"/>
      <w:r>
        <w:rPr>
          <w:color w:val="000000"/>
        </w:rPr>
        <w:t>.</w:t>
      </w: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keepNext/>
        <w:numPr>
          <w:ilvl w:val="1"/>
          <w:numId w:val="3"/>
        </w:numPr>
        <w:pBdr>
          <w:top w:val="nil"/>
          <w:left w:val="nil"/>
          <w:bottom w:val="nil"/>
          <w:right w:val="nil"/>
          <w:between w:val="nil"/>
        </w:pBdr>
        <w:spacing w:line="240" w:lineRule="auto"/>
        <w:ind w:left="0" w:hanging="2"/>
        <w:rPr>
          <w:b/>
          <w:color w:val="000000"/>
        </w:rPr>
      </w:pPr>
      <w:r>
        <w:rPr>
          <w:b/>
          <w:color w:val="000000"/>
        </w:rPr>
        <w:t>Časové rozlíšenie - aktívne</w:t>
      </w:r>
    </w:p>
    <w:p w:rsidR="00675D42" w:rsidRDefault="00F81C08">
      <w:pPr>
        <w:pBdr>
          <w:top w:val="nil"/>
          <w:left w:val="nil"/>
          <w:bottom w:val="nil"/>
          <w:right w:val="nil"/>
          <w:between w:val="nil"/>
        </w:pBdr>
        <w:spacing w:line="240" w:lineRule="auto"/>
        <w:ind w:left="0" w:hanging="2"/>
        <w:jc w:val="both"/>
        <w:rPr>
          <w:color w:val="000000"/>
        </w:rPr>
      </w:pPr>
      <w:r>
        <w:rPr>
          <w:color w:val="000000"/>
        </w:rPr>
        <w:t>Ide o tieto položky: poistenie majetku, poistenie podnikateľa, stojov a zariadení..</w:t>
      </w:r>
    </w:p>
    <w:p w:rsidR="00675D42" w:rsidRDefault="00675D42">
      <w:pPr>
        <w:pBdr>
          <w:top w:val="nil"/>
          <w:left w:val="nil"/>
          <w:bottom w:val="nil"/>
          <w:right w:val="nil"/>
          <w:between w:val="nil"/>
        </w:pBdr>
        <w:spacing w:line="240" w:lineRule="auto"/>
        <w:ind w:left="0" w:hanging="2"/>
        <w:jc w:val="both"/>
        <w:rPr>
          <w:color w:val="000000"/>
        </w:rPr>
      </w:pPr>
      <w:bookmarkStart w:id="5" w:name="_heading=h.3znysh7" w:colFirst="0" w:colLast="0"/>
      <w:bookmarkEnd w:id="5"/>
    </w:p>
    <w:bookmarkStart w:id="6" w:name="_MON_1740829274"/>
    <w:bookmarkEnd w:id="6"/>
    <w:p w:rsidR="00675D42" w:rsidRDefault="000F2762">
      <w:pPr>
        <w:pBdr>
          <w:top w:val="nil"/>
          <w:left w:val="nil"/>
          <w:bottom w:val="nil"/>
          <w:right w:val="nil"/>
          <w:between w:val="nil"/>
        </w:pBdr>
        <w:spacing w:line="240" w:lineRule="auto"/>
        <w:ind w:left="0" w:hanging="2"/>
        <w:jc w:val="both"/>
        <w:rPr>
          <w:color w:val="000000"/>
        </w:rPr>
      </w:pPr>
      <w:r w:rsidRPr="00E7366E">
        <w:rPr>
          <w:color w:val="000000"/>
        </w:rPr>
        <w:object w:dxaOrig="9771" w:dyaOrig="1700">
          <v:shape id="_x0000_i1027" type="#_x0000_t75" style="width:483.6pt;height:72.6pt" o:ole="">
            <v:imagedata r:id="rId12" o:title=""/>
          </v:shape>
          <o:OLEObject Type="Embed" ProgID="Excel.Sheet.8" ShapeID="_x0000_i1027" DrawAspect="Content" ObjectID="_1741507140" r:id="rId13"/>
        </w:objec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ÚDAJOCH NA STRANE PASÍV SÚVAHY</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4"/>
        </w:numPr>
        <w:pBdr>
          <w:top w:val="nil"/>
          <w:left w:val="nil"/>
          <w:bottom w:val="nil"/>
          <w:right w:val="nil"/>
          <w:between w:val="nil"/>
        </w:pBdr>
        <w:spacing w:line="240" w:lineRule="auto"/>
        <w:ind w:left="0" w:hanging="2"/>
        <w:rPr>
          <w:b/>
          <w:color w:val="000000"/>
        </w:rPr>
      </w:pPr>
      <w:r>
        <w:rPr>
          <w:b/>
          <w:color w:val="000000"/>
        </w:rPr>
        <w:t>Vlastné imanie</w:t>
      </w:r>
    </w:p>
    <w:p w:rsidR="00675D42" w:rsidRDefault="00F81C08">
      <w:pPr>
        <w:pBdr>
          <w:top w:val="nil"/>
          <w:left w:val="nil"/>
          <w:bottom w:val="nil"/>
          <w:right w:val="nil"/>
          <w:between w:val="nil"/>
        </w:pBdr>
        <w:spacing w:line="240" w:lineRule="auto"/>
        <w:ind w:left="0" w:hanging="2"/>
        <w:jc w:val="both"/>
        <w:rPr>
          <w:color w:val="000000"/>
        </w:rPr>
      </w:pPr>
      <w:r>
        <w:rPr>
          <w:color w:val="000000"/>
        </w:rPr>
        <w:t>Informácie o vlastnom imaní sú uvedené v časti C a P.</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4"/>
        </w:numPr>
        <w:pBdr>
          <w:top w:val="nil"/>
          <w:left w:val="nil"/>
          <w:bottom w:val="nil"/>
          <w:right w:val="nil"/>
          <w:between w:val="nil"/>
        </w:pBdr>
        <w:spacing w:line="240" w:lineRule="auto"/>
        <w:ind w:left="0" w:hanging="2"/>
        <w:rPr>
          <w:b/>
          <w:color w:val="000000"/>
        </w:rPr>
      </w:pPr>
      <w:r>
        <w:rPr>
          <w:b/>
          <w:color w:val="000000"/>
        </w:rPr>
        <w:t>Rezervy</w:t>
      </w:r>
    </w:p>
    <w:p w:rsidR="00675D42" w:rsidRDefault="00F81C08">
      <w:pPr>
        <w:pBdr>
          <w:top w:val="nil"/>
          <w:left w:val="nil"/>
          <w:bottom w:val="nil"/>
          <w:right w:val="nil"/>
          <w:between w:val="nil"/>
        </w:pBdr>
        <w:spacing w:line="240" w:lineRule="auto"/>
        <w:ind w:left="0" w:hanging="2"/>
        <w:jc w:val="both"/>
        <w:rPr>
          <w:color w:val="000000"/>
          <w:sz w:val="18"/>
          <w:szCs w:val="18"/>
        </w:rPr>
      </w:pPr>
      <w:bookmarkStart w:id="7" w:name="_heading=h.2et92p0" w:colFirst="0" w:colLast="0"/>
      <w:bookmarkEnd w:id="7"/>
      <w:r>
        <w:rPr>
          <w:color w:val="000000"/>
        </w:rPr>
        <w:t>Prehľad o rezervách je uvedený v nasledujúcej tabuľke:</w:t>
      </w:r>
    </w:p>
    <w:bookmarkStart w:id="8" w:name="_MON_1740829377"/>
    <w:bookmarkEnd w:id="8"/>
    <w:p w:rsidR="00675D42" w:rsidRDefault="00840A1C">
      <w:pPr>
        <w:pBdr>
          <w:top w:val="nil"/>
          <w:left w:val="nil"/>
          <w:bottom w:val="nil"/>
          <w:right w:val="nil"/>
          <w:between w:val="nil"/>
        </w:pBdr>
        <w:spacing w:line="240" w:lineRule="auto"/>
        <w:ind w:left="0" w:hanging="2"/>
        <w:jc w:val="both"/>
        <w:rPr>
          <w:b/>
          <w:color w:val="000000"/>
          <w:highlight w:val="yellow"/>
        </w:rPr>
      </w:pPr>
      <w:r w:rsidRPr="00E7366E">
        <w:rPr>
          <w:color w:val="000000"/>
        </w:rPr>
        <w:object w:dxaOrig="8813" w:dyaOrig="3417">
          <v:shape id="_x0000_i1028" type="#_x0000_t75" style="width:466.8pt;height:166.8pt" o:ole="">
            <v:imagedata r:id="rId14" o:title=""/>
          </v:shape>
          <o:OLEObject Type="Embed" ProgID="Excel.Sheet.8" ShapeID="_x0000_i1028" DrawAspect="Content" ObjectID="_1741507141" r:id="rId15"/>
        </w:object>
      </w:r>
    </w:p>
    <w:p w:rsidR="00675D42" w:rsidRDefault="00675D42">
      <w:pPr>
        <w:pBdr>
          <w:top w:val="nil"/>
          <w:left w:val="nil"/>
          <w:bottom w:val="nil"/>
          <w:right w:val="nil"/>
          <w:between w:val="nil"/>
        </w:pBdr>
        <w:spacing w:line="240" w:lineRule="auto"/>
        <w:ind w:left="0" w:hanging="2"/>
        <w:jc w:val="both"/>
        <w:rPr>
          <w:b/>
          <w:color w:val="000000"/>
          <w:highlight w:val="yellow"/>
        </w:rPr>
      </w:pPr>
    </w:p>
    <w:p w:rsidR="00675D42" w:rsidRDefault="00675D42">
      <w:pPr>
        <w:pBdr>
          <w:top w:val="nil"/>
          <w:left w:val="nil"/>
          <w:bottom w:val="nil"/>
          <w:right w:val="nil"/>
          <w:between w:val="nil"/>
        </w:pBdr>
        <w:spacing w:line="240" w:lineRule="auto"/>
        <w:ind w:left="0" w:hanging="2"/>
        <w:jc w:val="both"/>
        <w:rPr>
          <w:color w:val="000000"/>
          <w:sz w:val="18"/>
          <w:szCs w:val="18"/>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Rezerva na </w:t>
      </w:r>
      <w:r>
        <w:rPr>
          <w:color w:val="000000"/>
          <w:u w:val="single"/>
        </w:rPr>
        <w:t>nevyčerpané mzdy za dovolenku</w:t>
      </w:r>
      <w:r>
        <w:rPr>
          <w:color w:val="000000"/>
        </w:rPr>
        <w:t xml:space="preserve">  bola tvorená na základe záznamov z podsystému miezd.</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sz w:val="18"/>
          <w:szCs w:val="18"/>
        </w:rPr>
        <w:t>Záväzky</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Štruktúra záväzkov (okrem bankových úverov) podľa zostatkovej doby splatnosti je uvedená v nasledujúcej tabuľke:</w:t>
      </w:r>
    </w:p>
    <w:p w:rsidR="00675D42" w:rsidRDefault="00675D42">
      <w:pPr>
        <w:pBdr>
          <w:top w:val="nil"/>
          <w:left w:val="nil"/>
          <w:bottom w:val="nil"/>
          <w:right w:val="nil"/>
          <w:between w:val="nil"/>
        </w:pBdr>
        <w:spacing w:line="240" w:lineRule="auto"/>
        <w:ind w:left="0" w:hanging="2"/>
        <w:jc w:val="both"/>
        <w:rPr>
          <w:color w:val="000000"/>
        </w:rPr>
      </w:pPr>
      <w:bookmarkStart w:id="9" w:name="_heading=h.tyjcwt" w:colFirst="0" w:colLast="0"/>
      <w:bookmarkEnd w:id="9"/>
    </w:p>
    <w:bookmarkStart w:id="10" w:name="_MON_1709640887"/>
    <w:bookmarkEnd w:id="10"/>
    <w:p w:rsidR="00675D42" w:rsidRDefault="00840A1C">
      <w:pPr>
        <w:pBdr>
          <w:top w:val="nil"/>
          <w:left w:val="nil"/>
          <w:bottom w:val="nil"/>
          <w:right w:val="nil"/>
          <w:between w:val="nil"/>
        </w:pBdr>
        <w:spacing w:line="240" w:lineRule="auto"/>
        <w:ind w:left="0" w:hanging="2"/>
        <w:jc w:val="both"/>
        <w:rPr>
          <w:color w:val="000000"/>
        </w:rPr>
      </w:pPr>
      <w:r w:rsidRPr="00E7366E">
        <w:rPr>
          <w:color w:val="000000"/>
        </w:rPr>
        <w:object w:dxaOrig="9489" w:dyaOrig="2042">
          <v:shape id="_x0000_i1029" type="#_x0000_t75" style="width:472.8pt;height:126.6pt" o:ole="">
            <v:imagedata r:id="rId16" o:title=""/>
          </v:shape>
          <o:OLEObject Type="Embed" ProgID="Excel.Sheet.8" ShapeID="_x0000_i1029" DrawAspect="Content" ObjectID="_1741507142" r:id="rId17"/>
        </w:object>
      </w:r>
    </w:p>
    <w:p w:rsidR="00675D42" w:rsidRDefault="00675D42">
      <w:pPr>
        <w:ind w:left="0" w:hanging="2"/>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rPr>
        <w:t>Odložený daňový záväzok</w:t>
      </w:r>
    </w:p>
    <w:p w:rsidR="00675D42" w:rsidRDefault="00675D42">
      <w:pPr>
        <w:ind w:left="0" w:hanging="2"/>
      </w:pPr>
    </w:p>
    <w:p w:rsidR="00675D42" w:rsidRDefault="00F81C08">
      <w:pPr>
        <w:ind w:left="0" w:hanging="2"/>
      </w:pPr>
      <w:r>
        <w:t>O odloženom daňovom závä</w:t>
      </w:r>
      <w:r w:rsidR="00504E88">
        <w:t>zku účtovná jednotka v roku 2022</w:t>
      </w:r>
      <w:r>
        <w:t xml:space="preserve"> neúčtovala.</w:t>
      </w:r>
    </w:p>
    <w:p w:rsidR="00675D42" w:rsidRDefault="00675D42" w:rsidP="00840A1C">
      <w:pPr>
        <w:pBdr>
          <w:top w:val="nil"/>
          <w:left w:val="nil"/>
          <w:bottom w:val="nil"/>
          <w:right w:val="nil"/>
          <w:between w:val="nil"/>
        </w:pBdr>
        <w:spacing w:line="240" w:lineRule="auto"/>
        <w:ind w:leftChars="0" w:left="0" w:firstLineChars="0" w:firstLine="0"/>
        <w:jc w:val="both"/>
        <w:rPr>
          <w:color w:val="000000"/>
          <w:sz w:val="18"/>
          <w:szCs w:val="18"/>
        </w:rPr>
      </w:pPr>
    </w:p>
    <w:p w:rsidR="00675D42" w:rsidRDefault="00675D42">
      <w:pPr>
        <w:pBdr>
          <w:top w:val="nil"/>
          <w:left w:val="nil"/>
          <w:bottom w:val="nil"/>
          <w:right w:val="nil"/>
          <w:between w:val="nil"/>
        </w:pBdr>
        <w:spacing w:line="240" w:lineRule="auto"/>
        <w:ind w:left="0" w:hanging="2"/>
        <w:jc w:val="both"/>
        <w:rPr>
          <w:color w:val="000000"/>
          <w:sz w:val="18"/>
          <w:szCs w:val="18"/>
        </w:rPr>
      </w:pPr>
      <w:bookmarkStart w:id="11" w:name="_heading=h.3dy6vkm" w:colFirst="0" w:colLast="0"/>
      <w:bookmarkEnd w:id="11"/>
    </w:p>
    <w:p w:rsidR="00675D42" w:rsidRDefault="00675D42" w:rsidP="00840A1C">
      <w:pPr>
        <w:pBdr>
          <w:top w:val="nil"/>
          <w:left w:val="nil"/>
          <w:bottom w:val="nil"/>
          <w:right w:val="nil"/>
          <w:between w:val="nil"/>
        </w:pBdr>
        <w:spacing w:line="240" w:lineRule="auto"/>
        <w:ind w:leftChars="0" w:left="0" w:firstLineChars="0" w:firstLine="0"/>
        <w:jc w:val="both"/>
        <w:rPr>
          <w:color w:val="000000"/>
        </w:rPr>
      </w:pPr>
    </w:p>
    <w:p w:rsidR="00675D42" w:rsidRDefault="00F81C08">
      <w:pPr>
        <w:keepNext/>
        <w:numPr>
          <w:ilvl w:val="1"/>
          <w:numId w:val="4"/>
        </w:numPr>
        <w:pBdr>
          <w:top w:val="nil"/>
          <w:left w:val="nil"/>
          <w:bottom w:val="nil"/>
          <w:right w:val="nil"/>
          <w:between w:val="nil"/>
        </w:pBdr>
        <w:spacing w:line="240" w:lineRule="auto"/>
        <w:ind w:left="0" w:hanging="2"/>
        <w:rPr>
          <w:b/>
          <w:color w:val="000000"/>
        </w:rPr>
      </w:pPr>
      <w:r>
        <w:rPr>
          <w:b/>
          <w:color w:val="000000"/>
        </w:rPr>
        <w:t>Sociálny fond</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Tvorba a čerpa</w:t>
      </w:r>
      <w:r w:rsidR="002B0173">
        <w:rPr>
          <w:color w:val="000000"/>
        </w:rPr>
        <w:t>nie sociálneho fondu v roku 2022</w:t>
      </w:r>
      <w:r>
        <w:rPr>
          <w:color w:val="000000"/>
        </w:rPr>
        <w:t xml:space="preserve"> v priebehu účtovného obdobia sú znázornené v nasledujúcej tabuľke:</w:t>
      </w:r>
    </w:p>
    <w:p w:rsidR="00675D42" w:rsidRDefault="00675D42">
      <w:pPr>
        <w:pBdr>
          <w:top w:val="nil"/>
          <w:left w:val="nil"/>
          <w:bottom w:val="nil"/>
          <w:right w:val="nil"/>
          <w:between w:val="nil"/>
        </w:pBdr>
        <w:spacing w:line="240" w:lineRule="auto"/>
        <w:ind w:left="0" w:hanging="2"/>
        <w:jc w:val="both"/>
        <w:rPr>
          <w:color w:val="000000"/>
        </w:rPr>
      </w:pPr>
      <w:bookmarkStart w:id="12" w:name="_heading=h.1t3h5sf" w:colFirst="0" w:colLast="0"/>
      <w:bookmarkEnd w:id="12"/>
    </w:p>
    <w:bookmarkStart w:id="13" w:name="_MON_1740830600"/>
    <w:bookmarkEnd w:id="13"/>
    <w:p w:rsidR="00675D42" w:rsidRDefault="002B0173">
      <w:pPr>
        <w:pBdr>
          <w:top w:val="nil"/>
          <w:left w:val="nil"/>
          <w:bottom w:val="nil"/>
          <w:right w:val="nil"/>
          <w:between w:val="nil"/>
        </w:pBdr>
        <w:spacing w:line="240" w:lineRule="auto"/>
        <w:ind w:left="0" w:hanging="2"/>
        <w:jc w:val="both"/>
        <w:rPr>
          <w:color w:val="000000"/>
        </w:rPr>
      </w:pPr>
      <w:r w:rsidRPr="00E7366E">
        <w:rPr>
          <w:color w:val="000000"/>
        </w:rPr>
        <w:object w:dxaOrig="10779" w:dyaOrig="2450">
          <v:shape id="_x0000_i1030" type="#_x0000_t75" style="width:533.4pt;height:116.4pt" o:ole="">
            <v:imagedata r:id="rId18" o:title=""/>
          </v:shape>
          <o:OLEObject Type="Embed" ProgID="Excel.Sheet.8" ShapeID="_x0000_i1030" DrawAspect="Content" ObjectID="_1741507143" r:id="rId19"/>
        </w:object>
      </w:r>
    </w:p>
    <w:p w:rsidR="00675D42" w:rsidRDefault="00675D42">
      <w:pPr>
        <w:keepNext/>
        <w:pBdr>
          <w:top w:val="nil"/>
          <w:left w:val="nil"/>
          <w:bottom w:val="nil"/>
          <w:right w:val="nil"/>
          <w:between w:val="nil"/>
        </w:pBdr>
        <w:spacing w:line="240" w:lineRule="auto"/>
        <w:ind w:left="0" w:hanging="2"/>
        <w:rPr>
          <w:b/>
          <w:color w:val="000000"/>
        </w:rPr>
      </w:pPr>
    </w:p>
    <w:p w:rsidR="00C758A7" w:rsidRDefault="00F81C08" w:rsidP="00C758A7">
      <w:pPr>
        <w:keepNext/>
        <w:pBdr>
          <w:top w:val="nil"/>
          <w:left w:val="nil"/>
          <w:bottom w:val="nil"/>
          <w:right w:val="nil"/>
          <w:between w:val="nil"/>
        </w:pBdr>
        <w:spacing w:line="240" w:lineRule="auto"/>
        <w:ind w:left="0" w:hanging="2"/>
        <w:rPr>
          <w:b/>
          <w:color w:val="000000"/>
        </w:rPr>
      </w:pPr>
      <w:r>
        <w:rPr>
          <w:b/>
          <w:color w:val="000000"/>
        </w:rPr>
        <w:t>4.Bankové úvery finančné výpomoci a</w:t>
      </w:r>
      <w:r w:rsidR="00C758A7">
        <w:rPr>
          <w:b/>
          <w:color w:val="000000"/>
        </w:rPr>
        <w:t> </w:t>
      </w:r>
      <w:r>
        <w:rPr>
          <w:b/>
          <w:color w:val="000000"/>
        </w:rPr>
        <w:t>pôžičky</w:t>
      </w:r>
    </w:p>
    <w:p w:rsidR="00675D42" w:rsidRPr="00C758A7" w:rsidRDefault="00F81C08" w:rsidP="00C758A7">
      <w:pPr>
        <w:keepNext/>
        <w:pBdr>
          <w:top w:val="nil"/>
          <w:left w:val="nil"/>
          <w:bottom w:val="nil"/>
          <w:right w:val="nil"/>
          <w:between w:val="nil"/>
        </w:pBdr>
        <w:spacing w:line="240" w:lineRule="auto"/>
        <w:ind w:left="0" w:hanging="2"/>
        <w:rPr>
          <w:b/>
          <w:color w:val="000000"/>
        </w:rPr>
      </w:pPr>
      <w:r>
        <w:t xml:space="preserve"> Účtovná jednotka má vo VÚB banke schválený kontokorentný úver do výšky 600.000€.</w:t>
      </w:r>
    </w:p>
    <w:p w:rsidR="00C758A7" w:rsidRDefault="00C758A7" w:rsidP="00C758A7">
      <w:pPr>
        <w:ind w:leftChars="0" w:left="0" w:firstLineChars="0" w:firstLine="0"/>
      </w:pPr>
      <w:r>
        <w:t xml:space="preserve"> Úvery máme rozdelené na krátkodobé a dlhodobé.</w:t>
      </w:r>
    </w:p>
    <w:p w:rsidR="00C758A7" w:rsidRDefault="00C758A7" w:rsidP="00C758A7">
      <w:pPr>
        <w:ind w:left="0" w:hanging="2"/>
      </w:pPr>
      <w:r>
        <w:t xml:space="preserve"> Účet  hlavnej knihy 231 = </w:t>
      </w:r>
      <w:r w:rsidR="0051482D">
        <w:t>768 710</w:t>
      </w:r>
      <w:r>
        <w:t xml:space="preserve"> eur -je účet krátkodobé bankové úvery</w:t>
      </w:r>
    </w:p>
    <w:p w:rsidR="00C758A7" w:rsidRDefault="00C758A7" w:rsidP="00C758A7">
      <w:pPr>
        <w:ind w:left="0" w:hanging="2"/>
      </w:pPr>
      <w:r>
        <w:t xml:space="preserve"> a na účte 461 Dlhodobý bankový úver = </w:t>
      </w:r>
      <w:r w:rsidR="0051482D">
        <w:t>386 69</w:t>
      </w:r>
      <w:r>
        <w:t>4 eur</w:t>
      </w:r>
    </w:p>
    <w:p w:rsidR="00C758A7" w:rsidRDefault="00C758A7" w:rsidP="00C758A7">
      <w:pPr>
        <w:ind w:left="0" w:hanging="2"/>
      </w:pPr>
    </w:p>
    <w:p w:rsidR="00C758A7" w:rsidRDefault="00C758A7" w:rsidP="00C758A7">
      <w:pPr>
        <w:ind w:left="0" w:hanging="2"/>
      </w:pPr>
      <w:r>
        <w:t>Celkom úvery = 1</w:t>
      </w:r>
      <w:r w:rsidR="0051482D">
        <w:t> 155 404</w:t>
      </w:r>
      <w:r>
        <w:t xml:space="preserve"> Eur.</w:t>
      </w:r>
      <w:r w:rsidR="009A47EB">
        <w:t xml:space="preserve"> </w:t>
      </w:r>
    </w:p>
    <w:p w:rsidR="00C758A7" w:rsidRDefault="00C758A7" w:rsidP="00C758A7">
      <w:pPr>
        <w:ind w:left="0" w:hanging="2"/>
      </w:pPr>
    </w:p>
    <w:p w:rsidR="00C758A7" w:rsidRDefault="00C758A7">
      <w:pPr>
        <w:ind w:left="0" w:hanging="2"/>
        <w:rPr>
          <w:u w:val="single"/>
        </w:rPr>
      </w:pPr>
    </w:p>
    <w:p w:rsidR="00675D42" w:rsidRDefault="00675D42">
      <w:pPr>
        <w:pBdr>
          <w:top w:val="nil"/>
          <w:left w:val="nil"/>
          <w:bottom w:val="nil"/>
          <w:right w:val="nil"/>
          <w:between w:val="nil"/>
        </w:pBdr>
        <w:spacing w:line="240" w:lineRule="auto"/>
        <w:ind w:left="0" w:hanging="2"/>
        <w:jc w:val="both"/>
        <w:rPr>
          <w:color w:val="000000"/>
          <w:u w:val="single"/>
        </w:rPr>
      </w:pPr>
    </w:p>
    <w:p w:rsidR="00675D42" w:rsidRDefault="00675D42">
      <w:pPr>
        <w:pBdr>
          <w:top w:val="nil"/>
          <w:left w:val="nil"/>
          <w:bottom w:val="nil"/>
          <w:right w:val="nil"/>
          <w:between w:val="nil"/>
        </w:pBdr>
        <w:spacing w:line="240" w:lineRule="auto"/>
        <w:ind w:left="0" w:hanging="2"/>
        <w:jc w:val="both"/>
        <w:rPr>
          <w:color w:val="000000"/>
          <w:u w:val="single"/>
        </w:rPr>
      </w:pP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 xml:space="preserve">Zabezpečenie úverov vo VÚB </w:t>
      </w:r>
    </w:p>
    <w:p w:rsidR="00675D42" w:rsidRDefault="00F81C08">
      <w:pPr>
        <w:pBdr>
          <w:top w:val="nil"/>
          <w:left w:val="nil"/>
          <w:bottom w:val="nil"/>
          <w:right w:val="nil"/>
          <w:between w:val="nil"/>
        </w:pBdr>
        <w:spacing w:line="240" w:lineRule="auto"/>
        <w:ind w:left="0" w:hanging="2"/>
        <w:jc w:val="both"/>
        <w:rPr>
          <w:color w:val="000000"/>
          <w:u w:val="single"/>
        </w:rPr>
      </w:pPr>
      <w:r>
        <w:rPr>
          <w:color w:val="000000"/>
        </w:rPr>
        <w:t>- notárska zápisnica – exekučný titul na majetok klienta</w:t>
      </w:r>
    </w:p>
    <w:p w:rsidR="00675D42" w:rsidRDefault="00F81C08">
      <w:pPr>
        <w:pBdr>
          <w:top w:val="nil"/>
          <w:left w:val="nil"/>
          <w:bottom w:val="nil"/>
          <w:right w:val="nil"/>
          <w:between w:val="nil"/>
        </w:pBdr>
        <w:spacing w:line="240" w:lineRule="auto"/>
        <w:ind w:left="0" w:hanging="2"/>
        <w:jc w:val="both"/>
        <w:rPr>
          <w:color w:val="000000"/>
        </w:rPr>
      </w:pPr>
      <w:r>
        <w:rPr>
          <w:color w:val="000000"/>
          <w:u w:val="single"/>
        </w:rPr>
        <w:t>Úver vo VÚB  banke</w:t>
      </w: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 vlastná </w:t>
      </w:r>
      <w:proofErr w:type="spellStart"/>
      <w:r>
        <w:rPr>
          <w:color w:val="000000"/>
        </w:rPr>
        <w:t>bianco</w:t>
      </w:r>
      <w:proofErr w:type="spellEnd"/>
      <w:r>
        <w:rPr>
          <w:color w:val="000000"/>
        </w:rPr>
        <w:t xml:space="preserve"> zmenka</w:t>
      </w:r>
    </w:p>
    <w:p w:rsidR="00675D42" w:rsidRDefault="00675D42">
      <w:pPr>
        <w:pBdr>
          <w:top w:val="nil"/>
          <w:left w:val="nil"/>
          <w:bottom w:val="nil"/>
          <w:right w:val="nil"/>
          <w:between w:val="nil"/>
        </w:pBdr>
        <w:spacing w:line="240" w:lineRule="auto"/>
        <w:ind w:left="0" w:hanging="2"/>
        <w:jc w:val="both"/>
        <w:rPr>
          <w:color w:val="000000"/>
        </w:rPr>
      </w:pPr>
    </w:p>
    <w:p w:rsidR="00675D42" w:rsidRPr="00C758A7" w:rsidRDefault="00C758A7" w:rsidP="00C758A7">
      <w:pPr>
        <w:keepNext/>
        <w:pBdr>
          <w:top w:val="nil"/>
          <w:left w:val="nil"/>
          <w:bottom w:val="nil"/>
          <w:right w:val="nil"/>
          <w:between w:val="nil"/>
        </w:pBdr>
        <w:spacing w:line="240" w:lineRule="auto"/>
        <w:ind w:leftChars="0" w:left="0" w:firstLineChars="0" w:hanging="2"/>
        <w:rPr>
          <w:b/>
          <w:color w:val="000000"/>
        </w:rPr>
      </w:pPr>
      <w:r>
        <w:rPr>
          <w:b/>
          <w:color w:val="000000"/>
        </w:rPr>
        <w:t>5.</w:t>
      </w:r>
      <w:r w:rsidR="00F81C08" w:rsidRPr="00C758A7">
        <w:rPr>
          <w:b/>
          <w:color w:val="000000"/>
        </w:rPr>
        <w:t>Časové rozlíšenie pasívne</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Štruktúra časového nie je vykázaná, spoločnosť nebola prijímateľom dotácií na </w:t>
      </w:r>
      <w:proofErr w:type="spellStart"/>
      <w:r>
        <w:rPr>
          <w:color w:val="000000"/>
        </w:rPr>
        <w:t>obst</w:t>
      </w:r>
      <w:proofErr w:type="spellEnd"/>
      <w:r>
        <w:rPr>
          <w:color w:val="000000"/>
        </w:rPr>
        <w:t>. DM.</w:t>
      </w: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keepNext/>
        <w:pBdr>
          <w:top w:val="nil"/>
          <w:left w:val="nil"/>
          <w:bottom w:val="nil"/>
          <w:right w:val="nil"/>
          <w:between w:val="nil"/>
        </w:pBdr>
        <w:spacing w:line="240" w:lineRule="auto"/>
        <w:ind w:left="0" w:hanging="2"/>
        <w:rPr>
          <w:b/>
          <w:smallCaps/>
          <w:color w:val="000000"/>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NÁKLADOCH</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5"/>
        </w:numPr>
        <w:pBdr>
          <w:top w:val="nil"/>
          <w:left w:val="nil"/>
          <w:bottom w:val="nil"/>
          <w:right w:val="nil"/>
          <w:between w:val="nil"/>
        </w:pBdr>
        <w:shd w:val="clear" w:color="auto" w:fill="FFFFFF"/>
        <w:spacing w:line="240" w:lineRule="auto"/>
        <w:ind w:left="0" w:hanging="2"/>
        <w:rPr>
          <w:b/>
          <w:color w:val="000000"/>
          <w:sz w:val="18"/>
          <w:szCs w:val="18"/>
          <w:highlight w:val="white"/>
        </w:rPr>
      </w:pPr>
      <w:r>
        <w:rPr>
          <w:b/>
          <w:color w:val="000000"/>
          <w:highlight w:val="white"/>
        </w:rPr>
        <w:t>Náklady na poskytnuté služby</w:t>
      </w:r>
    </w:p>
    <w:p w:rsidR="00675D42" w:rsidRDefault="00675D42">
      <w:pPr>
        <w:shd w:val="clear" w:color="auto" w:fill="FFFFFF"/>
        <w:ind w:left="0" w:hanging="2"/>
        <w:rPr>
          <w:highlight w:val="white"/>
        </w:rPr>
      </w:pPr>
    </w:p>
    <w:p w:rsidR="00675D42" w:rsidRDefault="00F81C08">
      <w:pPr>
        <w:pBdr>
          <w:top w:val="nil"/>
          <w:left w:val="nil"/>
          <w:bottom w:val="nil"/>
          <w:right w:val="nil"/>
          <w:between w:val="nil"/>
        </w:pBdr>
        <w:shd w:val="clear" w:color="auto" w:fill="FFFFFF"/>
        <w:spacing w:line="240" w:lineRule="auto"/>
        <w:ind w:left="0" w:hanging="2"/>
        <w:jc w:val="both"/>
        <w:rPr>
          <w:color w:val="000000"/>
          <w:highlight w:val="white"/>
        </w:rPr>
      </w:pPr>
      <w:r>
        <w:rPr>
          <w:color w:val="000000"/>
          <w:highlight w:val="white"/>
        </w:rPr>
        <w:t>Prehľad o nákladoch na poskytnuté služby je znázornený v nasledujúcej tabuľke:</w:t>
      </w:r>
    </w:p>
    <w:p w:rsidR="00675D42" w:rsidRPr="00E7366E" w:rsidRDefault="00675D42">
      <w:pPr>
        <w:pBdr>
          <w:top w:val="nil"/>
          <w:left w:val="nil"/>
          <w:bottom w:val="nil"/>
          <w:right w:val="nil"/>
          <w:between w:val="nil"/>
        </w:pBdr>
        <w:shd w:val="clear" w:color="auto" w:fill="FFFFFF"/>
        <w:spacing w:line="240" w:lineRule="auto"/>
        <w:ind w:left="0" w:hanging="2"/>
        <w:jc w:val="both"/>
        <w:rPr>
          <w:color w:val="000000"/>
          <w:highlight w:val="white"/>
        </w:rPr>
      </w:pPr>
      <w:bookmarkStart w:id="14" w:name="_heading=h.4d34og8" w:colFirst="0" w:colLast="0"/>
      <w:bookmarkEnd w:id="14"/>
    </w:p>
    <w:bookmarkStart w:id="15" w:name="_MON_1709641279"/>
    <w:bookmarkEnd w:id="15"/>
    <w:p w:rsidR="00675D42" w:rsidRDefault="00DF5AD9">
      <w:pPr>
        <w:pBdr>
          <w:top w:val="nil"/>
          <w:left w:val="nil"/>
          <w:bottom w:val="nil"/>
          <w:right w:val="nil"/>
          <w:between w:val="nil"/>
        </w:pBdr>
        <w:shd w:val="clear" w:color="auto" w:fill="FFFFFF"/>
        <w:spacing w:line="240" w:lineRule="auto"/>
        <w:ind w:left="0" w:hanging="2"/>
        <w:jc w:val="both"/>
        <w:rPr>
          <w:color w:val="000000"/>
          <w:highlight w:val="white"/>
        </w:rPr>
      </w:pPr>
      <w:r w:rsidRPr="00E7366E">
        <w:rPr>
          <w:color w:val="000000"/>
        </w:rPr>
        <w:object w:dxaOrig="9771" w:dyaOrig="3674">
          <v:shape id="_x0000_i1031" type="#_x0000_t75" style="width:508.2pt;height:244.2pt" o:ole="">
            <v:imagedata r:id="rId20" o:title=""/>
          </v:shape>
          <o:OLEObject Type="Embed" ProgID="Excel.Sheet.8" ShapeID="_x0000_i1031" DrawAspect="Content" ObjectID="_1741507144" r:id="rId21"/>
        </w:objec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1"/>
          <w:numId w:val="5"/>
        </w:numPr>
        <w:pBdr>
          <w:top w:val="nil"/>
          <w:left w:val="nil"/>
          <w:bottom w:val="nil"/>
          <w:right w:val="nil"/>
          <w:between w:val="nil"/>
        </w:pBdr>
        <w:shd w:val="clear" w:color="auto" w:fill="FFFFFF"/>
        <w:spacing w:line="240" w:lineRule="auto"/>
        <w:ind w:left="0" w:hanging="2"/>
        <w:rPr>
          <w:b/>
          <w:color w:val="000000"/>
          <w:highlight w:val="white"/>
        </w:rPr>
      </w:pPr>
      <w:r>
        <w:rPr>
          <w:b/>
          <w:color w:val="000000"/>
          <w:highlight w:val="white"/>
        </w:rPr>
        <w:t>Kurzové straty</w:t>
      </w:r>
    </w:p>
    <w:p w:rsidR="00675D42" w:rsidRDefault="00F81C08">
      <w:pPr>
        <w:pBdr>
          <w:top w:val="nil"/>
          <w:left w:val="nil"/>
          <w:bottom w:val="nil"/>
          <w:right w:val="nil"/>
          <w:between w:val="nil"/>
        </w:pBdr>
        <w:shd w:val="clear" w:color="auto" w:fill="FFFFFF"/>
        <w:spacing w:line="240" w:lineRule="auto"/>
        <w:ind w:left="0" w:hanging="2"/>
        <w:jc w:val="both"/>
        <w:rPr>
          <w:color w:val="000000"/>
          <w:sz w:val="18"/>
          <w:szCs w:val="18"/>
        </w:rPr>
      </w:pPr>
      <w:r>
        <w:rPr>
          <w:color w:val="000000"/>
          <w:highlight w:val="white"/>
        </w:rPr>
        <w:t>V účtovnej jednotke sa o kurzových stratách v roku 2021 neúčtovalo.</w:t>
      </w:r>
    </w:p>
    <w:p w:rsidR="00675D42" w:rsidRDefault="00675D42">
      <w:pPr>
        <w:shd w:val="clear" w:color="auto" w:fill="FFFFFF"/>
        <w:ind w:left="0" w:hanging="2"/>
      </w:pPr>
    </w:p>
    <w:p w:rsidR="00675D42" w:rsidRDefault="00675D42">
      <w:pPr>
        <w:pBdr>
          <w:top w:val="nil"/>
          <w:left w:val="nil"/>
          <w:bottom w:val="nil"/>
          <w:right w:val="nil"/>
          <w:between w:val="nil"/>
        </w:pBdr>
        <w:shd w:val="clear" w:color="auto" w:fill="FFFFFF"/>
        <w:spacing w:line="240" w:lineRule="auto"/>
        <w:ind w:left="0" w:hanging="2"/>
        <w:jc w:val="both"/>
        <w:rPr>
          <w:color w:val="0000FF"/>
          <w:highlight w:val="white"/>
        </w:rPr>
      </w:pPr>
      <w:bookmarkStart w:id="16" w:name="_heading=h.2s8eyo1" w:colFirst="0" w:colLast="0"/>
      <w:bookmarkEnd w:id="16"/>
    </w:p>
    <w:p w:rsidR="00675D42" w:rsidRDefault="00675D42">
      <w:pPr>
        <w:pBdr>
          <w:top w:val="nil"/>
          <w:left w:val="nil"/>
          <w:bottom w:val="nil"/>
          <w:right w:val="nil"/>
          <w:between w:val="nil"/>
        </w:pBdr>
        <w:shd w:val="clear" w:color="auto" w:fill="FFFFFF"/>
        <w:spacing w:line="240" w:lineRule="auto"/>
        <w:ind w:left="0" w:hanging="2"/>
        <w:jc w:val="both"/>
        <w:rPr>
          <w:color w:val="000000"/>
          <w:sz w:val="18"/>
          <w:szCs w:val="18"/>
        </w:rPr>
      </w:pP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1"/>
          <w:numId w:val="5"/>
        </w:numPr>
        <w:pBdr>
          <w:top w:val="nil"/>
          <w:left w:val="nil"/>
          <w:bottom w:val="nil"/>
          <w:right w:val="nil"/>
          <w:between w:val="nil"/>
        </w:pBdr>
        <w:shd w:val="clear" w:color="auto" w:fill="FFFFFF"/>
        <w:spacing w:line="240" w:lineRule="auto"/>
        <w:ind w:left="0" w:hanging="2"/>
        <w:rPr>
          <w:b/>
          <w:color w:val="000000"/>
          <w:highlight w:val="white"/>
        </w:rPr>
      </w:pPr>
      <w:r>
        <w:rPr>
          <w:b/>
          <w:color w:val="000000"/>
          <w:highlight w:val="white"/>
        </w:rPr>
        <w:t>Mimoriadne náklady</w:t>
      </w:r>
    </w:p>
    <w:p w:rsidR="00675D42" w:rsidRDefault="00F81C08">
      <w:pPr>
        <w:pBdr>
          <w:top w:val="nil"/>
          <w:left w:val="nil"/>
          <w:bottom w:val="nil"/>
          <w:right w:val="nil"/>
          <w:between w:val="nil"/>
        </w:pBdr>
        <w:shd w:val="clear" w:color="auto" w:fill="FFFFFF"/>
        <w:spacing w:line="240" w:lineRule="auto"/>
        <w:ind w:left="0" w:hanging="2"/>
        <w:jc w:val="both"/>
        <w:rPr>
          <w:color w:val="000000"/>
          <w:highlight w:val="white"/>
        </w:rPr>
      </w:pPr>
      <w:r>
        <w:rPr>
          <w:color w:val="000000"/>
          <w:highlight w:val="white"/>
        </w:rPr>
        <w:t xml:space="preserve">V účtovnej jednotke sa o </w:t>
      </w:r>
      <w:proofErr w:type="spellStart"/>
      <w:r>
        <w:rPr>
          <w:color w:val="000000"/>
          <w:highlight w:val="white"/>
        </w:rPr>
        <w:t>mi</w:t>
      </w:r>
      <w:r w:rsidR="00DF5AD9">
        <w:rPr>
          <w:color w:val="000000"/>
          <w:highlight w:val="white"/>
        </w:rPr>
        <w:t>moriadných</w:t>
      </w:r>
      <w:proofErr w:type="spellEnd"/>
      <w:r w:rsidR="00DF5AD9">
        <w:rPr>
          <w:color w:val="000000"/>
          <w:highlight w:val="white"/>
        </w:rPr>
        <w:t xml:space="preserve"> nákladoch v roku 2022</w:t>
      </w:r>
      <w:r>
        <w:rPr>
          <w:color w:val="000000"/>
          <w:highlight w:val="white"/>
        </w:rPr>
        <w:t xml:space="preserve"> neúčtovalo.</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t>INFORMÁCIE O DANIACH Z PRÍJMOV</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5A2F14" w:rsidRDefault="005A2F14" w:rsidP="005A2F14">
      <w:pPr>
        <w:pStyle w:val="western"/>
        <w:shd w:val="clear" w:color="auto" w:fill="FFFFFF"/>
        <w:ind w:hanging="2"/>
      </w:pPr>
      <w:bookmarkStart w:id="17" w:name="_heading=h.17dp8vu" w:colFirst="0" w:colLast="0"/>
      <w:bookmarkEnd w:id="17"/>
      <w:r>
        <w:rPr>
          <w:sz w:val="20"/>
          <w:szCs w:val="20"/>
          <w:shd w:val="clear" w:color="auto" w:fill="FFFFFF"/>
        </w:rPr>
        <w:t>Daň z príjmov k vykázanému základu dani z príjmov je uvedený v nasledujúcom odseku:</w:t>
      </w:r>
    </w:p>
    <w:p w:rsidR="005A2F14" w:rsidRDefault="005A2F14" w:rsidP="005A2F14">
      <w:pPr>
        <w:pStyle w:val="western"/>
        <w:shd w:val="clear" w:color="auto" w:fill="FFFFFF"/>
        <w:ind w:hanging="2"/>
      </w:pPr>
      <w:r w:rsidRPr="00E7366E">
        <w:rPr>
          <w:sz w:val="20"/>
          <w:szCs w:val="20"/>
          <w:shd w:val="clear" w:color="auto" w:fill="FFFFFF"/>
        </w:rPr>
        <w:t>Daň z príjmov PO za rok 2022 je vo výške 21% zo základu dane: 556.534€ účtovný zákla</w:t>
      </w:r>
      <w:r w:rsidR="00E7366E" w:rsidRPr="00E7366E">
        <w:rPr>
          <w:sz w:val="20"/>
          <w:szCs w:val="20"/>
          <w:shd w:val="clear" w:color="auto" w:fill="FFFFFF"/>
        </w:rPr>
        <w:t>d , daňový základ dane je :604.4127</w:t>
      </w:r>
      <w:r w:rsidRPr="00E7366E">
        <w:rPr>
          <w:sz w:val="20"/>
          <w:szCs w:val="20"/>
          <w:shd w:val="clear" w:color="auto" w:fill="FFFFFF"/>
        </w:rPr>
        <w:t xml:space="preserve">€. Preddavky uhradené sú vo výške: </w:t>
      </w:r>
      <w:r w:rsidR="00975465">
        <w:rPr>
          <w:sz w:val="20"/>
          <w:szCs w:val="20"/>
          <w:shd w:val="clear" w:color="auto" w:fill="FFFFFF"/>
        </w:rPr>
        <w:t>79.918,76</w:t>
      </w:r>
      <w:r w:rsidR="002046A5" w:rsidRPr="00E7366E">
        <w:rPr>
          <w:sz w:val="20"/>
          <w:szCs w:val="20"/>
          <w:shd w:val="clear" w:color="auto" w:fill="FFFFFF"/>
        </w:rPr>
        <w:t xml:space="preserve">€. </w:t>
      </w:r>
      <w:r w:rsidRPr="00E7366E">
        <w:rPr>
          <w:sz w:val="20"/>
          <w:szCs w:val="20"/>
          <w:shd w:val="clear" w:color="auto" w:fill="FFFFFF"/>
        </w:rPr>
        <w:t>Splatná daň z príjmov za rok 2022: 47.049,93€.</w:t>
      </w:r>
    </w:p>
    <w:p w:rsidR="00675D42" w:rsidRDefault="00675D42">
      <w:pPr>
        <w:pBdr>
          <w:top w:val="nil"/>
          <w:left w:val="nil"/>
          <w:bottom w:val="nil"/>
          <w:right w:val="nil"/>
          <w:between w:val="nil"/>
        </w:pBdr>
        <w:spacing w:line="240" w:lineRule="auto"/>
        <w:ind w:left="0" w:hanging="2"/>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ÚDAJOCH NA PODSÚVAHOVÝCH  ÚČTOCH</w:t>
      </w:r>
      <w:bookmarkStart w:id="18" w:name="_GoBack"/>
      <w:bookmarkEnd w:id="18"/>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pBdr>
          <w:top w:val="nil"/>
          <w:left w:val="nil"/>
          <w:bottom w:val="nil"/>
          <w:right w:val="nil"/>
          <w:between w:val="nil"/>
        </w:pBdr>
        <w:spacing w:line="240" w:lineRule="auto"/>
        <w:ind w:left="0" w:hanging="2"/>
        <w:rPr>
          <w:b/>
          <w:color w:val="000000"/>
          <w:sz w:val="18"/>
          <w:szCs w:val="18"/>
        </w:rPr>
      </w:pPr>
      <w:r>
        <w:rPr>
          <w:color w:val="000000"/>
        </w:rPr>
        <w:t xml:space="preserve">      Spoločnosť neeviduje zostatky na podsúvahových účtoch. </w:t>
      </w:r>
    </w:p>
    <w:p w:rsidR="00675D42" w:rsidRDefault="00675D42">
      <w:pPr>
        <w:ind w:left="0" w:hanging="2"/>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INÝCH AKTÍVACH A INÝCH PASÍVACH</w:t>
      </w:r>
    </w:p>
    <w:p w:rsidR="00675D42" w:rsidRDefault="00675D42">
      <w:pPr>
        <w:pBdr>
          <w:top w:val="nil"/>
          <w:left w:val="nil"/>
          <w:bottom w:val="nil"/>
          <w:right w:val="nil"/>
          <w:between w:val="nil"/>
        </w:pBdr>
        <w:spacing w:line="240" w:lineRule="auto"/>
        <w:ind w:left="0" w:hanging="2"/>
        <w:jc w:val="both"/>
        <w:rPr>
          <w:b/>
          <w:color w:val="000000"/>
        </w:rPr>
      </w:pPr>
    </w:p>
    <w:p w:rsidR="00675D42" w:rsidRDefault="00F81C08">
      <w:pPr>
        <w:pBdr>
          <w:top w:val="nil"/>
          <w:left w:val="nil"/>
          <w:bottom w:val="nil"/>
          <w:right w:val="nil"/>
          <w:between w:val="nil"/>
        </w:pBdr>
        <w:shd w:val="clear" w:color="auto" w:fill="FFFFFF"/>
        <w:tabs>
          <w:tab w:val="left" w:pos="426"/>
        </w:tabs>
        <w:spacing w:line="240" w:lineRule="auto"/>
        <w:ind w:left="0" w:hanging="2"/>
        <w:jc w:val="both"/>
        <w:rPr>
          <w:color w:val="000000"/>
          <w:highlight w:val="white"/>
        </w:rPr>
      </w:pPr>
      <w:r>
        <w:rPr>
          <w:b/>
          <w:color w:val="000000"/>
        </w:rPr>
        <w:tab/>
      </w:r>
      <w:r>
        <w:rPr>
          <w:b/>
          <w:color w:val="000000"/>
        </w:rPr>
        <w:tab/>
      </w:r>
      <w:r>
        <w:rPr>
          <w:color w:val="000000"/>
        </w:rPr>
        <w:t>Spoločnosť nemá žiadne</w:t>
      </w:r>
      <w:r w:rsidR="00DF5AD9">
        <w:rPr>
          <w:color w:val="000000"/>
        </w:rPr>
        <w:t xml:space="preserve"> podmienené záväzky k 31.12.2022</w:t>
      </w:r>
      <w:r>
        <w:rPr>
          <w:color w:val="000000"/>
        </w:rPr>
        <w:t xml:space="preserve"> zo súdnych rozhodnutí, neposkytla žiadne </w:t>
      </w:r>
      <w:r>
        <w:rPr>
          <w:color w:val="000000"/>
          <w:highlight w:val="white"/>
        </w:rPr>
        <w:t>záruky , nemá žiadne podmienené záväzky zo všeobecne platných právnych predpisov ani zmluvy o podriadenom záväzku.</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highlight w:val="white"/>
        </w:rPr>
      </w:pPr>
      <w:r>
        <w:rPr>
          <w:b/>
          <w:smallCaps/>
          <w:color w:val="000000"/>
          <w:highlight w:val="white"/>
        </w:rPr>
        <w:lastRenderedPageBreak/>
        <w:t>INFORMÁCIE O PRÍJMOCH A VÝHODÁCH ČLENOV ŠTATUTÁRNYCH ORGÁNOV, DOZORNÝCH ORGÁNOV A INÝCH ORGÁNOV ÚČTOVNEJ JEDNOTKY</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Pr="002046A5" w:rsidRDefault="00F81C08">
      <w:pPr>
        <w:pBdr>
          <w:top w:val="nil"/>
          <w:left w:val="nil"/>
          <w:bottom w:val="nil"/>
          <w:right w:val="nil"/>
          <w:between w:val="nil"/>
        </w:pBdr>
        <w:shd w:val="clear" w:color="auto" w:fill="FFFFFF"/>
        <w:spacing w:line="240" w:lineRule="auto"/>
        <w:ind w:left="0" w:hanging="2"/>
        <w:jc w:val="both"/>
        <w:rPr>
          <w:color w:val="000000"/>
        </w:rPr>
      </w:pPr>
      <w:r w:rsidRPr="002046A5">
        <w:rPr>
          <w:color w:val="000000"/>
        </w:rPr>
        <w:t>Hrubé príjmy členov štatutárnych orgánov Spoločnosti za ich či</w:t>
      </w:r>
      <w:r w:rsidR="00DF5AD9" w:rsidRPr="002046A5">
        <w:rPr>
          <w:color w:val="000000"/>
        </w:rPr>
        <w:t>nnosť pre spoločnosť v roku 2022</w:t>
      </w:r>
      <w:r w:rsidRPr="002046A5">
        <w:rPr>
          <w:color w:val="000000"/>
        </w:rPr>
        <w:t xml:space="preserve"> boli vo výške </w:t>
      </w:r>
      <w:r w:rsidR="005A2F14" w:rsidRPr="002046A5">
        <w:rPr>
          <w:color w:val="000000"/>
        </w:rPr>
        <w:t>12.493,48</w:t>
      </w:r>
      <w:r w:rsidR="002046A5">
        <w:rPr>
          <w:color w:val="000000"/>
        </w:rPr>
        <w:t xml:space="preserve"> E</w:t>
      </w:r>
      <w:r w:rsidRPr="002046A5">
        <w:rPr>
          <w:color w:val="000000"/>
        </w:rPr>
        <w:t xml:space="preserve">ur (v predchádzajúcom účtovnom období </w:t>
      </w:r>
      <w:r w:rsidR="002046A5" w:rsidRPr="002046A5">
        <w:rPr>
          <w:color w:val="000000"/>
        </w:rPr>
        <w:t>10.748,41</w:t>
      </w:r>
      <w:r w:rsidRPr="002046A5">
        <w:rPr>
          <w:color w:val="000000"/>
        </w:rPr>
        <w:t xml:space="preserve"> Eur).</w:t>
      </w: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675D42">
      <w:pPr>
        <w:pBdr>
          <w:top w:val="nil"/>
          <w:left w:val="nil"/>
          <w:bottom w:val="nil"/>
          <w:right w:val="nil"/>
          <w:between w:val="nil"/>
        </w:pBdr>
        <w:shd w:val="clear" w:color="auto" w:fill="FFFFFF"/>
        <w:spacing w:line="240" w:lineRule="auto"/>
        <w:ind w:left="0" w:hanging="2"/>
        <w:jc w:val="both"/>
        <w:rPr>
          <w:color w:val="000000"/>
          <w:highlight w:val="white"/>
        </w:rPr>
      </w:pPr>
    </w:p>
    <w:p w:rsidR="00675D42" w:rsidRDefault="00F81C08">
      <w:pPr>
        <w:keepNext/>
        <w:numPr>
          <w:ilvl w:val="0"/>
          <w:numId w:val="2"/>
        </w:numPr>
        <w:pBdr>
          <w:top w:val="nil"/>
          <w:left w:val="nil"/>
          <w:bottom w:val="nil"/>
          <w:right w:val="nil"/>
          <w:between w:val="nil"/>
        </w:pBdr>
        <w:shd w:val="clear" w:color="auto" w:fill="FFFFFF"/>
        <w:spacing w:line="240" w:lineRule="auto"/>
        <w:ind w:left="0" w:hanging="2"/>
        <w:rPr>
          <w:b/>
          <w:smallCaps/>
          <w:color w:val="000000"/>
          <w:sz w:val="18"/>
          <w:szCs w:val="18"/>
        </w:rPr>
      </w:pPr>
      <w:r>
        <w:rPr>
          <w:b/>
          <w:smallCaps/>
          <w:color w:val="000000"/>
        </w:rPr>
        <w:t>INFORMÁCIE O EKONOMICKÝCH VZŤAHOCH ÚČTOVNEJ JEDNOTKY A SPRIAZNENÝCH OSÔB</w:t>
      </w:r>
    </w:p>
    <w:p w:rsidR="00675D42" w:rsidRDefault="00675D42">
      <w:pPr>
        <w:shd w:val="clear" w:color="auto" w:fill="FFFFFF"/>
        <w:ind w:left="0" w:hanging="2"/>
      </w:pPr>
    </w:p>
    <w:p w:rsidR="00675D42" w:rsidRDefault="00F81C08">
      <w:pPr>
        <w:pBdr>
          <w:top w:val="nil"/>
          <w:left w:val="nil"/>
          <w:bottom w:val="nil"/>
          <w:right w:val="nil"/>
          <w:between w:val="nil"/>
        </w:pBdr>
        <w:shd w:val="clear" w:color="auto" w:fill="FFFFFF"/>
        <w:spacing w:line="240" w:lineRule="auto"/>
        <w:ind w:left="0" w:hanging="2"/>
        <w:jc w:val="both"/>
        <w:rPr>
          <w:color w:val="000000"/>
        </w:rPr>
      </w:pPr>
      <w:r>
        <w:rPr>
          <w:color w:val="000000"/>
        </w:rPr>
        <w:t>Spoločnosť uskutočnila v priebehu účtovného obdobia so spriaznenými osobami tieto transakcie:</w:t>
      </w:r>
    </w:p>
    <w:p w:rsidR="00675D42" w:rsidRDefault="00675D42">
      <w:pPr>
        <w:pBdr>
          <w:top w:val="nil"/>
          <w:left w:val="nil"/>
          <w:bottom w:val="nil"/>
          <w:right w:val="nil"/>
          <w:between w:val="nil"/>
        </w:pBdr>
        <w:shd w:val="clear" w:color="auto" w:fill="FFFFFF"/>
        <w:spacing w:line="240" w:lineRule="auto"/>
        <w:ind w:left="0" w:hanging="2"/>
        <w:jc w:val="both"/>
        <w:rPr>
          <w:color w:val="000000"/>
        </w:rPr>
      </w:pPr>
    </w:p>
    <w:p w:rsidR="00675D42" w:rsidRDefault="00F81C08">
      <w:pPr>
        <w:pBdr>
          <w:top w:val="nil"/>
          <w:left w:val="nil"/>
          <w:bottom w:val="nil"/>
          <w:right w:val="nil"/>
          <w:between w:val="nil"/>
        </w:pBdr>
        <w:shd w:val="clear" w:color="auto" w:fill="FFFFFF"/>
        <w:spacing w:line="240" w:lineRule="auto"/>
        <w:ind w:left="0" w:hanging="2"/>
        <w:jc w:val="both"/>
        <w:rPr>
          <w:color w:val="000000"/>
        </w:rPr>
      </w:pPr>
      <w:r>
        <w:rPr>
          <w:color w:val="000000"/>
        </w:rPr>
        <w:t xml:space="preserve">-spoločnosť EKOPRIM </w:t>
      </w:r>
      <w:proofErr w:type="spellStart"/>
      <w:r>
        <w:rPr>
          <w:color w:val="000000"/>
        </w:rPr>
        <w:t>group</w:t>
      </w:r>
      <w:proofErr w:type="spellEnd"/>
      <w:r>
        <w:rPr>
          <w:color w:val="000000"/>
        </w:rPr>
        <w:t xml:space="preserve"> </w:t>
      </w:r>
      <w:proofErr w:type="spellStart"/>
      <w:r>
        <w:rPr>
          <w:color w:val="000000"/>
        </w:rPr>
        <w:t>s.r.o</w:t>
      </w:r>
      <w:proofErr w:type="spellEnd"/>
      <w:r>
        <w:rPr>
          <w:color w:val="000000"/>
        </w:rPr>
        <w:t xml:space="preserve">. poskytovala pre spoločnosť EKOPRIM istota stavby, </w:t>
      </w:r>
      <w:proofErr w:type="spellStart"/>
      <w:r>
        <w:rPr>
          <w:color w:val="000000"/>
        </w:rPr>
        <w:t>s.r.o.služby</w:t>
      </w:r>
      <w:proofErr w:type="spellEnd"/>
      <w:r>
        <w:rPr>
          <w:color w:val="000000"/>
        </w:rPr>
        <w:t xml:space="preserve"> vo forme prenájmu priestorov pre predajňu a skladové priestory za obvyklé ceny prenájmov v celkovej výške: </w:t>
      </w:r>
      <w:r w:rsidR="000E01BF">
        <w:rPr>
          <w:color w:val="000000"/>
        </w:rPr>
        <w:t>72.000</w:t>
      </w:r>
      <w:r>
        <w:rPr>
          <w:color w:val="000000"/>
        </w:rPr>
        <w:t>€ bez DPH za rok.</w:t>
      </w:r>
    </w:p>
    <w:p w:rsidR="00675D42" w:rsidRDefault="00675D42">
      <w:pPr>
        <w:pBdr>
          <w:top w:val="nil"/>
          <w:left w:val="nil"/>
          <w:bottom w:val="nil"/>
          <w:right w:val="nil"/>
          <w:between w:val="nil"/>
        </w:pBdr>
        <w:shd w:val="clear" w:color="auto" w:fill="FFFFFF"/>
        <w:spacing w:line="240" w:lineRule="auto"/>
        <w:ind w:left="0" w:hanging="2"/>
        <w:jc w:val="both"/>
        <w:rPr>
          <w:color w:val="000000"/>
        </w:rPr>
      </w:pPr>
    </w:p>
    <w:p w:rsidR="00675D42" w:rsidRDefault="00675D42">
      <w:pPr>
        <w:pBdr>
          <w:top w:val="nil"/>
          <w:left w:val="nil"/>
          <w:bottom w:val="nil"/>
          <w:right w:val="nil"/>
          <w:between w:val="nil"/>
        </w:pBdr>
        <w:shd w:val="clear" w:color="auto" w:fill="FFFFFF"/>
        <w:spacing w:line="240" w:lineRule="auto"/>
        <w:ind w:left="0" w:hanging="2"/>
        <w:jc w:val="both"/>
        <w:rPr>
          <w:color w:val="000000"/>
          <w:sz w:val="18"/>
          <w:szCs w:val="18"/>
        </w:rPr>
      </w:pPr>
    </w:p>
    <w:p w:rsidR="00675D42" w:rsidRDefault="00675D42">
      <w:pPr>
        <w:pBdr>
          <w:top w:val="nil"/>
          <w:left w:val="nil"/>
          <w:bottom w:val="nil"/>
          <w:right w:val="nil"/>
          <w:between w:val="nil"/>
        </w:pBdr>
        <w:shd w:val="clear" w:color="auto" w:fill="FFFFFF"/>
        <w:spacing w:line="240" w:lineRule="auto"/>
        <w:ind w:left="0" w:hanging="2"/>
        <w:jc w:val="both"/>
        <w:rPr>
          <w:color w:val="FF0000"/>
        </w:rPr>
      </w:pPr>
    </w:p>
    <w:p w:rsidR="00675D42" w:rsidRDefault="00F81C08">
      <w:pPr>
        <w:keepNext/>
        <w:numPr>
          <w:ilvl w:val="0"/>
          <w:numId w:val="2"/>
        </w:numPr>
        <w:pBdr>
          <w:top w:val="nil"/>
          <w:left w:val="nil"/>
          <w:bottom w:val="nil"/>
          <w:right w:val="nil"/>
          <w:between w:val="nil"/>
        </w:pBdr>
        <w:spacing w:line="240" w:lineRule="auto"/>
        <w:ind w:left="0" w:hanging="2"/>
        <w:rPr>
          <w:b/>
          <w:smallCaps/>
          <w:color w:val="000000"/>
        </w:rPr>
      </w:pPr>
      <w:r>
        <w:rPr>
          <w:b/>
          <w:smallCaps/>
          <w:color w:val="000000"/>
        </w:rPr>
        <w:t>INFORMÁCIE O SKUTOČNOSTIACH, KTORÉ NASTALI PO DNI, KU KTORÉMU SA ZOSTAVUJE ÚČTOVNÁ ZÁVIERKA, DO DŇA ZOSTAVENIA ÚČTOVNEJ ZÁVIERKY</w:t>
      </w: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pBdr>
          <w:top w:val="nil"/>
          <w:left w:val="nil"/>
          <w:bottom w:val="nil"/>
          <w:right w:val="nil"/>
          <w:between w:val="nil"/>
        </w:pBdr>
        <w:spacing w:line="240" w:lineRule="auto"/>
        <w:ind w:left="0" w:hanging="2"/>
        <w:jc w:val="both"/>
        <w:rPr>
          <w:color w:val="000000"/>
        </w:rPr>
      </w:pPr>
      <w:r>
        <w:rPr>
          <w:color w:val="000000"/>
        </w:rPr>
        <w:t xml:space="preserve">Zmena v súvislosti s popisom po  31. decembri 2021  bola v podobe pandémie COVID-19, ktorá výrazne zasiahla sociálne i ekonomické dianie na Slovensku, aj na celom </w:t>
      </w:r>
      <w:proofErr w:type="spellStart"/>
      <w:r>
        <w:rPr>
          <w:color w:val="000000"/>
        </w:rPr>
        <w:t>svete.V</w:t>
      </w:r>
      <w:proofErr w:type="spellEnd"/>
      <w:r>
        <w:rPr>
          <w:color w:val="000000"/>
        </w:rPr>
        <w:t xml:space="preserve"> tejto súvislosti sa zvýšili náklady firmy na dezinfekciu, čistenie priestorov predajne aj veľkoobchodu. Výpadok tržby v prípade povinného  zatvorenia prevádzky predstavoval pokles viac ako 40%  v porovnaní s predchádzajúcim obdobím minulého </w:t>
      </w:r>
      <w:proofErr w:type="spellStart"/>
      <w:r>
        <w:rPr>
          <w:color w:val="000000"/>
        </w:rPr>
        <w:t>roka.Iné</w:t>
      </w:r>
      <w:proofErr w:type="spellEnd"/>
      <w:r>
        <w:rPr>
          <w:color w:val="000000"/>
        </w:rPr>
        <w:t xml:space="preserve"> výrazné ťažkosti okrem obmedzeného zásobovania Spoločnosť nezaznamenala.  Iné skutočnosti, ktoré by mali významný vplyv na verné zobrazenie skutočností Spoločnosť neeviduje.</w:t>
      </w:r>
    </w:p>
    <w:p w:rsidR="00675D42" w:rsidRDefault="00675D42">
      <w:pPr>
        <w:pBdr>
          <w:top w:val="nil"/>
          <w:left w:val="nil"/>
          <w:bottom w:val="nil"/>
          <w:right w:val="nil"/>
          <w:between w:val="nil"/>
        </w:pBdr>
        <w:spacing w:line="240" w:lineRule="auto"/>
        <w:ind w:left="0" w:hanging="2"/>
        <w:jc w:val="both"/>
        <w:rPr>
          <w:color w:val="000000"/>
        </w:rPr>
      </w:pPr>
      <w:bookmarkStart w:id="19" w:name="_heading=h.3rdcrjn" w:colFirst="0" w:colLast="0"/>
      <w:bookmarkEnd w:id="19"/>
    </w:p>
    <w:p w:rsidR="00675D42" w:rsidRDefault="00675D42">
      <w:pPr>
        <w:keepNext/>
        <w:pBdr>
          <w:top w:val="nil"/>
          <w:left w:val="nil"/>
          <w:bottom w:val="nil"/>
          <w:right w:val="nil"/>
          <w:between w:val="nil"/>
        </w:pBdr>
        <w:spacing w:line="240" w:lineRule="auto"/>
        <w:ind w:left="0" w:hanging="2"/>
        <w:rPr>
          <w:b/>
          <w:smallCaps/>
          <w:color w:val="000000"/>
          <w:sz w:val="18"/>
          <w:szCs w:val="18"/>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675D42">
      <w:pPr>
        <w:pBdr>
          <w:top w:val="nil"/>
          <w:left w:val="nil"/>
          <w:bottom w:val="nil"/>
          <w:right w:val="nil"/>
          <w:between w:val="nil"/>
        </w:pBdr>
        <w:spacing w:line="240" w:lineRule="auto"/>
        <w:ind w:left="0" w:hanging="2"/>
        <w:jc w:val="both"/>
        <w:rPr>
          <w:color w:val="000000"/>
        </w:rPr>
      </w:pPr>
    </w:p>
    <w:p w:rsidR="00675D42" w:rsidRDefault="00F81C08">
      <w:pPr>
        <w:keepNext/>
        <w:pBdr>
          <w:top w:val="nil"/>
          <w:left w:val="nil"/>
          <w:bottom w:val="nil"/>
          <w:right w:val="nil"/>
          <w:between w:val="nil"/>
        </w:pBdr>
        <w:spacing w:line="240" w:lineRule="auto"/>
        <w:ind w:left="0" w:hanging="2"/>
        <w:rPr>
          <w:b/>
          <w:smallCaps/>
          <w:color w:val="000000"/>
          <w:sz w:val="18"/>
          <w:szCs w:val="18"/>
        </w:rPr>
      </w:pPr>
      <w:r>
        <w:rPr>
          <w:b/>
          <w:smallCaps/>
          <w:color w:val="000000"/>
        </w:rPr>
        <w:t>O. PREHĽAD PEŇAŽNÝCH PROSTRIEDKOV POUŽITÝCH VO FIRME DO 31.12.2021.</w:t>
      </w:r>
    </w:p>
    <w:p w:rsidR="00675D42" w:rsidRDefault="00675D42">
      <w:pPr>
        <w:ind w:left="0" w:hanging="2"/>
      </w:pPr>
    </w:p>
    <w:p w:rsidR="00675D42" w:rsidRDefault="00675D42">
      <w:pPr>
        <w:ind w:left="0" w:hanging="2"/>
      </w:pPr>
    </w:p>
    <w:p w:rsidR="00675D42" w:rsidRDefault="00F81C08">
      <w:pPr>
        <w:pBdr>
          <w:top w:val="nil"/>
          <w:left w:val="nil"/>
          <w:bottom w:val="nil"/>
          <w:right w:val="nil"/>
          <w:between w:val="nil"/>
        </w:pBdr>
        <w:spacing w:line="240" w:lineRule="auto"/>
        <w:ind w:left="0" w:hanging="2"/>
        <w:jc w:val="both"/>
        <w:rPr>
          <w:color w:val="000000"/>
          <w:highlight w:val="white"/>
        </w:rPr>
      </w:pPr>
      <w:r>
        <w:rPr>
          <w:b/>
          <w:color w:val="000000"/>
          <w:highlight w:val="white"/>
        </w:rPr>
        <w:t>Peňažné prostriedky</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bankovými účtami. </w:t>
      </w:r>
    </w:p>
    <w:p w:rsidR="00675D42" w:rsidRDefault="00F81C08">
      <w:pPr>
        <w:pBdr>
          <w:top w:val="nil"/>
          <w:left w:val="nil"/>
          <w:bottom w:val="nil"/>
          <w:right w:val="nil"/>
          <w:between w:val="nil"/>
        </w:pBdr>
        <w:spacing w:line="240" w:lineRule="auto"/>
        <w:ind w:left="0" w:hanging="2"/>
        <w:jc w:val="both"/>
        <w:rPr>
          <w:color w:val="000000"/>
          <w:highlight w:val="white"/>
        </w:rPr>
      </w:pPr>
      <w:r>
        <w:rPr>
          <w:color w:val="000000"/>
          <w:highlight w:val="white"/>
        </w:rPr>
        <w:t xml:space="preserve">Za peňažné prostriedky spoločnosť považovala stavy na účtoch 211- </w:t>
      </w:r>
      <w:r w:rsidR="00DF5AD9">
        <w:rPr>
          <w:color w:val="000000"/>
          <w:highlight w:val="white"/>
        </w:rPr>
        <w:t>5.972</w:t>
      </w:r>
      <w:r>
        <w:rPr>
          <w:color w:val="000000"/>
          <w:highlight w:val="white"/>
        </w:rPr>
        <w:t>€ - Pokladnica, 213</w:t>
      </w:r>
      <w:r w:rsidR="00DF5AD9">
        <w:rPr>
          <w:color w:val="000000"/>
          <w:highlight w:val="white"/>
        </w:rPr>
        <w:t>-1.891</w:t>
      </w:r>
      <w:r>
        <w:rPr>
          <w:color w:val="000000"/>
          <w:highlight w:val="white"/>
        </w:rPr>
        <w:t>€ -Ceniny, 261-0€ – Peniaze na ceste,  221 -</w:t>
      </w:r>
      <w:r w:rsidR="00DF5AD9">
        <w:rPr>
          <w:color w:val="000000"/>
          <w:highlight w:val="white"/>
        </w:rPr>
        <w:t>7.766</w:t>
      </w:r>
      <w:r>
        <w:rPr>
          <w:color w:val="000000"/>
          <w:highlight w:val="white"/>
        </w:rPr>
        <w:t>€ -Bankové účty.</w:t>
      </w:r>
    </w:p>
    <w:p w:rsidR="00675D42" w:rsidRDefault="00675D42">
      <w:pPr>
        <w:pBdr>
          <w:top w:val="nil"/>
          <w:left w:val="nil"/>
          <w:bottom w:val="nil"/>
          <w:right w:val="nil"/>
          <w:between w:val="nil"/>
        </w:pBdr>
        <w:spacing w:line="240" w:lineRule="auto"/>
        <w:ind w:left="0" w:hanging="2"/>
        <w:jc w:val="both"/>
        <w:rPr>
          <w:color w:val="000000"/>
          <w:highlight w:val="white"/>
        </w:rPr>
      </w:pPr>
    </w:p>
    <w:p w:rsidR="00675D42" w:rsidRDefault="00F81C08">
      <w:pPr>
        <w:pBdr>
          <w:top w:val="nil"/>
          <w:left w:val="nil"/>
          <w:bottom w:val="nil"/>
          <w:right w:val="nil"/>
          <w:between w:val="nil"/>
        </w:pBdr>
        <w:spacing w:line="240" w:lineRule="auto"/>
        <w:ind w:left="0" w:hanging="2"/>
        <w:jc w:val="both"/>
        <w:rPr>
          <w:color w:val="000000"/>
        </w:rPr>
      </w:pPr>
      <w:r>
        <w:rPr>
          <w:b/>
          <w:color w:val="000000"/>
          <w:highlight w:val="white"/>
        </w:rPr>
        <w:t>Peňažné ekvivalenty</w:t>
      </w:r>
    </w:p>
    <w:p w:rsidR="00675D42" w:rsidRDefault="00F81C08">
      <w:pPr>
        <w:pBdr>
          <w:top w:val="nil"/>
          <w:left w:val="nil"/>
          <w:bottom w:val="nil"/>
          <w:right w:val="nil"/>
          <w:between w:val="nil"/>
        </w:pBdr>
        <w:spacing w:line="240" w:lineRule="auto"/>
        <w:ind w:left="0" w:hanging="2"/>
        <w:jc w:val="both"/>
        <w:rPr>
          <w:b/>
          <w:i/>
          <w:color w:val="000000"/>
          <w:sz w:val="18"/>
          <w:szCs w:val="18"/>
        </w:rPr>
      </w:pPr>
      <w:r>
        <w:rPr>
          <w:color w:val="000000"/>
        </w:rPr>
        <w:t>Peňažné ekvivalenty spoločnosť k 1</w:t>
      </w:r>
      <w:r w:rsidR="00DF5AD9">
        <w:rPr>
          <w:color w:val="000000"/>
        </w:rPr>
        <w:t>.1.2022 ani k 31.12.2022</w:t>
      </w:r>
      <w:r>
        <w:rPr>
          <w:color w:val="000000"/>
        </w:rPr>
        <w:t xml:space="preserve"> nevlastnila. </w:t>
      </w:r>
    </w:p>
    <w:sectPr w:rsidR="00675D42" w:rsidSect="00C758A7">
      <w:headerReference w:type="even" r:id="rId22"/>
      <w:headerReference w:type="default" r:id="rId23"/>
      <w:footerReference w:type="even" r:id="rId24"/>
      <w:footerReference w:type="default" r:id="rId25"/>
      <w:headerReference w:type="first" r:id="rId26"/>
      <w:footerReference w:type="first" r:id="rId27"/>
      <w:pgSz w:w="11906" w:h="16838"/>
      <w:pgMar w:top="1979" w:right="1021" w:bottom="465" w:left="167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0CE0" w:rsidRDefault="00020CE0">
      <w:pPr>
        <w:spacing w:line="240" w:lineRule="auto"/>
        <w:ind w:left="0" w:hanging="2"/>
      </w:pPr>
      <w:r>
        <w:separator/>
      </w:r>
    </w:p>
  </w:endnote>
  <w:endnote w:type="continuationSeparator" w:id="0">
    <w:p w:rsidR="00020CE0" w:rsidRDefault="00020CE0">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Geneva">
    <w:panose1 w:val="00000000000000000000"/>
    <w:charset w:val="00"/>
    <w:family w:val="roman"/>
    <w:notTrueType/>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roman"/>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21E" w:rsidRDefault="0012221E">
    <w:pPr>
      <w:pStyle w:val="Pt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F81C08">
    <w:pPr>
      <w:pBdr>
        <w:top w:val="nil"/>
        <w:left w:val="nil"/>
        <w:bottom w:val="nil"/>
        <w:right w:val="nil"/>
        <w:between w:val="nil"/>
      </w:pBdr>
      <w:tabs>
        <w:tab w:val="center" w:pos="4153"/>
        <w:tab w:val="right" w:pos="8306"/>
        <w:tab w:val="center" w:pos="4593"/>
        <w:tab w:val="right" w:pos="9214"/>
      </w:tabs>
      <w:spacing w:line="240" w:lineRule="auto"/>
      <w:ind w:left="0" w:hanging="2"/>
      <w:rPr>
        <w:color w:val="000000"/>
      </w:rPr>
    </w:pPr>
    <w:r>
      <w:rPr>
        <w:color w:val="000000"/>
      </w:rPr>
      <w:tab/>
      <w:t xml:space="preserve">- </w:t>
    </w:r>
    <w:r>
      <w:rPr>
        <w:color w:val="000000"/>
      </w:rPr>
      <w:fldChar w:fldCharType="begin"/>
    </w:r>
    <w:r>
      <w:rPr>
        <w:color w:val="000000"/>
      </w:rPr>
      <w:instrText>PAGE</w:instrText>
    </w:r>
    <w:r>
      <w:rPr>
        <w:color w:val="000000"/>
      </w:rPr>
      <w:fldChar w:fldCharType="separate"/>
    </w:r>
    <w:r w:rsidR="00975465">
      <w:rPr>
        <w:noProof/>
        <w:color w:val="000000"/>
      </w:rPr>
      <w:t>9</w:t>
    </w:r>
    <w:r>
      <w:rPr>
        <w:color w:val="000000"/>
      </w:rPr>
      <w:fldChar w:fldCharType="end"/>
    </w:r>
    <w:r>
      <w:rPr>
        <w:color w:val="000000"/>
      </w:rPr>
      <w:t xml:space="preserve"> -</w:t>
    </w:r>
  </w:p>
  <w:p w:rsidR="00675D42" w:rsidRDefault="00F81C08">
    <w:pPr>
      <w:pBdr>
        <w:top w:val="nil"/>
        <w:left w:val="nil"/>
        <w:bottom w:val="nil"/>
        <w:right w:val="nil"/>
        <w:between w:val="nil"/>
      </w:pBdr>
      <w:tabs>
        <w:tab w:val="center" w:pos="4153"/>
        <w:tab w:val="right" w:pos="8306"/>
        <w:tab w:val="center" w:pos="4593"/>
        <w:tab w:val="right" w:pos="9214"/>
      </w:tabs>
      <w:spacing w:line="240" w:lineRule="auto"/>
      <w:ind w:left="0" w:hanging="2"/>
      <w:rPr>
        <w:color w:val="000000"/>
      </w:rPr>
    </w:pPr>
    <w:r>
      <w:rPr>
        <w:color w:val="000000"/>
      </w:rPr>
      <w:tab/>
    </w:r>
    <w:r>
      <w:rPr>
        <w:color w:val="000000"/>
      </w:rPr>
      <w:tab/>
    </w:r>
  </w:p>
  <w:p w:rsidR="00675D42" w:rsidRDefault="00F81C08">
    <w:pPr>
      <w:pBdr>
        <w:top w:val="nil"/>
        <w:left w:val="nil"/>
        <w:bottom w:val="nil"/>
        <w:right w:val="nil"/>
        <w:between w:val="nil"/>
      </w:pBdr>
      <w:tabs>
        <w:tab w:val="center" w:pos="4153"/>
        <w:tab w:val="right" w:pos="8306"/>
      </w:tabs>
      <w:spacing w:line="240" w:lineRule="auto"/>
      <w:ind w:left="0" w:right="360" w:hanging="2"/>
      <w:rPr>
        <w:color w:val="000000"/>
      </w:rPr>
    </w:pPr>
    <w:r>
      <w:rPr>
        <w:color w:val="000000"/>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675D42">
    <w:pPr>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0CE0" w:rsidRDefault="00020CE0">
      <w:pPr>
        <w:spacing w:line="240" w:lineRule="auto"/>
        <w:ind w:left="0" w:hanging="2"/>
      </w:pPr>
      <w:r>
        <w:separator/>
      </w:r>
    </w:p>
  </w:footnote>
  <w:footnote w:type="continuationSeparator" w:id="0">
    <w:p w:rsidR="00020CE0" w:rsidRDefault="00020CE0">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21E" w:rsidRDefault="0012221E">
    <w:pPr>
      <w:pStyle w:val="Hlavika"/>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F81C08">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r>
      <w:rPr>
        <w:b/>
        <w:i/>
      </w:rPr>
      <w:t xml:space="preserve">EKOPRIM istota stavby, </w:t>
    </w:r>
    <w:proofErr w:type="spellStart"/>
    <w:r>
      <w:rPr>
        <w:b/>
        <w:i/>
      </w:rPr>
      <w:t>s.r.o</w:t>
    </w:r>
    <w:proofErr w:type="spellEnd"/>
    <w:r>
      <w:rPr>
        <w:b/>
        <w:i/>
      </w:rPr>
      <w:t>.</w:t>
    </w:r>
    <w:r>
      <w:rPr>
        <w:b/>
        <w:i/>
        <w:color w:val="000000"/>
      </w:rPr>
      <w:t xml:space="preserve">                            </w:t>
    </w:r>
    <w:r>
      <w:rPr>
        <w:i/>
        <w:color w:val="000000"/>
        <w:sz w:val="18"/>
        <w:szCs w:val="18"/>
      </w:rPr>
      <w:t xml:space="preserve">                                  Účto</w:t>
    </w:r>
    <w:r w:rsidR="0012221E">
      <w:rPr>
        <w:i/>
        <w:color w:val="000000"/>
        <w:sz w:val="18"/>
        <w:szCs w:val="18"/>
      </w:rPr>
      <w:t>vná závierka k 31. decembru 2022</w:t>
    </w:r>
  </w:p>
  <w:p w:rsidR="00675D42" w:rsidRDefault="00675D42">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p>
  <w:p w:rsidR="00675D42" w:rsidRDefault="00675D42">
    <w:pPr>
      <w:pBdr>
        <w:top w:val="nil"/>
        <w:left w:val="nil"/>
        <w:bottom w:val="nil"/>
        <w:right w:val="nil"/>
        <w:between w:val="nil"/>
      </w:pBdr>
      <w:tabs>
        <w:tab w:val="center" w:pos="4153"/>
        <w:tab w:val="right" w:pos="8306"/>
        <w:tab w:val="right" w:pos="9214"/>
      </w:tabs>
      <w:spacing w:line="240" w:lineRule="auto"/>
      <w:ind w:left="0" w:right="-1" w:hanging="2"/>
      <w:rPr>
        <w:i/>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D42" w:rsidRDefault="00675D42">
    <w:pPr>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F1252"/>
    <w:multiLevelType w:val="multilevel"/>
    <w:tmpl w:val="030E6820"/>
    <w:lvl w:ilvl="0">
      <w:start w:val="1"/>
      <w:numFmt w:val="decimal"/>
      <w:pStyle w:val="Nadpis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1D62789C"/>
    <w:multiLevelType w:val="multilevel"/>
    <w:tmpl w:val="9C3630E8"/>
    <w:lvl w:ilvl="0">
      <w:start w:val="1"/>
      <w:numFmt w:val="decimal"/>
      <w:pStyle w:val="Pismenka"/>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2" w15:restartNumberingAfterBreak="0">
    <w:nsid w:val="56815E4E"/>
    <w:multiLevelType w:val="multilevel"/>
    <w:tmpl w:val="30544EE4"/>
    <w:lvl w:ilvl="0">
      <w:start w:val="1"/>
      <w:numFmt w:val="decimal"/>
      <w:lvlText w:val="%1."/>
      <w:lvlJc w:val="left"/>
      <w:pPr>
        <w:ind w:left="360" w:hanging="360"/>
      </w:pPr>
      <w:rPr>
        <w:vertAlign w:val="baseline"/>
      </w:rPr>
    </w:lvl>
    <w:lvl w:ilvl="1">
      <w:start w:val="1"/>
      <w:numFmt w:val="decimal"/>
      <w:lvlText w:val="%2."/>
      <w:lvlJc w:val="left"/>
      <w:pPr>
        <w:ind w:left="1080" w:hanging="360"/>
      </w:pPr>
      <w:rPr>
        <w:b w:val="0"/>
        <w:sz w:val="20"/>
        <w:szCs w:val="20"/>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3" w15:restartNumberingAfterBreak="0">
    <w:nsid w:val="61221E9F"/>
    <w:multiLevelType w:val="multilevel"/>
    <w:tmpl w:val="CB26241C"/>
    <w:lvl w:ilvl="0">
      <w:start w:val="1"/>
      <w:numFmt w:val="decimal"/>
      <w:lvlText w:val="%1."/>
      <w:lvlJc w:val="left"/>
      <w:pPr>
        <w:ind w:left="360" w:hanging="360"/>
      </w:pPr>
      <w:rPr>
        <w:vertAlign w:val="baseline"/>
      </w:rPr>
    </w:lvl>
    <w:lvl w:ilvl="1">
      <w:start w:val="1"/>
      <w:numFmt w:val="decimal"/>
      <w:lvlText w:val="%2."/>
      <w:lvlJc w:val="left"/>
      <w:pPr>
        <w:ind w:left="1080" w:hanging="360"/>
      </w:pPr>
      <w:rPr>
        <w:sz w:val="20"/>
        <w:szCs w:val="20"/>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4" w15:restartNumberingAfterBreak="0">
    <w:nsid w:val="61A13A52"/>
    <w:multiLevelType w:val="multilevel"/>
    <w:tmpl w:val="57EA18BA"/>
    <w:lvl w:ilvl="0">
      <w:start w:val="1"/>
      <w:numFmt w:val="decimal"/>
      <w:pStyle w:val="Nadpis1"/>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decimal"/>
      <w:lvlText w:val="%3."/>
      <w:lvlJc w:val="left"/>
      <w:pPr>
        <w:ind w:left="1440" w:hanging="360"/>
      </w:pPr>
      <w:rPr>
        <w:vertAlign w:val="baseline"/>
      </w:rPr>
    </w:lvl>
    <w:lvl w:ilvl="3">
      <w:start w:val="1"/>
      <w:numFmt w:val="decimal"/>
      <w:lvlText w:val="%4."/>
      <w:lvlJc w:val="left"/>
      <w:pPr>
        <w:ind w:left="1800" w:hanging="360"/>
      </w:pPr>
      <w:rPr>
        <w:vertAlign w:val="baseline"/>
      </w:rPr>
    </w:lvl>
    <w:lvl w:ilvl="4">
      <w:start w:val="1"/>
      <w:numFmt w:val="decimal"/>
      <w:lvlText w:val="%5."/>
      <w:lvlJc w:val="left"/>
      <w:pPr>
        <w:ind w:left="2160" w:hanging="360"/>
      </w:pPr>
      <w:rPr>
        <w:vertAlign w:val="baseline"/>
      </w:rPr>
    </w:lvl>
    <w:lvl w:ilvl="5">
      <w:start w:val="1"/>
      <w:numFmt w:val="decimal"/>
      <w:lvlText w:val="%6."/>
      <w:lvlJc w:val="left"/>
      <w:pPr>
        <w:ind w:left="2520" w:hanging="360"/>
      </w:pPr>
      <w:rPr>
        <w:vertAlign w:val="baseline"/>
      </w:rPr>
    </w:lvl>
    <w:lvl w:ilvl="6">
      <w:start w:val="1"/>
      <w:numFmt w:val="decimal"/>
      <w:lvlText w:val="%7."/>
      <w:lvlJc w:val="left"/>
      <w:pPr>
        <w:ind w:left="2880" w:hanging="360"/>
      </w:pPr>
      <w:rPr>
        <w:vertAlign w:val="baseline"/>
      </w:rPr>
    </w:lvl>
    <w:lvl w:ilvl="7">
      <w:start w:val="1"/>
      <w:numFmt w:val="decimal"/>
      <w:lvlText w:val="%8."/>
      <w:lvlJc w:val="left"/>
      <w:pPr>
        <w:ind w:left="3240" w:hanging="360"/>
      </w:pPr>
      <w:rPr>
        <w:vertAlign w:val="baseline"/>
      </w:rPr>
    </w:lvl>
    <w:lvl w:ilvl="8">
      <w:start w:val="1"/>
      <w:numFmt w:val="decimal"/>
      <w:lvlText w:val="%9."/>
      <w:lvlJc w:val="left"/>
      <w:pPr>
        <w:ind w:left="3600" w:hanging="360"/>
      </w:pPr>
      <w:rPr>
        <w:vertAlign w:val="baseline"/>
      </w:rPr>
    </w:lvl>
  </w:abstractNum>
  <w:abstractNum w:abstractNumId="5" w15:restartNumberingAfterBreak="0">
    <w:nsid w:val="6D8B2A37"/>
    <w:multiLevelType w:val="multilevel"/>
    <w:tmpl w:val="9148F6B4"/>
    <w:lvl w:ilvl="0">
      <w:start w:val="1"/>
      <w:numFmt w:val="lowerLetter"/>
      <w:lvlText w:val="%1)"/>
      <w:lvlJc w:val="left"/>
      <w:pPr>
        <w:ind w:left="1192"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7CE12229"/>
    <w:multiLevelType w:val="multilevel"/>
    <w:tmpl w:val="70B652DC"/>
    <w:lvl w:ilvl="0">
      <w:start w:val="1"/>
      <w:numFmt w:val="upperLetter"/>
      <w:lvlText w:val="%1."/>
      <w:lvlJc w:val="left"/>
      <w:pPr>
        <w:ind w:left="360" w:hanging="360"/>
      </w:pPr>
      <w:rPr>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7FDE491E"/>
    <w:multiLevelType w:val="multilevel"/>
    <w:tmpl w:val="9B221062"/>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2"/>
  </w:num>
  <w:num w:numId="2">
    <w:abstractNumId w:val="6"/>
  </w:num>
  <w:num w:numId="3">
    <w:abstractNumId w:val="1"/>
  </w:num>
  <w:num w:numId="4">
    <w:abstractNumId w:val="3"/>
  </w:num>
  <w:num w:numId="5">
    <w:abstractNumId w:val="4"/>
  </w:num>
  <w:num w:numId="6">
    <w:abstractNumId w:val="5"/>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D42"/>
    <w:rsid w:val="00020CE0"/>
    <w:rsid w:val="00034F36"/>
    <w:rsid w:val="000413AD"/>
    <w:rsid w:val="00062101"/>
    <w:rsid w:val="000D0080"/>
    <w:rsid w:val="000E01BF"/>
    <w:rsid w:val="000F2762"/>
    <w:rsid w:val="0012221E"/>
    <w:rsid w:val="002046A5"/>
    <w:rsid w:val="002B0173"/>
    <w:rsid w:val="004B1ECF"/>
    <w:rsid w:val="00504E88"/>
    <w:rsid w:val="0051482D"/>
    <w:rsid w:val="005A2F14"/>
    <w:rsid w:val="00664E55"/>
    <w:rsid w:val="00675D42"/>
    <w:rsid w:val="006A379E"/>
    <w:rsid w:val="007251DE"/>
    <w:rsid w:val="00790C6E"/>
    <w:rsid w:val="007D49D6"/>
    <w:rsid w:val="00840A1C"/>
    <w:rsid w:val="008955B3"/>
    <w:rsid w:val="0092083E"/>
    <w:rsid w:val="00975465"/>
    <w:rsid w:val="009A47EB"/>
    <w:rsid w:val="00A3079B"/>
    <w:rsid w:val="00A953D8"/>
    <w:rsid w:val="00B0439C"/>
    <w:rsid w:val="00B06B4C"/>
    <w:rsid w:val="00B144B6"/>
    <w:rsid w:val="00B32B14"/>
    <w:rsid w:val="00C32743"/>
    <w:rsid w:val="00C6468C"/>
    <w:rsid w:val="00C758A7"/>
    <w:rsid w:val="00CE2C70"/>
    <w:rsid w:val="00D03522"/>
    <w:rsid w:val="00DD0C1F"/>
    <w:rsid w:val="00DF5AD9"/>
    <w:rsid w:val="00E7366E"/>
    <w:rsid w:val="00E87ADC"/>
    <w:rsid w:val="00E90CB0"/>
    <w:rsid w:val="00EC37E2"/>
    <w:rsid w:val="00F213D7"/>
    <w:rsid w:val="00F81C08"/>
    <w:rsid w:val="00FF2EF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7782DA74"/>
  <w15:docId w15:val="{2759560E-B357-457C-B0CE-C04AED096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pacing w:line="1" w:lineRule="atLeast"/>
      <w:ind w:leftChars="-1" w:left="-1" w:hangingChars="1" w:hanging="1"/>
      <w:textDirection w:val="btLr"/>
      <w:textAlignment w:val="top"/>
      <w:outlineLvl w:val="0"/>
    </w:pPr>
    <w:rPr>
      <w:position w:val="-1"/>
      <w:lang w:eastAsia="zh-CN"/>
    </w:rPr>
  </w:style>
  <w:style w:type="paragraph" w:styleId="Nadpis1">
    <w:name w:val="heading 1"/>
    <w:basedOn w:val="Normlny"/>
    <w:next w:val="Normlny"/>
    <w:pPr>
      <w:keepNext/>
      <w:numPr>
        <w:numId w:val="5"/>
      </w:numPr>
      <w:ind w:left="-1" w:hanging="1"/>
    </w:pPr>
    <w:rPr>
      <w:b/>
      <w:caps/>
      <w:sz w:val="18"/>
    </w:rPr>
  </w:style>
  <w:style w:type="paragraph" w:styleId="Nadpis2">
    <w:name w:val="heading 2"/>
    <w:basedOn w:val="Normlny"/>
    <w:next w:val="Normlny"/>
    <w:pPr>
      <w:keepNext/>
      <w:numPr>
        <w:numId w:val="8"/>
      </w:numPr>
      <w:ind w:left="-1" w:hanging="1"/>
      <w:outlineLvl w:val="1"/>
    </w:pPr>
    <w:rPr>
      <w:b/>
      <w:sz w:val="18"/>
    </w:rPr>
  </w:style>
  <w:style w:type="paragraph" w:styleId="Nadpis3">
    <w:name w:val="heading 3"/>
    <w:basedOn w:val="Normlny"/>
    <w:next w:val="Normlny"/>
    <w:pPr>
      <w:keepNext/>
      <w:outlineLvl w:val="2"/>
    </w:pPr>
    <w:rPr>
      <w:rFonts w:ascii="Geneva" w:hAnsi="Geneva" w:cs="Geneva"/>
      <w:b/>
      <w:i/>
      <w:color w:val="000000"/>
      <w:sz w:val="16"/>
      <w:lang w:val="en-GB"/>
    </w:rPr>
  </w:style>
  <w:style w:type="paragraph" w:styleId="Nadpis4">
    <w:name w:val="heading 4"/>
    <w:basedOn w:val="Normlny"/>
    <w:next w:val="Normlny"/>
    <w:pPr>
      <w:keepNext/>
      <w:outlineLvl w:val="3"/>
    </w:pPr>
    <w:rPr>
      <w:b/>
    </w:rPr>
  </w:style>
  <w:style w:type="paragraph" w:styleId="Nadpis5">
    <w:name w:val="heading 5"/>
    <w:basedOn w:val="Normlny"/>
    <w:next w:val="Normlny"/>
    <w:pPr>
      <w:keepNext/>
      <w:outlineLvl w:val="4"/>
    </w:pPr>
    <w:rPr>
      <w:b/>
      <w:sz w:val="28"/>
    </w:rPr>
  </w:style>
  <w:style w:type="paragraph" w:styleId="Nadpis6">
    <w:name w:val="heading 6"/>
    <w:basedOn w:val="Normlny"/>
    <w:next w:val="Normlny"/>
    <w:pPr>
      <w:keepNext/>
      <w:outlineLvl w:val="5"/>
    </w:pPr>
    <w:rPr>
      <w:b/>
      <w:caps/>
      <w:sz w:val="32"/>
    </w:rPr>
  </w:style>
  <w:style w:type="paragraph" w:styleId="Nadpis7">
    <w:name w:val="heading 7"/>
    <w:basedOn w:val="Normlny"/>
    <w:next w:val="Normlny"/>
    <w:pPr>
      <w:keepNext/>
      <w:jc w:val="center"/>
      <w:outlineLvl w:val="6"/>
    </w:pPr>
    <w:rPr>
      <w:b/>
      <w:sz w:val="52"/>
    </w:rPr>
  </w:style>
  <w:style w:type="paragraph" w:styleId="Nadpis8">
    <w:name w:val="heading 8"/>
    <w:basedOn w:val="Normlny"/>
    <w:next w:val="Normlny"/>
    <w:pPr>
      <w:keepNext/>
      <w:jc w:val="center"/>
      <w:outlineLvl w:val="7"/>
    </w:pPr>
    <w:rPr>
      <w:rFonts w:ascii="Geneva" w:hAnsi="Geneva" w:cs="Geneva"/>
      <w:color w:val="000000"/>
      <w:sz w:val="14"/>
      <w:u w:val="single"/>
    </w:rPr>
  </w:style>
  <w:style w:type="paragraph" w:styleId="Nadpis9">
    <w:name w:val="heading 9"/>
    <w:basedOn w:val="Normlny"/>
    <w:next w:val="Normlny"/>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character" w:customStyle="1" w:styleId="WW8Num1z0">
    <w:name w:val="WW8Num1z0"/>
    <w:rPr>
      <w:w w:val="100"/>
      <w:position w:val="-1"/>
      <w:sz w:val="20"/>
      <w:effect w:val="none"/>
      <w:vertAlign w:val="baseline"/>
      <w:cs w:val="0"/>
      <w:em w:val="none"/>
    </w:rPr>
  </w:style>
  <w:style w:type="character" w:customStyle="1" w:styleId="WW8Num2z0">
    <w:name w:val="WW8Num2z0"/>
    <w:rPr>
      <w:w w:val="100"/>
      <w:position w:val="-1"/>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4z0">
    <w:name w:val="WW8Num4z0"/>
    <w:rPr>
      <w:w w:val="100"/>
      <w:position w:val="-1"/>
      <w:effect w:val="none"/>
      <w:vertAlign w:val="baseline"/>
      <w:cs w:val="0"/>
      <w:em w:val="none"/>
    </w:rPr>
  </w:style>
  <w:style w:type="character" w:customStyle="1" w:styleId="WW8Num4z1">
    <w:name w:val="WW8Num4z1"/>
    <w:rPr>
      <w:b w:val="0"/>
      <w:w w:val="100"/>
      <w:position w:val="-1"/>
      <w:sz w:val="20"/>
      <w:effect w:val="none"/>
      <w:vertAlign w:val="baseline"/>
      <w:cs w:val="0"/>
      <w:em w:val="none"/>
    </w:rPr>
  </w:style>
  <w:style w:type="character" w:customStyle="1" w:styleId="WW8Num4z2">
    <w:name w:val="WW8Num4z2"/>
    <w:rPr>
      <w:w w:val="100"/>
      <w:position w:val="-1"/>
      <w:effect w:val="none"/>
      <w:vertAlign w:val="baseline"/>
      <w:cs w:val="0"/>
      <w:em w:val="none"/>
    </w:rPr>
  </w:style>
  <w:style w:type="character" w:customStyle="1" w:styleId="WW8Num4z3">
    <w:name w:val="WW8Num4z3"/>
    <w:rPr>
      <w:w w:val="100"/>
      <w:position w:val="-1"/>
      <w:effect w:val="none"/>
      <w:vertAlign w:val="baseline"/>
      <w:cs w:val="0"/>
      <w:em w:val="none"/>
    </w:rPr>
  </w:style>
  <w:style w:type="character" w:customStyle="1" w:styleId="WW8Num4z4">
    <w:name w:val="WW8Num4z4"/>
    <w:rPr>
      <w:w w:val="100"/>
      <w:position w:val="-1"/>
      <w:effect w:val="none"/>
      <w:vertAlign w:val="baseline"/>
      <w:cs w:val="0"/>
      <w:em w:val="none"/>
    </w:rPr>
  </w:style>
  <w:style w:type="character" w:customStyle="1" w:styleId="WW8Num4z5">
    <w:name w:val="WW8Num4z5"/>
    <w:rPr>
      <w:w w:val="100"/>
      <w:position w:val="-1"/>
      <w:effect w:val="none"/>
      <w:vertAlign w:val="baseline"/>
      <w:cs w:val="0"/>
      <w:em w:val="none"/>
    </w:rPr>
  </w:style>
  <w:style w:type="character" w:customStyle="1" w:styleId="WW8Num4z6">
    <w:name w:val="WW8Num4z6"/>
    <w:rPr>
      <w:w w:val="100"/>
      <w:position w:val="-1"/>
      <w:effect w:val="none"/>
      <w:vertAlign w:val="baseline"/>
      <w:cs w:val="0"/>
      <w:em w:val="none"/>
    </w:rPr>
  </w:style>
  <w:style w:type="character" w:customStyle="1" w:styleId="WW8Num4z7">
    <w:name w:val="WW8Num4z7"/>
    <w:rPr>
      <w:w w:val="100"/>
      <w:position w:val="-1"/>
      <w:effect w:val="none"/>
      <w:vertAlign w:val="baseline"/>
      <w:cs w:val="0"/>
      <w:em w:val="none"/>
    </w:rPr>
  </w:style>
  <w:style w:type="character" w:customStyle="1" w:styleId="WW8Num4z8">
    <w:name w:val="WW8Num4z8"/>
    <w:rPr>
      <w:w w:val="100"/>
      <w:position w:val="-1"/>
      <w:effect w:val="none"/>
      <w:vertAlign w:val="baseline"/>
      <w:cs w:val="0"/>
      <w:em w:val="none"/>
    </w:rPr>
  </w:style>
  <w:style w:type="character" w:customStyle="1" w:styleId="WW8Num5z0">
    <w:name w:val="WW8Num5z0"/>
    <w:rPr>
      <w:w w:val="100"/>
      <w:position w:val="-1"/>
      <w:sz w:val="20"/>
      <w:effect w:val="none"/>
      <w:vertAlign w:val="baseline"/>
      <w:cs w:val="0"/>
      <w:em w:val="none"/>
    </w:rPr>
  </w:style>
  <w:style w:type="character" w:customStyle="1" w:styleId="WW8Num6z0">
    <w:name w:val="WW8Num6z0"/>
    <w:rPr>
      <w:w w:val="100"/>
      <w:position w:val="-1"/>
      <w:sz w:val="20"/>
      <w:effect w:val="none"/>
      <w:vertAlign w:val="baseline"/>
      <w:cs w:val="0"/>
      <w:em w:val="none"/>
    </w:rPr>
  </w:style>
  <w:style w:type="character" w:customStyle="1" w:styleId="WW8Num7z0">
    <w:name w:val="WW8Num7z0"/>
    <w:rPr>
      <w:w w:val="100"/>
      <w:position w:val="-1"/>
      <w:effect w:val="none"/>
      <w:vertAlign w:val="baseline"/>
      <w:cs w:val="0"/>
      <w:em w:val="none"/>
    </w:rPr>
  </w:style>
  <w:style w:type="character" w:customStyle="1" w:styleId="WW8Num7z1">
    <w:name w:val="WW8Num7z1"/>
    <w:rPr>
      <w:w w:val="100"/>
      <w:position w:val="-1"/>
      <w:effect w:val="none"/>
      <w:vertAlign w:val="baseline"/>
      <w:cs w:val="0"/>
      <w:em w:val="none"/>
    </w:rPr>
  </w:style>
  <w:style w:type="character" w:customStyle="1" w:styleId="WW8Num7z2">
    <w:name w:val="WW8Num7z2"/>
    <w:rPr>
      <w:w w:val="100"/>
      <w:position w:val="-1"/>
      <w:effect w:val="none"/>
      <w:vertAlign w:val="baseline"/>
      <w:cs w:val="0"/>
      <w:em w:val="none"/>
    </w:rPr>
  </w:style>
  <w:style w:type="character" w:customStyle="1" w:styleId="WW8Num7z3">
    <w:name w:val="WW8Num7z3"/>
    <w:rPr>
      <w:w w:val="100"/>
      <w:position w:val="-1"/>
      <w:effect w:val="none"/>
      <w:vertAlign w:val="baseline"/>
      <w:cs w:val="0"/>
      <w:em w:val="none"/>
    </w:rPr>
  </w:style>
  <w:style w:type="character" w:customStyle="1" w:styleId="WW8Num7z4">
    <w:name w:val="WW8Num7z4"/>
    <w:rPr>
      <w:w w:val="100"/>
      <w:position w:val="-1"/>
      <w:effect w:val="none"/>
      <w:vertAlign w:val="baseline"/>
      <w:cs w:val="0"/>
      <w:em w:val="none"/>
    </w:rPr>
  </w:style>
  <w:style w:type="character" w:customStyle="1" w:styleId="WW8Num7z5">
    <w:name w:val="WW8Num7z5"/>
    <w:rPr>
      <w:w w:val="100"/>
      <w:position w:val="-1"/>
      <w:effect w:val="none"/>
      <w:vertAlign w:val="baseline"/>
      <w:cs w:val="0"/>
      <w:em w:val="none"/>
    </w:rPr>
  </w:style>
  <w:style w:type="character" w:customStyle="1" w:styleId="WW8Num7z6">
    <w:name w:val="WW8Num7z6"/>
    <w:rPr>
      <w:w w:val="100"/>
      <w:position w:val="-1"/>
      <w:effect w:val="none"/>
      <w:vertAlign w:val="baseline"/>
      <w:cs w:val="0"/>
      <w:em w:val="none"/>
    </w:rPr>
  </w:style>
  <w:style w:type="character" w:customStyle="1" w:styleId="WW8Num7z7">
    <w:name w:val="WW8Num7z7"/>
    <w:rPr>
      <w:w w:val="100"/>
      <w:position w:val="-1"/>
      <w:effect w:val="none"/>
      <w:vertAlign w:val="baseline"/>
      <w:cs w:val="0"/>
      <w:em w:val="none"/>
    </w:rPr>
  </w:style>
  <w:style w:type="character" w:customStyle="1" w:styleId="WW8Num7z8">
    <w:name w:val="WW8Num7z8"/>
    <w:rPr>
      <w:w w:val="100"/>
      <w:position w:val="-1"/>
      <w:effect w:val="none"/>
      <w:vertAlign w:val="baseline"/>
      <w:cs w:val="0"/>
      <w:em w:val="none"/>
    </w:rPr>
  </w:style>
  <w:style w:type="character" w:customStyle="1" w:styleId="WW8Num8z0">
    <w:name w:val="WW8Num8z0"/>
    <w:rPr>
      <w:w w:val="100"/>
      <w:position w:val="-1"/>
      <w:effect w:val="none"/>
      <w:vertAlign w:val="baseline"/>
      <w:cs w:val="0"/>
      <w:em w:val="none"/>
    </w:rPr>
  </w:style>
  <w:style w:type="character" w:customStyle="1" w:styleId="WW8Num8z1">
    <w:name w:val="WW8Num8z1"/>
    <w:rPr>
      <w:w w:val="100"/>
      <w:position w:val="-1"/>
      <w:sz w:val="20"/>
      <w:effect w:val="none"/>
      <w:vertAlign w:val="baseline"/>
      <w:cs w:val="0"/>
      <w:em w:val="none"/>
    </w:rPr>
  </w:style>
  <w:style w:type="character" w:customStyle="1" w:styleId="WW8Num8z2">
    <w:name w:val="WW8Num8z2"/>
    <w:rPr>
      <w:w w:val="100"/>
      <w:position w:val="-1"/>
      <w:effect w:val="none"/>
      <w:vertAlign w:val="baseline"/>
      <w:cs w:val="0"/>
      <w:em w:val="none"/>
    </w:rPr>
  </w:style>
  <w:style w:type="character" w:customStyle="1" w:styleId="WW8Num8z3">
    <w:name w:val="WW8Num8z3"/>
    <w:rPr>
      <w:w w:val="100"/>
      <w:position w:val="-1"/>
      <w:effect w:val="none"/>
      <w:vertAlign w:val="baseline"/>
      <w:cs w:val="0"/>
      <w:em w:val="none"/>
    </w:rPr>
  </w:style>
  <w:style w:type="character" w:customStyle="1" w:styleId="WW8Num8z4">
    <w:name w:val="WW8Num8z4"/>
    <w:rPr>
      <w:w w:val="100"/>
      <w:position w:val="-1"/>
      <w:effect w:val="none"/>
      <w:vertAlign w:val="baseline"/>
      <w:cs w:val="0"/>
      <w:em w:val="none"/>
    </w:rPr>
  </w:style>
  <w:style w:type="character" w:customStyle="1" w:styleId="WW8Num8z5">
    <w:name w:val="WW8Num8z5"/>
    <w:rPr>
      <w:w w:val="100"/>
      <w:position w:val="-1"/>
      <w:effect w:val="none"/>
      <w:vertAlign w:val="baseline"/>
      <w:cs w:val="0"/>
      <w:em w:val="none"/>
    </w:rPr>
  </w:style>
  <w:style w:type="character" w:customStyle="1" w:styleId="WW8Num8z6">
    <w:name w:val="WW8Num8z6"/>
    <w:rPr>
      <w:w w:val="100"/>
      <w:position w:val="-1"/>
      <w:effect w:val="none"/>
      <w:vertAlign w:val="baseline"/>
      <w:cs w:val="0"/>
      <w:em w:val="none"/>
    </w:rPr>
  </w:style>
  <w:style w:type="character" w:customStyle="1" w:styleId="WW8Num8z7">
    <w:name w:val="WW8Num8z7"/>
    <w:rPr>
      <w:w w:val="100"/>
      <w:position w:val="-1"/>
      <w:effect w:val="none"/>
      <w:vertAlign w:val="baseline"/>
      <w:cs w:val="0"/>
      <w:em w:val="none"/>
    </w:rPr>
  </w:style>
  <w:style w:type="character" w:customStyle="1" w:styleId="WW8Num8z8">
    <w:name w:val="WW8Num8z8"/>
    <w:rPr>
      <w:w w:val="100"/>
      <w:position w:val="-1"/>
      <w:effect w:val="none"/>
      <w:vertAlign w:val="baseline"/>
      <w:cs w:val="0"/>
      <w:em w:val="none"/>
    </w:rPr>
  </w:style>
  <w:style w:type="character" w:customStyle="1" w:styleId="WW8Num9z0">
    <w:name w:val="WW8Num9z0"/>
    <w:rPr>
      <w:w w:val="100"/>
      <w:position w:val="-1"/>
      <w:effect w:val="none"/>
      <w:vertAlign w:val="baseline"/>
      <w:cs w:val="0"/>
      <w:em w:val="none"/>
    </w:rPr>
  </w:style>
  <w:style w:type="character" w:customStyle="1" w:styleId="WW8Num9z1">
    <w:name w:val="WW8Num9z1"/>
    <w:rPr>
      <w:w w:val="100"/>
      <w:position w:val="-1"/>
      <w:effect w:val="none"/>
      <w:vertAlign w:val="baseline"/>
      <w:cs w:val="0"/>
      <w:em w:val="none"/>
    </w:rPr>
  </w:style>
  <w:style w:type="character" w:customStyle="1" w:styleId="WW8Num9z2">
    <w:name w:val="WW8Num9z2"/>
    <w:rPr>
      <w:w w:val="100"/>
      <w:position w:val="-1"/>
      <w:effect w:val="none"/>
      <w:vertAlign w:val="baseline"/>
      <w:cs w:val="0"/>
      <w:em w:val="none"/>
    </w:rPr>
  </w:style>
  <w:style w:type="character" w:customStyle="1" w:styleId="WW8Num9z3">
    <w:name w:val="WW8Num9z3"/>
    <w:rPr>
      <w:w w:val="100"/>
      <w:position w:val="-1"/>
      <w:effect w:val="none"/>
      <w:vertAlign w:val="baseline"/>
      <w:cs w:val="0"/>
      <w:em w:val="none"/>
    </w:rPr>
  </w:style>
  <w:style w:type="character" w:customStyle="1" w:styleId="WW8Num9z4">
    <w:name w:val="WW8Num9z4"/>
    <w:rPr>
      <w:w w:val="100"/>
      <w:position w:val="-1"/>
      <w:effect w:val="none"/>
      <w:vertAlign w:val="baseline"/>
      <w:cs w:val="0"/>
      <w:em w:val="none"/>
    </w:rPr>
  </w:style>
  <w:style w:type="character" w:customStyle="1" w:styleId="WW8Num9z5">
    <w:name w:val="WW8Num9z5"/>
    <w:rPr>
      <w:w w:val="100"/>
      <w:position w:val="-1"/>
      <w:effect w:val="none"/>
      <w:vertAlign w:val="baseline"/>
      <w:cs w:val="0"/>
      <w:em w:val="none"/>
    </w:rPr>
  </w:style>
  <w:style w:type="character" w:customStyle="1" w:styleId="WW8Num9z6">
    <w:name w:val="WW8Num9z6"/>
    <w:rPr>
      <w:w w:val="100"/>
      <w:position w:val="-1"/>
      <w:effect w:val="none"/>
      <w:vertAlign w:val="baseline"/>
      <w:cs w:val="0"/>
      <w:em w:val="none"/>
    </w:rPr>
  </w:style>
  <w:style w:type="character" w:customStyle="1" w:styleId="WW8Num9z7">
    <w:name w:val="WW8Num9z7"/>
    <w:rPr>
      <w:w w:val="100"/>
      <w:position w:val="-1"/>
      <w:effect w:val="none"/>
      <w:vertAlign w:val="baseline"/>
      <w:cs w:val="0"/>
      <w:em w:val="none"/>
    </w:rPr>
  </w:style>
  <w:style w:type="character" w:customStyle="1" w:styleId="WW8Num9z8">
    <w:name w:val="WW8Num9z8"/>
    <w:rPr>
      <w:w w:val="100"/>
      <w:position w:val="-1"/>
      <w:effect w:val="none"/>
      <w:vertAlign w:val="baseline"/>
      <w:cs w:val="0"/>
      <w:em w:val="none"/>
    </w:rPr>
  </w:style>
  <w:style w:type="character" w:customStyle="1" w:styleId="WW8Num10z0">
    <w:name w:val="WW8Num10z0"/>
    <w:rPr>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0z2">
    <w:name w:val="WW8Num10z2"/>
    <w:rPr>
      <w:w w:val="100"/>
      <w:position w:val="-1"/>
      <w:effect w:val="none"/>
      <w:vertAlign w:val="baseline"/>
      <w:cs w:val="0"/>
      <w:em w:val="none"/>
    </w:rPr>
  </w:style>
  <w:style w:type="character" w:customStyle="1" w:styleId="WW8Num10z3">
    <w:name w:val="WW8Num10z3"/>
    <w:rPr>
      <w:w w:val="100"/>
      <w:position w:val="-1"/>
      <w:effect w:val="none"/>
      <w:vertAlign w:val="baseline"/>
      <w:cs w:val="0"/>
      <w:em w:val="none"/>
    </w:rPr>
  </w:style>
  <w:style w:type="character" w:customStyle="1" w:styleId="WW8Num10z4">
    <w:name w:val="WW8Num10z4"/>
    <w:rPr>
      <w:w w:val="100"/>
      <w:position w:val="-1"/>
      <w:effect w:val="none"/>
      <w:vertAlign w:val="baseline"/>
      <w:cs w:val="0"/>
      <w:em w:val="none"/>
    </w:rPr>
  </w:style>
  <w:style w:type="character" w:customStyle="1" w:styleId="WW8Num10z5">
    <w:name w:val="WW8Num10z5"/>
    <w:rPr>
      <w:w w:val="100"/>
      <w:position w:val="-1"/>
      <w:effect w:val="none"/>
      <w:vertAlign w:val="baseline"/>
      <w:cs w:val="0"/>
      <w:em w:val="none"/>
    </w:rPr>
  </w:style>
  <w:style w:type="character" w:customStyle="1" w:styleId="WW8Num10z6">
    <w:name w:val="WW8Num10z6"/>
    <w:rPr>
      <w:w w:val="100"/>
      <w:position w:val="-1"/>
      <w:effect w:val="none"/>
      <w:vertAlign w:val="baseline"/>
      <w:cs w:val="0"/>
      <w:em w:val="none"/>
    </w:rPr>
  </w:style>
  <w:style w:type="character" w:customStyle="1" w:styleId="WW8Num10z7">
    <w:name w:val="WW8Num10z7"/>
    <w:rPr>
      <w:w w:val="100"/>
      <w:position w:val="-1"/>
      <w:effect w:val="none"/>
      <w:vertAlign w:val="baseline"/>
      <w:cs w:val="0"/>
      <w:em w:val="none"/>
    </w:rPr>
  </w:style>
  <w:style w:type="character" w:customStyle="1" w:styleId="WW8Num10z8">
    <w:name w:val="WW8Num10z8"/>
    <w:rPr>
      <w:w w:val="100"/>
      <w:position w:val="-1"/>
      <w:effect w:val="none"/>
      <w:vertAlign w:val="baseline"/>
      <w:cs w:val="0"/>
      <w:em w:val="none"/>
    </w:rPr>
  </w:style>
  <w:style w:type="character" w:customStyle="1" w:styleId="WW8Num11z0">
    <w:name w:val="WW8Num11z0"/>
    <w:rPr>
      <w:w w:val="100"/>
      <w:position w:val="-1"/>
      <w:effect w:val="none"/>
      <w:vertAlign w:val="baseline"/>
      <w:cs w:val="0"/>
      <w:em w:val="none"/>
    </w:rPr>
  </w:style>
  <w:style w:type="character" w:customStyle="1" w:styleId="WW8Num11z1">
    <w:name w:val="WW8Num11z1"/>
    <w:rPr>
      <w:w w:val="100"/>
      <w:position w:val="-1"/>
      <w:effect w:val="none"/>
      <w:vertAlign w:val="baseline"/>
      <w:cs w:val="0"/>
      <w:em w:val="none"/>
    </w:rPr>
  </w:style>
  <w:style w:type="character" w:customStyle="1" w:styleId="WW8Num11z2">
    <w:name w:val="WW8Num11z2"/>
    <w:rPr>
      <w:w w:val="100"/>
      <w:position w:val="-1"/>
      <w:effect w:val="none"/>
      <w:vertAlign w:val="baseline"/>
      <w:cs w:val="0"/>
      <w:em w:val="none"/>
    </w:rPr>
  </w:style>
  <w:style w:type="character" w:customStyle="1" w:styleId="WW8Num11z3">
    <w:name w:val="WW8Num11z3"/>
    <w:rPr>
      <w:w w:val="100"/>
      <w:position w:val="-1"/>
      <w:effect w:val="none"/>
      <w:vertAlign w:val="baseline"/>
      <w:cs w:val="0"/>
      <w:em w:val="none"/>
    </w:rPr>
  </w:style>
  <w:style w:type="character" w:customStyle="1" w:styleId="WW8Num11z4">
    <w:name w:val="WW8Num11z4"/>
    <w:rPr>
      <w:w w:val="100"/>
      <w:position w:val="-1"/>
      <w:effect w:val="none"/>
      <w:vertAlign w:val="baseline"/>
      <w:cs w:val="0"/>
      <w:em w:val="none"/>
    </w:rPr>
  </w:style>
  <w:style w:type="character" w:customStyle="1" w:styleId="WW8Num11z5">
    <w:name w:val="WW8Num11z5"/>
    <w:rPr>
      <w:w w:val="100"/>
      <w:position w:val="-1"/>
      <w:effect w:val="none"/>
      <w:vertAlign w:val="baseline"/>
      <w:cs w:val="0"/>
      <w:em w:val="none"/>
    </w:rPr>
  </w:style>
  <w:style w:type="character" w:customStyle="1" w:styleId="WW8Num11z6">
    <w:name w:val="WW8Num11z6"/>
    <w:rPr>
      <w:w w:val="100"/>
      <w:position w:val="-1"/>
      <w:effect w:val="none"/>
      <w:vertAlign w:val="baseline"/>
      <w:cs w:val="0"/>
      <w:em w:val="none"/>
    </w:rPr>
  </w:style>
  <w:style w:type="character" w:customStyle="1" w:styleId="WW8Num11z7">
    <w:name w:val="WW8Num11z7"/>
    <w:rPr>
      <w:w w:val="100"/>
      <w:position w:val="-1"/>
      <w:effect w:val="none"/>
      <w:vertAlign w:val="baseline"/>
      <w:cs w:val="0"/>
      <w:em w:val="none"/>
    </w:rPr>
  </w:style>
  <w:style w:type="character" w:customStyle="1" w:styleId="WW8Num11z8">
    <w:name w:val="WW8Num11z8"/>
    <w:rPr>
      <w:w w:val="100"/>
      <w:position w:val="-1"/>
      <w:effect w:val="none"/>
      <w:vertAlign w:val="baseline"/>
      <w:cs w:val="0"/>
      <w:em w:val="none"/>
    </w:rPr>
  </w:style>
  <w:style w:type="character" w:customStyle="1" w:styleId="WW8Num12z0">
    <w:name w:val="WW8Num12z0"/>
    <w:rPr>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2z2">
    <w:name w:val="WW8Num12z2"/>
    <w:rPr>
      <w:w w:val="100"/>
      <w:position w:val="-1"/>
      <w:effect w:val="none"/>
      <w:vertAlign w:val="baseline"/>
      <w:cs w:val="0"/>
      <w:em w:val="none"/>
    </w:rPr>
  </w:style>
  <w:style w:type="character" w:customStyle="1" w:styleId="WW8Num12z3">
    <w:name w:val="WW8Num12z3"/>
    <w:rPr>
      <w:w w:val="100"/>
      <w:position w:val="-1"/>
      <w:effect w:val="none"/>
      <w:vertAlign w:val="baseline"/>
      <w:cs w:val="0"/>
      <w:em w:val="none"/>
    </w:rPr>
  </w:style>
  <w:style w:type="character" w:customStyle="1" w:styleId="WW8Num12z4">
    <w:name w:val="WW8Num12z4"/>
    <w:rPr>
      <w:w w:val="100"/>
      <w:position w:val="-1"/>
      <w:effect w:val="none"/>
      <w:vertAlign w:val="baseline"/>
      <w:cs w:val="0"/>
      <w:em w:val="none"/>
    </w:rPr>
  </w:style>
  <w:style w:type="character" w:customStyle="1" w:styleId="WW8Num12z5">
    <w:name w:val="WW8Num12z5"/>
    <w:rPr>
      <w:w w:val="100"/>
      <w:position w:val="-1"/>
      <w:effect w:val="none"/>
      <w:vertAlign w:val="baseline"/>
      <w:cs w:val="0"/>
      <w:em w:val="none"/>
    </w:rPr>
  </w:style>
  <w:style w:type="character" w:customStyle="1" w:styleId="WW8Num12z6">
    <w:name w:val="WW8Num12z6"/>
    <w:rPr>
      <w:w w:val="100"/>
      <w:position w:val="-1"/>
      <w:effect w:val="none"/>
      <w:vertAlign w:val="baseline"/>
      <w:cs w:val="0"/>
      <w:em w:val="none"/>
    </w:rPr>
  </w:style>
  <w:style w:type="character" w:customStyle="1" w:styleId="WW8Num12z7">
    <w:name w:val="WW8Num12z7"/>
    <w:rPr>
      <w:w w:val="100"/>
      <w:position w:val="-1"/>
      <w:effect w:val="none"/>
      <w:vertAlign w:val="baseline"/>
      <w:cs w:val="0"/>
      <w:em w:val="none"/>
    </w:rPr>
  </w:style>
  <w:style w:type="character" w:customStyle="1" w:styleId="WW8Num12z8">
    <w:name w:val="WW8Num12z8"/>
    <w:rPr>
      <w:w w:val="100"/>
      <w:position w:val="-1"/>
      <w:effect w:val="none"/>
      <w:vertAlign w:val="baseline"/>
      <w:cs w:val="0"/>
      <w:em w:val="none"/>
    </w:rPr>
  </w:style>
  <w:style w:type="character" w:customStyle="1" w:styleId="WW8Num13z0">
    <w:name w:val="WW8Num13z0"/>
    <w:rPr>
      <w:w w:val="100"/>
      <w:position w:val="-1"/>
      <w:effect w:val="none"/>
      <w:vertAlign w:val="baseline"/>
      <w:cs w:val="0"/>
      <w:em w:val="none"/>
    </w:rPr>
  </w:style>
  <w:style w:type="character" w:customStyle="1" w:styleId="WW8Num13z1">
    <w:name w:val="WW8Num13z1"/>
    <w:rPr>
      <w:w w:val="100"/>
      <w:position w:val="-1"/>
      <w:effect w:val="none"/>
      <w:vertAlign w:val="baseline"/>
      <w:cs w:val="0"/>
      <w:em w:val="none"/>
    </w:rPr>
  </w:style>
  <w:style w:type="character" w:customStyle="1" w:styleId="WW8Num13z2">
    <w:name w:val="WW8Num13z2"/>
    <w:rPr>
      <w:w w:val="100"/>
      <w:position w:val="-1"/>
      <w:effect w:val="none"/>
      <w:vertAlign w:val="baseline"/>
      <w:cs w:val="0"/>
      <w:em w:val="none"/>
    </w:rPr>
  </w:style>
  <w:style w:type="character" w:customStyle="1" w:styleId="WW8Num13z3">
    <w:name w:val="WW8Num13z3"/>
    <w:rPr>
      <w:w w:val="100"/>
      <w:position w:val="-1"/>
      <w:effect w:val="none"/>
      <w:vertAlign w:val="baseline"/>
      <w:cs w:val="0"/>
      <w:em w:val="none"/>
    </w:rPr>
  </w:style>
  <w:style w:type="character" w:customStyle="1" w:styleId="WW8Num13z4">
    <w:name w:val="WW8Num13z4"/>
    <w:rPr>
      <w:w w:val="100"/>
      <w:position w:val="-1"/>
      <w:effect w:val="none"/>
      <w:vertAlign w:val="baseline"/>
      <w:cs w:val="0"/>
      <w:em w:val="none"/>
    </w:rPr>
  </w:style>
  <w:style w:type="character" w:customStyle="1" w:styleId="WW8Num13z5">
    <w:name w:val="WW8Num13z5"/>
    <w:rPr>
      <w:w w:val="100"/>
      <w:position w:val="-1"/>
      <w:effect w:val="none"/>
      <w:vertAlign w:val="baseline"/>
      <w:cs w:val="0"/>
      <w:em w:val="none"/>
    </w:rPr>
  </w:style>
  <w:style w:type="character" w:customStyle="1" w:styleId="WW8Num13z6">
    <w:name w:val="WW8Num13z6"/>
    <w:rPr>
      <w:w w:val="100"/>
      <w:position w:val="-1"/>
      <w:effect w:val="none"/>
      <w:vertAlign w:val="baseline"/>
      <w:cs w:val="0"/>
      <w:em w:val="none"/>
    </w:rPr>
  </w:style>
  <w:style w:type="character" w:customStyle="1" w:styleId="WW8Num13z7">
    <w:name w:val="WW8Num13z7"/>
    <w:rPr>
      <w:w w:val="100"/>
      <w:position w:val="-1"/>
      <w:effect w:val="none"/>
      <w:vertAlign w:val="baseline"/>
      <w:cs w:val="0"/>
      <w:em w:val="none"/>
    </w:rPr>
  </w:style>
  <w:style w:type="character" w:customStyle="1" w:styleId="WW8Num13z8">
    <w:name w:val="WW8Num13z8"/>
    <w:rPr>
      <w:w w:val="100"/>
      <w:position w:val="-1"/>
      <w:effect w:val="none"/>
      <w:vertAlign w:val="baseline"/>
      <w:cs w:val="0"/>
      <w:em w:val="none"/>
    </w:rPr>
  </w:style>
  <w:style w:type="character" w:customStyle="1" w:styleId="WW8Num14z0">
    <w:name w:val="WW8Num14z0"/>
    <w:rPr>
      <w:w w:val="100"/>
      <w:position w:val="-1"/>
      <w:effect w:val="none"/>
      <w:vertAlign w:val="baseline"/>
      <w:cs w:val="0"/>
      <w:em w:val="none"/>
    </w:rPr>
  </w:style>
  <w:style w:type="character" w:customStyle="1" w:styleId="WW8Num14z1">
    <w:name w:val="WW8Num14z1"/>
    <w:rPr>
      <w:w w:val="100"/>
      <w:position w:val="-1"/>
      <w:effect w:val="none"/>
      <w:vertAlign w:val="baseline"/>
      <w:cs w:val="0"/>
      <w:em w:val="none"/>
    </w:rPr>
  </w:style>
  <w:style w:type="character" w:customStyle="1" w:styleId="WW8Num14z2">
    <w:name w:val="WW8Num14z2"/>
    <w:rPr>
      <w:w w:val="100"/>
      <w:position w:val="-1"/>
      <w:effect w:val="none"/>
      <w:vertAlign w:val="baseline"/>
      <w:cs w:val="0"/>
      <w:em w:val="none"/>
    </w:rPr>
  </w:style>
  <w:style w:type="character" w:customStyle="1" w:styleId="WW8Num14z3">
    <w:name w:val="WW8Num14z3"/>
    <w:rPr>
      <w:w w:val="100"/>
      <w:position w:val="-1"/>
      <w:effect w:val="none"/>
      <w:vertAlign w:val="baseline"/>
      <w:cs w:val="0"/>
      <w:em w:val="none"/>
    </w:rPr>
  </w:style>
  <w:style w:type="character" w:customStyle="1" w:styleId="WW8Num14z4">
    <w:name w:val="WW8Num14z4"/>
    <w:rPr>
      <w:w w:val="100"/>
      <w:position w:val="-1"/>
      <w:effect w:val="none"/>
      <w:vertAlign w:val="baseline"/>
      <w:cs w:val="0"/>
      <w:em w:val="none"/>
    </w:rPr>
  </w:style>
  <w:style w:type="character" w:customStyle="1" w:styleId="WW8Num14z5">
    <w:name w:val="WW8Num14z5"/>
    <w:rPr>
      <w:w w:val="100"/>
      <w:position w:val="-1"/>
      <w:effect w:val="none"/>
      <w:vertAlign w:val="baseline"/>
      <w:cs w:val="0"/>
      <w:em w:val="none"/>
    </w:rPr>
  </w:style>
  <w:style w:type="character" w:customStyle="1" w:styleId="WW8Num14z6">
    <w:name w:val="WW8Num14z6"/>
    <w:rPr>
      <w:w w:val="100"/>
      <w:position w:val="-1"/>
      <w:effect w:val="none"/>
      <w:vertAlign w:val="baseline"/>
      <w:cs w:val="0"/>
      <w:em w:val="none"/>
    </w:rPr>
  </w:style>
  <w:style w:type="character" w:customStyle="1" w:styleId="WW8Num14z7">
    <w:name w:val="WW8Num14z7"/>
    <w:rPr>
      <w:w w:val="100"/>
      <w:position w:val="-1"/>
      <w:effect w:val="none"/>
      <w:vertAlign w:val="baseline"/>
      <w:cs w:val="0"/>
      <w:em w:val="none"/>
    </w:rPr>
  </w:style>
  <w:style w:type="character" w:customStyle="1" w:styleId="WW8Num14z8">
    <w:name w:val="WW8Num14z8"/>
    <w:rPr>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5z1">
    <w:name w:val="WW8Num5z1"/>
    <w:rPr>
      <w:rFonts w:ascii="Times New Roman" w:eastAsia="Times New Roman" w:hAnsi="Times New Roman" w:cs="Times New Roman"/>
      <w:w w:val="100"/>
      <w:position w:val="-1"/>
      <w:effect w:val="none"/>
      <w:vertAlign w:val="baseline"/>
      <w:cs w:val="0"/>
      <w:em w:val="none"/>
    </w:rPr>
  </w:style>
  <w:style w:type="character" w:customStyle="1" w:styleId="WW8Num5z2">
    <w:name w:val="WW8Num5z2"/>
    <w:rPr>
      <w:w w:val="100"/>
      <w:position w:val="-1"/>
      <w:effect w:val="none"/>
      <w:vertAlign w:val="baseline"/>
      <w:cs w:val="0"/>
      <w:em w:val="none"/>
    </w:rPr>
  </w:style>
  <w:style w:type="character" w:customStyle="1" w:styleId="WW8Num5z3">
    <w:name w:val="WW8Num5z3"/>
    <w:rPr>
      <w:w w:val="100"/>
      <w:position w:val="-1"/>
      <w:effect w:val="none"/>
      <w:vertAlign w:val="baseline"/>
      <w:cs w:val="0"/>
      <w:em w:val="none"/>
    </w:rPr>
  </w:style>
  <w:style w:type="character" w:customStyle="1" w:styleId="WW8Num5z4">
    <w:name w:val="WW8Num5z4"/>
    <w:rPr>
      <w:w w:val="100"/>
      <w:position w:val="-1"/>
      <w:effect w:val="none"/>
      <w:vertAlign w:val="baseline"/>
      <w:cs w:val="0"/>
      <w:em w:val="none"/>
    </w:rPr>
  </w:style>
  <w:style w:type="character" w:customStyle="1" w:styleId="WW8Num5z5">
    <w:name w:val="WW8Num5z5"/>
    <w:rPr>
      <w:w w:val="100"/>
      <w:position w:val="-1"/>
      <w:effect w:val="none"/>
      <w:vertAlign w:val="baseline"/>
      <w:cs w:val="0"/>
      <w:em w:val="none"/>
    </w:rPr>
  </w:style>
  <w:style w:type="character" w:customStyle="1" w:styleId="WW8Num5z6">
    <w:name w:val="WW8Num5z6"/>
    <w:rPr>
      <w:w w:val="100"/>
      <w:position w:val="-1"/>
      <w:effect w:val="none"/>
      <w:vertAlign w:val="baseline"/>
      <w:cs w:val="0"/>
      <w:em w:val="none"/>
    </w:rPr>
  </w:style>
  <w:style w:type="character" w:customStyle="1" w:styleId="WW8Num5z7">
    <w:name w:val="WW8Num5z7"/>
    <w:rPr>
      <w:w w:val="100"/>
      <w:position w:val="-1"/>
      <w:effect w:val="none"/>
      <w:vertAlign w:val="baseline"/>
      <w:cs w:val="0"/>
      <w:em w:val="none"/>
    </w:rPr>
  </w:style>
  <w:style w:type="character" w:customStyle="1" w:styleId="WW8Num5z8">
    <w:name w:val="WW8Num5z8"/>
    <w:rPr>
      <w:w w:val="100"/>
      <w:position w:val="-1"/>
      <w:effect w:val="none"/>
      <w:vertAlign w:val="baseline"/>
      <w:cs w:val="0"/>
      <w:em w:val="none"/>
    </w:rPr>
  </w:style>
  <w:style w:type="character" w:customStyle="1" w:styleId="WW8Num6z1">
    <w:name w:val="WW8Num6z1"/>
    <w:rPr>
      <w:rFonts w:ascii="Courier New" w:hAnsi="Courier New" w:cs="Courier New"/>
      <w:w w:val="100"/>
      <w:position w:val="-1"/>
      <w:effect w:val="none"/>
      <w:vertAlign w:val="baseline"/>
      <w:cs w:val="0"/>
      <w:em w:val="none"/>
    </w:rPr>
  </w:style>
  <w:style w:type="character" w:customStyle="1" w:styleId="WW8Num6z2">
    <w:name w:val="WW8Num6z2"/>
    <w:rPr>
      <w:rFonts w:ascii="Wingdings" w:hAnsi="Wingdings" w:cs="Wingdings"/>
      <w:w w:val="100"/>
      <w:position w:val="-1"/>
      <w:effect w:val="none"/>
      <w:vertAlign w:val="baseline"/>
      <w:cs w:val="0"/>
      <w:em w:val="none"/>
    </w:rPr>
  </w:style>
  <w:style w:type="character" w:customStyle="1" w:styleId="WW8Num6z3">
    <w:name w:val="WW8Num6z3"/>
    <w:rPr>
      <w:rFonts w:ascii="Symbol" w:hAnsi="Symbol" w:cs="Symbol"/>
      <w:w w:val="100"/>
      <w:position w:val="-1"/>
      <w:effect w:val="none"/>
      <w:vertAlign w:val="baseline"/>
      <w:cs w:val="0"/>
      <w:em w:val="none"/>
    </w:rPr>
  </w:style>
  <w:style w:type="character" w:styleId="slostrany">
    <w:name w:val="page number"/>
    <w:basedOn w:val="Predvolenpsmoodseku"/>
    <w:rPr>
      <w:w w:val="100"/>
      <w:position w:val="-1"/>
      <w:effect w:val="none"/>
      <w:vertAlign w:val="baseline"/>
      <w:cs w:val="0"/>
      <w:em w:val="none"/>
    </w:rPr>
  </w:style>
  <w:style w:type="character" w:customStyle="1" w:styleId="Internetovodkaz">
    <w:name w:val="Internetový odkaz"/>
    <w:rPr>
      <w:color w:val="0000FF"/>
      <w:w w:val="100"/>
      <w:position w:val="-1"/>
      <w:u w:val="single"/>
      <w:effect w:val="none"/>
      <w:vertAlign w:val="baseline"/>
      <w:cs w:val="0"/>
      <w:em w:val="none"/>
    </w:rPr>
  </w:style>
  <w:style w:type="character" w:customStyle="1" w:styleId="Navtveninternetovodkaz">
    <w:name w:val="Navštívený internetový odkaz"/>
    <w:rPr>
      <w:color w:val="800080"/>
      <w:w w:val="100"/>
      <w:position w:val="-1"/>
      <w:u w:val="single"/>
      <w:effect w:val="none"/>
      <w:vertAlign w:val="baseline"/>
      <w:cs w:val="0"/>
      <w:em w:val="none"/>
    </w:rPr>
  </w:style>
  <w:style w:type="paragraph" w:customStyle="1" w:styleId="Nadpis">
    <w:name w:val="Nadpis"/>
    <w:basedOn w:val="Normlny"/>
    <w:next w:val="Telotextu"/>
    <w:pPr>
      <w:keepNext/>
      <w:spacing w:before="240" w:after="120"/>
    </w:pPr>
    <w:rPr>
      <w:rFonts w:ascii="Liberation Sans" w:eastAsia="Microsoft YaHei" w:hAnsi="Liberation Sans" w:cs="Arial Unicode MS"/>
      <w:sz w:val="28"/>
      <w:szCs w:val="28"/>
    </w:rPr>
  </w:style>
  <w:style w:type="paragraph" w:customStyle="1" w:styleId="Telotextu">
    <w:name w:val="Telo textu"/>
    <w:basedOn w:val="Normlny"/>
    <w:pPr>
      <w:ind w:left="426" w:firstLine="0"/>
      <w:jc w:val="both"/>
    </w:pPr>
    <w:rPr>
      <w:sz w:val="18"/>
    </w:rPr>
  </w:style>
  <w:style w:type="paragraph" w:styleId="Zoznam">
    <w:name w:val="List"/>
    <w:basedOn w:val="Telotextu"/>
    <w:rPr>
      <w:rFonts w:cs="Arial Unicode MS"/>
    </w:rPr>
  </w:style>
  <w:style w:type="paragraph" w:styleId="Popis">
    <w:name w:val="caption"/>
    <w:basedOn w:val="Normlny"/>
    <w:pPr>
      <w:suppressLineNumbers/>
      <w:spacing w:before="120" w:after="120"/>
    </w:pPr>
    <w:rPr>
      <w:rFonts w:cs="Arial Unicode MS"/>
      <w:i/>
      <w:iCs/>
      <w:sz w:val="24"/>
      <w:szCs w:val="24"/>
    </w:rPr>
  </w:style>
  <w:style w:type="paragraph" w:customStyle="1" w:styleId="Index">
    <w:name w:val="Index"/>
    <w:basedOn w:val="Normlny"/>
    <w:pPr>
      <w:suppressLineNumbers/>
    </w:pPr>
    <w:rPr>
      <w:rFonts w:cs="Arial Unicode MS"/>
    </w:rPr>
  </w:style>
  <w:style w:type="paragraph" w:styleId="Hlavika">
    <w:name w:val="header"/>
    <w:basedOn w:val="Normlny"/>
    <w:pPr>
      <w:tabs>
        <w:tab w:val="center" w:pos="4153"/>
        <w:tab w:val="right" w:pos="8306"/>
      </w:tabs>
    </w:pPr>
  </w:style>
  <w:style w:type="paragraph" w:styleId="Pta">
    <w:name w:val="footer"/>
    <w:basedOn w:val="Normlny"/>
    <w:pPr>
      <w:tabs>
        <w:tab w:val="center" w:pos="4153"/>
        <w:tab w:val="right" w:pos="8306"/>
      </w:tabs>
    </w:p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Telotextu"/>
    <w:pPr>
      <w:numPr>
        <w:numId w:val="3"/>
      </w:numPr>
      <w:tabs>
        <w:tab w:val="left" w:pos="426"/>
      </w:tabs>
      <w:ind w:left="426" w:hanging="426"/>
    </w:pPr>
    <w:rPr>
      <w:b/>
    </w:rPr>
  </w:style>
  <w:style w:type="paragraph" w:styleId="Obsah1">
    <w:name w:val="toc 1"/>
    <w:basedOn w:val="Normlny"/>
    <w:next w:val="Normlny"/>
    <w:pPr>
      <w:tabs>
        <w:tab w:val="left" w:pos="426"/>
        <w:tab w:val="right" w:pos="9203"/>
      </w:tabs>
      <w:spacing w:before="360"/>
    </w:pPr>
    <w:rPr>
      <w:b/>
      <w:bCs/>
      <w:caps/>
      <w:szCs w:val="18"/>
    </w:rPr>
  </w:style>
  <w:style w:type="paragraph" w:styleId="Obsah2">
    <w:name w:val="toc 2"/>
    <w:basedOn w:val="Normlny"/>
    <w:next w:val="Normlny"/>
    <w:pPr>
      <w:tabs>
        <w:tab w:val="left" w:pos="993"/>
        <w:tab w:val="right" w:pos="9203"/>
      </w:tabs>
      <w:ind w:left="0" w:firstLine="567"/>
    </w:pPr>
    <w:rPr>
      <w:b/>
      <w:bCs/>
      <w:szCs w:val="18"/>
    </w:rPr>
  </w:style>
  <w:style w:type="paragraph" w:styleId="Obsah3">
    <w:name w:val="toc 3"/>
    <w:basedOn w:val="Normlny"/>
    <w:next w:val="Normlny"/>
    <w:pPr>
      <w:ind w:left="200" w:firstLine="0"/>
    </w:pPr>
    <w:rPr>
      <w:szCs w:val="24"/>
    </w:rPr>
  </w:style>
  <w:style w:type="paragraph" w:styleId="Obsah4">
    <w:name w:val="toc 4"/>
    <w:basedOn w:val="Normlny"/>
    <w:next w:val="Normlny"/>
    <w:pPr>
      <w:ind w:left="400" w:firstLine="0"/>
    </w:pPr>
    <w:rPr>
      <w:szCs w:val="24"/>
    </w:rPr>
  </w:style>
  <w:style w:type="paragraph" w:styleId="Obsah5">
    <w:name w:val="toc 5"/>
    <w:basedOn w:val="Normlny"/>
    <w:next w:val="Normlny"/>
    <w:pPr>
      <w:ind w:left="600" w:firstLine="0"/>
    </w:pPr>
    <w:rPr>
      <w:szCs w:val="24"/>
    </w:rPr>
  </w:style>
  <w:style w:type="paragraph" w:styleId="Obsah6">
    <w:name w:val="toc 6"/>
    <w:basedOn w:val="Normlny"/>
    <w:next w:val="Normlny"/>
    <w:pPr>
      <w:ind w:left="800" w:firstLine="0"/>
    </w:pPr>
    <w:rPr>
      <w:szCs w:val="24"/>
    </w:rPr>
  </w:style>
  <w:style w:type="paragraph" w:styleId="Obsah7">
    <w:name w:val="toc 7"/>
    <w:basedOn w:val="Normlny"/>
    <w:next w:val="Normlny"/>
    <w:pPr>
      <w:ind w:left="1000" w:firstLine="0"/>
    </w:pPr>
    <w:rPr>
      <w:szCs w:val="24"/>
    </w:rPr>
  </w:style>
  <w:style w:type="paragraph" w:styleId="Obsah8">
    <w:name w:val="toc 8"/>
    <w:basedOn w:val="Normlny"/>
    <w:next w:val="Normlny"/>
    <w:pPr>
      <w:ind w:left="1200" w:firstLine="0"/>
    </w:pPr>
    <w:rPr>
      <w:szCs w:val="24"/>
    </w:rPr>
  </w:style>
  <w:style w:type="paragraph" w:styleId="Obsah9">
    <w:name w:val="toc 9"/>
    <w:basedOn w:val="Normlny"/>
    <w:next w:val="Normlny"/>
    <w:pPr>
      <w:ind w:left="1400" w:firstLine="0"/>
    </w:pPr>
    <w:rPr>
      <w:szCs w:val="24"/>
    </w:rPr>
  </w:style>
  <w:style w:type="paragraph" w:customStyle="1" w:styleId="Odsadenietelatextu">
    <w:name w:val="Odsadenie tela textu"/>
    <w:basedOn w:val="Normlny"/>
    <w:pPr>
      <w:spacing w:after="120"/>
      <w:ind w:left="283" w:firstLine="0"/>
    </w:pPr>
  </w:style>
  <w:style w:type="paragraph" w:customStyle="1" w:styleId="Odstavec">
    <w:name w:val="Odstavec"/>
    <w:basedOn w:val="Normlny"/>
    <w:pPr>
      <w:jc w:val="both"/>
    </w:pPr>
    <w:rPr>
      <w:b/>
      <w:sz w:val="24"/>
    </w:rPr>
  </w:style>
  <w:style w:type="paragraph" w:styleId="Zarkazkladnhotextu2">
    <w:name w:val="Body Text Indent 2"/>
    <w:basedOn w:val="Normlny"/>
    <w:pPr>
      <w:spacing w:before="120" w:line="240" w:lineRule="atLeast"/>
      <w:ind w:left="426" w:firstLine="0"/>
      <w:jc w:val="both"/>
    </w:pPr>
    <w:rPr>
      <w:color w:val="0000FF"/>
    </w:rPr>
  </w:style>
  <w:style w:type="paragraph" w:styleId="Zarkazkladnhotextu3">
    <w:name w:val="Body Text Indent 3"/>
    <w:basedOn w:val="Normlny"/>
    <w:pPr>
      <w:ind w:left="426" w:firstLine="0"/>
    </w:pPr>
    <w:rPr>
      <w:color w:val="0000FF"/>
    </w:rPr>
  </w:style>
  <w:style w:type="paragraph" w:styleId="Zkladntext2">
    <w:name w:val="Body Text 2"/>
    <w:basedOn w:val="Normlny"/>
  </w:style>
  <w:style w:type="paragraph" w:styleId="Zkladntext3">
    <w:name w:val="Body Text 3"/>
    <w:basedOn w:val="Normlny"/>
    <w:pPr>
      <w:spacing w:before="120" w:line="240" w:lineRule="atLeast"/>
      <w:jc w:val="both"/>
    </w:pPr>
  </w:style>
  <w:style w:type="paragraph" w:styleId="truktradokumentu">
    <w:name w:val="Document Map"/>
    <w:basedOn w:val="Normlny"/>
    <w:pPr>
      <w:shd w:val="clear" w:color="auto" w:fill="000080"/>
      <w:autoSpaceDE w:val="0"/>
    </w:pPr>
    <w:rPr>
      <w:rFonts w:ascii="Tahoma" w:hAnsi="Tahoma" w:cs="Tahoma"/>
      <w:szCs w:val="24"/>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Pr>
  </w:style>
  <w:style w:type="paragraph" w:styleId="Odsekzoznamu">
    <w:name w:val="List Paragraph"/>
    <w:basedOn w:val="Normlny"/>
    <w:uiPriority w:val="34"/>
    <w:qFormat/>
    <w:rsid w:val="00C758A7"/>
    <w:pPr>
      <w:ind w:left="720"/>
      <w:contextualSpacing/>
    </w:pPr>
  </w:style>
  <w:style w:type="paragraph" w:customStyle="1" w:styleId="western">
    <w:name w:val="western"/>
    <w:basedOn w:val="Normlny"/>
    <w:rsid w:val="005A2F14"/>
    <w:pPr>
      <w:spacing w:before="100" w:beforeAutospacing="1" w:after="100" w:afterAutospacing="1" w:line="240" w:lineRule="auto"/>
      <w:ind w:leftChars="0" w:left="0" w:firstLineChars="0" w:firstLine="0"/>
      <w:textDirection w:val="lrTb"/>
      <w:textAlignment w:val="auto"/>
      <w:outlineLvl w:val="9"/>
    </w:pPr>
    <w:rPr>
      <w:position w:val="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1940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H_rok_programu_Microsoft_Excel_97-20032.xls"/><Relationship Id="rId18" Type="http://schemas.openxmlformats.org/officeDocument/2006/relationships/image" Target="media/image6.emf"/><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oleObject" Target="embeddings/H_rok_programu_Microsoft_Excel_97-20036.xls"/><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H_rok_programu_Microsoft_Excel_97-20034.xls"/><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H_rok_programu_Microsoft_Excel_97-20031.xls"/><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H_rok_programu_Microsoft_Excel_97-20033.xls"/><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oleObject" Target="embeddings/H_rok_programu_Microsoft_Excel_97-20035.xls"/><Relationship Id="rId4" Type="http://schemas.openxmlformats.org/officeDocument/2006/relationships/settings" Target="settings.xml"/><Relationship Id="rId9" Type="http://schemas.openxmlformats.org/officeDocument/2006/relationships/oleObject" Target="embeddings/H_rok_programu_Microsoft_Excel_97-2003.xls"/><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bvepCVnRrTs14j0vm3059qExiQ==">AMUW2mUEeHaDCAnovoLvo/mq0tRdMMRDofT4Mw0o8Ik3jssxW9J8M/UvY1hY8Kbj+VT0VGfus7QF0NFz/7qu4UsCYvMzd5gsghpK9UvHGRxn6JEvwuiVF08si1/h7ygm3+amFg7V9sdlhOsF3zX/K38XPtNdjQVroucCWb7X4mtgwhLw+TS+ozCxmv6W5C1oRnlQdI5QQeVPi1Zdyhfx+lGO3w2373ktGY4T9Z4mWa2Nltc25kvxsp4kkwbSFRX5c60uJotjGT0iWc0iCdLQweQZiDTfSu2jh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1</Pages>
  <Words>2481</Words>
  <Characters>14144</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imachac</dc:creator>
  <cp:lastModifiedBy>Ja</cp:lastModifiedBy>
  <cp:revision>14</cp:revision>
  <dcterms:created xsi:type="dcterms:W3CDTF">2023-03-20T12:30:00Z</dcterms:created>
  <dcterms:modified xsi:type="dcterms:W3CDTF">2023-03-28T09:12:00Z</dcterms:modified>
</cp:coreProperties>
</file>