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jpeg" ContentType="image/jpeg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bidi w:val="0"/>
        <w:spacing w:before="0" w:after="120"/>
        <w:ind w:left="0" w:right="0" w:hanging="0"/>
        <w:rPr/>
      </w:pPr>
      <w:r>
        <w:rPr>
          <w:b/>
        </w:rPr>
        <w:t>ČL. I  VŠEOBECNÉ ÚDAJE</w:t>
      </w:r>
    </w:p>
    <w:p>
      <w:pPr>
        <w:pStyle w:val="Normal"/>
        <w:spacing w:lineRule="auto" w:line="360"/>
        <w:ind w:left="0" w:right="0" w:hanging="0"/>
        <w:rPr/>
      </w:pPr>
      <w:r>
        <w:rPr>
          <w:sz w:val="22"/>
        </w:rPr>
        <w:t xml:space="preserve">Obchodné meno: TRANS VAT SK s.r.o. </w:t>
      </w:r>
    </w:p>
    <w:p>
      <w:pPr>
        <w:pStyle w:val="Normal"/>
        <w:tabs>
          <w:tab w:val="clear" w:pos="420"/>
          <w:tab w:val="left" w:pos="0" w:leader="none"/>
        </w:tabs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Sídlo: Gajova  4, 81109 Bratislava</w:t>
      </w:r>
    </w:p>
    <w:p>
      <w:pPr>
        <w:pStyle w:val="Normal"/>
        <w:tabs>
          <w:tab w:val="clear" w:pos="420"/>
          <w:tab w:val="left" w:pos="0" w:leader="none"/>
        </w:tabs>
        <w:spacing w:lineRule="auto" w:line="360"/>
        <w:ind w:left="0" w:right="0" w:hanging="0"/>
        <w:rPr/>
      </w:pPr>
      <w:r>
        <w:rPr>
          <w:sz w:val="22"/>
        </w:rPr>
        <w:t>zapísaná do obchodného registra dňa:  14.4.2005</w:t>
      </w:r>
    </w:p>
    <w:p>
      <w:pPr>
        <w:pStyle w:val="Normal"/>
        <w:spacing w:lineRule="auto" w:line="360"/>
        <w:ind w:left="0" w:right="0" w:hanging="0"/>
        <w:rPr/>
      </w:pPr>
      <w:r>
        <w:rPr/>
      </w:r>
    </w:p>
    <w:p>
      <w:pPr>
        <w:pStyle w:val="Normal"/>
        <w:spacing w:lineRule="auto" w:line="360"/>
        <w:ind w:left="0" w:right="0" w:hanging="0"/>
        <w:rPr/>
      </w:pPr>
      <w:r>
        <w:rPr>
          <w:b/>
          <w:sz w:val="22"/>
        </w:rPr>
        <w:t>Hlavné činnosti spoločnosti:</w:t>
        <w:tab/>
      </w:r>
    </w:p>
    <w:tbl>
      <w:tblPr>
        <w:tblW w:w="10684" w:type="dxa"/>
        <w:jc w:val="left"/>
        <w:tblInd w:w="-6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8"/>
        <w:gridCol w:w="145"/>
      </w:tblGrid>
      <w:tr>
        <w:trPr/>
        <w:tc>
          <w:tcPr>
            <w:tcW w:w="1053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720" w:right="0" w:hanging="360"/>
              <w:jc w:val="left"/>
              <w:rPr/>
            </w:pPr>
            <w:r>
              <w:rPr>
                <w:sz w:val="22"/>
              </w:rPr>
              <w:t xml:space="preserve">kúpa tovaru za účelom jeho predaja konečnému spotrebiteľovi (maloobchod) v rozsahu voľnej živnosti </w:t>
            </w:r>
          </w:p>
        </w:tc>
        <w:tc>
          <w:tcPr>
            <w:tcW w:w="145" w:type="dxa"/>
            <w:tcBorders/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 xml:space="preserve">  </w:t>
            </w:r>
          </w:p>
        </w:tc>
      </w:tr>
    </w:tbl>
    <w:p>
      <w:pPr>
        <w:pStyle w:val="Normal"/>
        <w:spacing w:lineRule="auto" w:line="360"/>
        <w:ind w:left="0" w:right="0" w:hanging="0"/>
        <w:rPr>
          <w:vanish/>
          <w:sz w:val="22"/>
          <w:lang w:val="cs-CZ"/>
        </w:rPr>
      </w:pPr>
      <w:r>
        <w:rPr>
          <w:vanish/>
          <w:sz w:val="22"/>
          <w:lang w:val="cs-CZ"/>
        </w:rPr>
      </w:r>
    </w:p>
    <w:tbl>
      <w:tblPr>
        <w:tblW w:w="10295" w:type="dxa"/>
        <w:jc w:val="left"/>
        <w:tblInd w:w="-6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68"/>
        <w:gridCol w:w="126"/>
      </w:tblGrid>
      <w:tr>
        <w:trPr/>
        <w:tc>
          <w:tcPr>
            <w:tcW w:w="1016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720" w:right="0" w:hanging="360"/>
              <w:jc w:val="left"/>
              <w:rPr/>
            </w:pPr>
            <w:r>
              <w:rPr>
                <w:sz w:val="22"/>
              </w:rPr>
              <w:t xml:space="preserve">kúpa tovaru za účelom jeho predaja iným prevádzkovateľom živnosti (veľkoobchod)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 xml:space="preserve">  </w:t>
            </w:r>
          </w:p>
        </w:tc>
      </w:tr>
    </w:tbl>
    <w:p>
      <w:pPr>
        <w:pStyle w:val="Normal"/>
        <w:spacing w:lineRule="auto" w:line="360"/>
        <w:ind w:left="0" w:right="0" w:hanging="0"/>
        <w:rPr>
          <w:vanish/>
          <w:sz w:val="22"/>
          <w:lang w:val="cs-CZ"/>
        </w:rPr>
      </w:pPr>
      <w:r>
        <w:rPr>
          <w:vanish/>
          <w:sz w:val="22"/>
          <w:lang w:val="cs-CZ"/>
        </w:rPr>
      </w:r>
    </w:p>
    <w:tbl>
      <w:tblPr>
        <w:tblW w:w="10295" w:type="dxa"/>
        <w:jc w:val="left"/>
        <w:tblInd w:w="-6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68"/>
        <w:gridCol w:w="126"/>
      </w:tblGrid>
      <w:tr>
        <w:trPr/>
        <w:tc>
          <w:tcPr>
            <w:tcW w:w="1016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720" w:right="0" w:hanging="360"/>
              <w:jc w:val="left"/>
              <w:rPr/>
            </w:pPr>
            <w:r>
              <w:rPr>
                <w:sz w:val="22"/>
              </w:rPr>
              <w:t xml:space="preserve">sprostredkovateľská činnosť v oblasti obchodu a služieb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 xml:space="preserve">  </w:t>
            </w:r>
          </w:p>
        </w:tc>
      </w:tr>
    </w:tbl>
    <w:p>
      <w:pPr>
        <w:pStyle w:val="Normal"/>
        <w:spacing w:lineRule="auto" w:line="360"/>
        <w:ind w:left="0" w:right="0" w:hanging="0"/>
        <w:rPr>
          <w:vanish/>
          <w:sz w:val="22"/>
          <w:lang w:val="cs-CZ"/>
        </w:rPr>
      </w:pPr>
      <w:r>
        <w:rPr>
          <w:vanish/>
          <w:sz w:val="22"/>
          <w:lang w:val="cs-CZ"/>
        </w:rPr>
      </w:r>
    </w:p>
    <w:tbl>
      <w:tblPr>
        <w:tblW w:w="10295" w:type="dxa"/>
        <w:jc w:val="left"/>
        <w:tblInd w:w="-6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168"/>
        <w:gridCol w:w="126"/>
      </w:tblGrid>
      <w:tr>
        <w:trPr/>
        <w:tc>
          <w:tcPr>
            <w:tcW w:w="10168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720" w:right="0" w:hanging="360"/>
              <w:jc w:val="left"/>
              <w:rPr/>
            </w:pPr>
            <w:r>
              <w:rPr>
                <w:sz w:val="22"/>
              </w:rPr>
              <w:t xml:space="preserve">faktoring a forfaiting v rozsahu voľnej živnosti </w:t>
            </w:r>
          </w:p>
        </w:tc>
        <w:tc>
          <w:tcPr>
            <w:tcW w:w="126" w:type="dxa"/>
            <w:tcBorders/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 xml:space="preserve">  </w:t>
            </w:r>
          </w:p>
        </w:tc>
      </w:tr>
    </w:tbl>
    <w:p>
      <w:pPr>
        <w:pStyle w:val="Normal"/>
        <w:spacing w:lineRule="auto" w:line="360"/>
        <w:ind w:left="0" w:right="0" w:hanging="0"/>
        <w:rPr>
          <w:vanish/>
          <w:sz w:val="22"/>
          <w:lang w:val="cs-CZ"/>
        </w:rPr>
      </w:pPr>
      <w:r>
        <w:rPr>
          <w:vanish/>
          <w:sz w:val="22"/>
          <w:lang w:val="cs-CZ"/>
        </w:rPr>
      </w:r>
    </w:p>
    <w:tbl>
      <w:tblPr>
        <w:tblW w:w="10294" w:type="dxa"/>
        <w:jc w:val="left"/>
        <w:tblInd w:w="-6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94"/>
      </w:tblGrid>
      <w:tr>
        <w:trPr/>
        <w:tc>
          <w:tcPr>
            <w:tcW w:w="10294" w:type="dxa"/>
            <w:tcBorders/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720" w:right="0" w:hanging="360"/>
              <w:jc w:val="left"/>
              <w:rPr/>
            </w:pPr>
            <w:r>
              <w:rPr>
                <w:sz w:val="22"/>
              </w:rPr>
              <w:t xml:space="preserve">administratívne práce </w:t>
            </w:r>
          </w:p>
        </w:tc>
      </w:tr>
    </w:tbl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tabs>
          <w:tab w:val="clear" w:pos="420"/>
          <w:tab w:val="left" w:pos="0" w:leader="none"/>
        </w:tabs>
        <w:spacing w:lineRule="auto" w:line="360"/>
        <w:ind w:left="0" w:right="0" w:hanging="0"/>
        <w:rPr/>
      </w:pPr>
      <w:r>
        <w:rPr>
          <w:b/>
          <w:sz w:val="22"/>
        </w:rPr>
        <w:t>(2) Údaje o konsolidovanom celku, a to</w:t>
      </w:r>
    </w:p>
    <w:p>
      <w:pPr>
        <w:pStyle w:val="Styl2"/>
        <w:tabs>
          <w:tab w:val="left" w:pos="1440" w:leader="none"/>
          <w:tab w:val="left" w:pos="2149" w:leader="none"/>
          <w:tab w:val="left" w:pos="2433" w:leader="none"/>
        </w:tabs>
        <w:spacing w:lineRule="auto" w:line="360"/>
        <w:ind w:left="426" w:right="0" w:hanging="142"/>
        <w:rPr/>
      </w:pPr>
      <w:r>
        <w:rPr>
          <w:b w:val="false"/>
          <w:i w:val="false"/>
          <w:sz w:val="22"/>
        </w:rPr>
        <w:t xml:space="preserve"> </w:t>
      </w:r>
      <w:r>
        <w:rPr>
          <w:b w:val="false"/>
          <w:i w:val="false"/>
          <w:sz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Obchodné meno:</w:t>
        <w:tab/>
        <w:t>NEGOMETAL  PARTICIPATIONS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Sídlo:</w:t>
        <w:tab/>
        <w:tab/>
        <w:t>Place de la République 5,</w:t>
      </w:r>
    </w:p>
    <w:p>
      <w:pPr>
        <w:pStyle w:val="Normal"/>
        <w:spacing w:lineRule="auto" w:line="360"/>
        <w:ind w:left="0" w:right="0" w:hanging="0"/>
        <w:rPr/>
      </w:pPr>
      <w:r>
        <w:rPr>
          <w:sz w:val="22"/>
        </w:rPr>
        <w:tab/>
        <w:tab/>
        <w:tab/>
        <w:t>Bayonne  641 00, FRANCE</w:t>
      </w:r>
    </w:p>
    <w:p>
      <w:pPr>
        <w:pStyle w:val="Normal"/>
        <w:tabs>
          <w:tab w:val="clear" w:pos="420"/>
          <w:tab w:val="left" w:pos="567" w:leader="none"/>
        </w:tabs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keepNext w:val="true"/>
        <w:tabs>
          <w:tab w:val="clear" w:pos="420"/>
          <w:tab w:val="left" w:pos="284" w:leader="none"/>
          <w:tab w:val="left" w:pos="2433" w:leader="none"/>
        </w:tabs>
        <w:spacing w:lineRule="auto" w:line="360" w:before="0" w:after="0"/>
        <w:ind w:left="284" w:right="0" w:hanging="0"/>
        <w:jc w:val="left"/>
        <w:rPr/>
      </w:pPr>
      <w:r>
        <w:rPr>
          <w:b/>
          <w:sz w:val="22"/>
        </w:rPr>
        <w:t>b) údaj, či účtovná jednotka je materskou účtovnou jednotkou a údaj, či je oslobodená od povinnosti zostaviť konsolidovanú účtovnú závierku a konsolidovanú výročnú správu podľa § 22 zákona,</w:t>
      </w:r>
    </w:p>
    <w:p>
      <w:pPr>
        <w:pStyle w:val="Normal"/>
        <w:spacing w:lineRule="auto" w:line="360" w:before="0" w:after="0"/>
        <w:ind w:left="426" w:right="0" w:hanging="0"/>
        <w:jc w:val="left"/>
        <w:rPr/>
      </w:pPr>
      <w:r>
        <w:rPr>
          <w:sz w:val="22"/>
        </w:rPr>
        <w:t>Obchodné meno – materská spoločnost::  NEGOMETAL  PARTICIPATIONS</w:t>
      </w:r>
    </w:p>
    <w:p>
      <w:pPr>
        <w:pStyle w:val="Normal"/>
        <w:spacing w:lineRule="auto" w:line="360" w:before="0" w:after="0"/>
        <w:ind w:left="426" w:right="0" w:hanging="0"/>
        <w:jc w:val="left"/>
        <w:rPr/>
      </w:pPr>
      <w:r>
        <w:rPr>
          <w:sz w:val="22"/>
        </w:rPr>
        <w:t>Sídlo MÚJ:   Place de la République 5, Bayonne  641 00, FRANCE</w:t>
      </w:r>
    </w:p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"/>
        <w:spacing w:lineRule="auto" w:line="360" w:before="0" w:after="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748" w:type="dxa"/>
        <w:jc w:val="left"/>
        <w:tblInd w:w="34" w:type="dxa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858"/>
        <w:gridCol w:w="2365"/>
        <w:gridCol w:w="2525"/>
      </w:tblGrid>
      <w:tr>
        <w:trPr>
          <w:trHeight w:val="558" w:hRule="atLeast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4</w:t>
            </w:r>
          </w:p>
        </w:tc>
      </w:tr>
      <w:tr>
        <w:trPr>
          <w:trHeight w:val="391" w:hRule="atLeast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4</w:t>
            </w:r>
          </w:p>
        </w:tc>
      </w:tr>
      <w:tr>
        <w:trPr>
          <w:trHeight w:val="391" w:hRule="atLeast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Textopatrenia"/>
              <w:tabs>
                <w:tab w:val="left" w:pos="708" w:leader="none"/>
                <w:tab w:val="left" w:pos="1440" w:leader="none"/>
              </w:tabs>
              <w:spacing w:lineRule="auto" w:line="240" w:before="0" w:after="0"/>
              <w:ind w:left="0" w:right="0" w:hanging="0"/>
              <w:jc w:val="right"/>
              <w:rPr/>
            </w:pPr>
            <w:r>
              <w:rPr>
                <w:sz w:val="24"/>
              </w:rPr>
              <w:t>0</w:t>
            </w:r>
          </w:p>
        </w:tc>
      </w:tr>
    </w:tbl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/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b/>
        </w:rPr>
        <w:t>ČL. II  INFORMÁCIE O PRIJATÝCH POSTUPOCH</w:t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 xml:space="preserve">(1) Informácia, či je účtovná závierka zostavená za splnenia predpokladu, že účtovná jednotka bude nepretržite pokračovať vo svojej činnosti.  </w:t>
      </w:r>
    </w:p>
    <w:p>
      <w:pPr>
        <w:pStyle w:val="Normal"/>
        <w:spacing w:lineRule="auto" w:line="360"/>
        <w:ind w:left="0" w:right="-141" w:hanging="0"/>
        <w:rPr/>
      </w:pPr>
      <w:r>
        <w:rPr>
          <w:sz w:val="22"/>
        </w:rPr>
        <w:t xml:space="preserve">Účtovná závierka bola zostavená za splnenia predpokladu, že účtovná jednotka bude </w:t>
      </w:r>
      <w:r>
        <w:rPr>
          <w:b/>
          <w:sz w:val="22"/>
        </w:rPr>
        <w:t>nepretržite pokračovať</w:t>
      </w:r>
      <w:r>
        <w:rPr>
          <w:sz w:val="22"/>
        </w:rPr>
        <w:t xml:space="preserve"> vo svojej činnosti minimálne 12 mesiacov po závierkovom dni v zmysle § 7 ods. 4 zákona o účtovníctve. </w:t>
      </w:r>
    </w:p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>(2) Spôsob oceňovania jednotlivých položiek majetku a záväzkov, a to</w:t>
      </w:r>
    </w:p>
    <w:p>
      <w:pPr>
        <w:pStyle w:val="Normal"/>
        <w:spacing w:lineRule="auto" w:line="360" w:before="0" w:after="0"/>
        <w:ind w:left="284" w:right="0" w:hanging="0"/>
        <w:rPr/>
      </w:pPr>
      <w:r>
        <w:rPr>
          <w:sz w:val="22"/>
        </w:rPr>
        <w:t>a) dlhodobého nehmotného majetku, dlhodobého hmotného majetku a dlhodobého finančného majetku – obstarávacia cena</w:t>
      </w:r>
    </w:p>
    <w:p>
      <w:pPr>
        <w:pStyle w:val="Normal"/>
        <w:spacing w:lineRule="auto" w:line="360" w:before="0" w:after="0"/>
        <w:ind w:left="644" w:right="0" w:hanging="360"/>
        <w:rPr/>
      </w:pPr>
      <w:r>
        <w:rPr>
          <w:sz w:val="22"/>
        </w:rPr>
        <w:t xml:space="preserve"> </w:t>
      </w:r>
      <w:r>
        <w:rPr>
          <w:sz w:val="22"/>
        </w:rPr>
        <w:t>zásob obstaraných kúpou, zásob vytvorených vlastnou činnosťou – obstarávacia cena</w:t>
      </w:r>
    </w:p>
    <w:p>
      <w:pPr>
        <w:pStyle w:val="Normal"/>
        <w:spacing w:lineRule="auto" w:line="360" w:before="0" w:after="0"/>
        <w:ind w:left="644" w:right="0" w:hanging="360"/>
        <w:rPr/>
      </w:pPr>
      <w:r>
        <w:rPr>
          <w:sz w:val="22"/>
        </w:rPr>
        <w:t xml:space="preserve"> </w:t>
      </w:r>
      <w:r>
        <w:rPr>
          <w:sz w:val="22"/>
        </w:rPr>
        <w:t>Pohľadávok – obstarávacia cena</w:t>
      </w:r>
    </w:p>
    <w:p>
      <w:pPr>
        <w:pStyle w:val="Normal"/>
        <w:spacing w:lineRule="auto" w:line="360" w:before="0" w:after="0"/>
        <w:ind w:left="644" w:right="0" w:hanging="360"/>
        <w:rPr/>
      </w:pPr>
      <w:r>
        <w:rPr>
          <w:sz w:val="22"/>
        </w:rPr>
        <w:t xml:space="preserve"> </w:t>
      </w:r>
      <w:r>
        <w:rPr>
          <w:sz w:val="22"/>
        </w:rPr>
        <w:t>krátkodobého finančného majetku – obstarávacia cena</w:t>
      </w:r>
    </w:p>
    <w:p>
      <w:pPr>
        <w:pStyle w:val="Normal"/>
        <w:spacing w:lineRule="auto" w:line="360" w:before="0" w:after="0"/>
        <w:ind w:left="644" w:right="0" w:hanging="360"/>
        <w:rPr/>
      </w:pPr>
      <w:r>
        <w:rPr>
          <w:sz w:val="22"/>
        </w:rPr>
        <w:t xml:space="preserve"> </w:t>
      </w:r>
      <w:r>
        <w:rPr>
          <w:sz w:val="22"/>
        </w:rPr>
        <w:t>záväzkov vrátane rezerv, dlhopisov, pôžičiek a úverov – obstarávacia cena</w:t>
      </w:r>
    </w:p>
    <w:p>
      <w:pPr>
        <w:pStyle w:val="Normal"/>
        <w:spacing w:lineRule="auto" w:line="360" w:before="0" w:after="0"/>
        <w:ind w:left="644" w:right="0" w:hanging="360"/>
        <w:rPr/>
      </w:pPr>
      <w:r>
        <w:rPr>
          <w:sz w:val="22"/>
        </w:rPr>
        <w:t>derivátových operácií – obstarávacia cena</w:t>
      </w:r>
    </w:p>
    <w:p>
      <w:pPr>
        <w:pStyle w:val="Normal"/>
        <w:spacing w:lineRule="auto" w:line="360" w:before="0" w:after="0"/>
        <w:ind w:left="644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>(3) Spôsob zostavenia odpisového plánu pre jednotlivé druhy dlhodobého hmotného majetku  a dlhodobého nehmotného majetku, pričom sa uvádza doba odpisovania, použité sadzby odpisov a odpisové metódy pri určení odpisov.</w:t>
      </w:r>
    </w:p>
    <w:p>
      <w:pPr>
        <w:pStyle w:val="Normal"/>
        <w:spacing w:lineRule="auto" w:line="360" w:before="0" w:after="0"/>
        <w:ind w:left="0" w:right="0" w:hanging="0"/>
        <w:rPr/>
      </w:pPr>
      <w:r>
        <w:rPr/>
      </w:r>
    </w:p>
    <w:tbl>
      <w:tblPr>
        <w:tblW w:w="8264" w:type="dxa"/>
        <w:jc w:val="left"/>
        <w:tblInd w:w="-17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4"/>
        <w:gridCol w:w="925"/>
        <w:gridCol w:w="1882"/>
        <w:gridCol w:w="1942"/>
      </w:tblGrid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013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25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019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25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021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25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4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Počítače s príslušenstvom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20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14,3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022.A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14,3</w:t>
            </w:r>
          </w:p>
        </w:tc>
      </w:tr>
      <w:tr>
        <w:trPr/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36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029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5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2"/>
              </w:rPr>
              <w:t>20</w:t>
            </w:r>
          </w:p>
        </w:tc>
      </w:tr>
    </w:tbl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 - Neboli</w:t>
      </w:r>
    </w:p>
    <w:p>
      <w:pPr>
        <w:pStyle w:val="Normal"/>
        <w:spacing w:lineRule="auto" w:line="360" w:before="0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>(5) Informácie o dotáciách a ich oceňovanie v účtovníctve. – Nie je plnenie</w:t>
      </w:r>
    </w:p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– Neboli.</w:t>
      </w:r>
    </w:p>
    <w:p>
      <w:pPr>
        <w:pStyle w:val="Normal"/>
        <w:spacing w:lineRule="auto" w:line="360" w:before="0" w:after="0"/>
        <w:ind w:left="0" w:right="0" w:hanging="0"/>
        <w:rPr/>
      </w:pPr>
      <w:r>
        <w:rPr/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b/>
        </w:rPr>
        <w:t>ČL. III  INFORMÁCIE, KTORÉ DOPĹŇAJÚ A VYSVETĽUJÚ SÚVAHU A VÝKAZ ZISKOV A STRÁT</w:t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- Neboli.</w:t>
      </w:r>
    </w:p>
    <w:p>
      <w:pPr>
        <w:pStyle w:val="Normal"/>
        <w:spacing w:lineRule="auto" w:line="360" w:before="0" w:after="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 w:before="0" w:after="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obchodných záväzkoch, a to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a) celkovej sume obchodných záväzkov so zostatkovou dobou splatnosti dlhšou ako päť rokov,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záväzkov.</w:t>
      </w:r>
    </w:p>
    <w:p>
      <w:pPr>
        <w:pStyle w:val="Normal"/>
        <w:spacing w:lineRule="auto" w:line="360" w:before="0" w:after="0"/>
        <w:ind w:left="142" w:right="0" w:hanging="0"/>
        <w:rPr/>
      </w:pPr>
      <w:r>
        <w:rPr>
          <w:b/>
          <w:sz w:val="22"/>
        </w:rPr>
        <w:t>Tabuľka k záväzkom</w:t>
      </w:r>
    </w:p>
    <w:tbl>
      <w:tblPr>
        <w:tblW w:w="10170" w:type="dxa"/>
        <w:jc w:val="left"/>
        <w:tblInd w:w="3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5"/>
        <w:gridCol w:w="2813"/>
        <w:gridCol w:w="3202"/>
      </w:tblGrid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lang w:eastAsia="sk-SK"/>
              </w:rPr>
              <w:t>13 329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  <w:lang w:eastAsia="sk-SK"/>
              </w:rPr>
              <w:t>22 721</w:t>
            </w:r>
          </w:p>
        </w:tc>
      </w:tr>
      <w:tr>
        <w:trPr>
          <w:trHeight w:val="391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Times New Roman" w:ascii="Times New Roman" w:hAnsi="Times New Roman"/>
                <w:sz w:val="18"/>
                <w:lang w:val="cs-CZ"/>
              </w:rPr>
              <w:t>27 213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18"/>
              </w:rPr>
              <w:t>4 691</w:t>
            </w:r>
          </w:p>
        </w:tc>
      </w:tr>
      <w:tr>
        <w:trPr>
          <w:trHeight w:val="447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</w:rPr>
              <w:t>40 542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</w:rPr>
              <w:t>27 412</w:t>
            </w:r>
          </w:p>
        </w:tc>
      </w:tr>
      <w:tr>
        <w:trPr/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</w:rPr>
              <w:t>186 758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</w:rPr>
              <w:t>159 058</w:t>
            </w:r>
          </w:p>
        </w:tc>
      </w:tr>
      <w:tr>
        <w:trPr>
          <w:trHeight w:val="478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</w:rPr>
              <w:t>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sz w:val="18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</w:rPr>
              <w:t>186 758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18"/>
              </w:rPr>
              <w:t>159 058</w:t>
            </w:r>
          </w:p>
        </w:tc>
      </w:tr>
      <w:tr>
        <w:trPr>
          <w:trHeight w:val="409" w:hRule="atLeast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 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Times New Roman" w:ascii="Times New Roman" w:hAnsi="Times New Roman"/>
                <w:b/>
                <w:sz w:val="18"/>
                <w:lang w:val="cs-CZ"/>
              </w:rPr>
              <w:t>227 300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420"/>
              </w:tabs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18"/>
              </w:rPr>
              <w:t>186 470</w:t>
            </w:r>
          </w:p>
        </w:tc>
      </w:tr>
    </w:tbl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180" w:right="0" w:hanging="180"/>
        <w:rPr/>
      </w:pPr>
      <w:r>
        <w:rPr>
          <w:sz w:val="22"/>
        </w:rPr>
        <w:t>(3) Informácie o vlastných akciách – spoločnosť nemá vlastné akcie</w:t>
      </w:r>
    </w:p>
    <w:p>
      <w:pPr>
        <w:pStyle w:val="Normal"/>
        <w:spacing w:lineRule="auto" w:line="360"/>
        <w:ind w:left="180" w:right="0" w:hanging="18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180" w:right="0" w:hanging="180"/>
        <w:rPr/>
      </w:pPr>
      <w:r>
        <w:rPr>
          <w:sz w:val="22"/>
        </w:rPr>
        <w:t xml:space="preserve"> </w:t>
      </w:r>
      <w:r>
        <w:rPr>
          <w:sz w:val="22"/>
        </w:rPr>
        <w:t>(4) Informácie o orgánoch účtovnej jednotky, a to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 – nie je plnenie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b) pôžičkách poskytnutých členom štatutárneho orgánu, dozorného orgánu a iného orgánu účtovnej jednotky – nie je plnenie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 – Nie je plnenie.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 - Neboli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– Nie su.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oceniť,</w:t>
      </w:r>
    </w:p>
    <w:p>
      <w:pPr>
        <w:pStyle w:val="Normal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 – Nie je plnenie.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 – Nie je plnenie.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 – Nie je plnenie.</w:t>
      </w:r>
    </w:p>
    <w:p>
      <w:pPr>
        <w:pStyle w:val="Normal"/>
        <w:spacing w:lineRule="auto" w:line="360"/>
        <w:ind w:left="567" w:right="0" w:hanging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0" w:before="0" w:after="0"/>
        <w:ind w:left="0" w:right="0" w:hanging="0"/>
        <w:jc w:val="left"/>
        <w:rPr>
          <w:lang w:val="cs-CZ"/>
        </w:rPr>
      </w:pPr>
      <w:r>
        <w:rPr>
          <w:lang w:val="cs-CZ"/>
        </w:rPr>
      </w:r>
    </w:p>
    <w:p>
      <w:pPr>
        <w:pStyle w:val="Normal"/>
        <w:spacing w:lineRule="auto" w:line="360" w:before="120" w:after="120"/>
        <w:ind w:left="0" w:right="0" w:hanging="0"/>
        <w:jc w:val="both"/>
        <w:rPr>
          <w:lang w:val="ar-SA"/>
        </w:rPr>
      </w:pPr>
      <w:r>
        <w:rPr>
          <w:rFonts w:eastAsia="Arial" w:cs="Arial" w:ascii="Arial" w:hAnsi="Arial"/>
          <w:sz w:val="20"/>
          <w:lang w:val="ar-SA" w:eastAsia="ar-SA"/>
        </w:rPr>
        <w:t xml:space="preserve">DIČ: 2021998528 </w:t>
      </w:r>
    </w:p>
    <w:p>
      <w:pPr>
        <w:pStyle w:val="Normal"/>
        <w:spacing w:lineRule="auto" w:line="360" w:before="120" w:after="120"/>
        <w:ind w:left="0" w:right="0" w:firstLine="1"/>
        <w:jc w:val="left"/>
        <w:rPr>
          <w:lang w:val="ar-SA"/>
        </w:rPr>
      </w:pPr>
      <w:r>
        <w:rPr>
          <w:rFonts w:eastAsia="Arial" w:cs="Arial" w:ascii="Arial" w:hAnsi="Arial"/>
          <w:sz w:val="20"/>
          <w:lang w:val="ar-SA" w:eastAsia="ar-SA"/>
        </w:rPr>
        <w:t>Poznámky Úč MÚJ 3 – 01</w:t>
      </w:r>
    </w:p>
    <w:p>
      <w:pPr>
        <w:pStyle w:val="Normal"/>
        <w:spacing w:lineRule="auto" w:line="360" w:before="120" w:after="120"/>
        <w:ind w:left="0" w:right="0" w:hanging="0"/>
        <w:jc w:val="both"/>
        <w:rPr>
          <w:lang w:val="ar-SA"/>
        </w:rPr>
      </w:pPr>
      <w:r>
        <w:rPr>
          <w:rFonts w:eastAsia="Arial" w:cs="Arial" w:ascii="Arial" w:hAnsi="Arial"/>
          <w:sz w:val="20"/>
          <w:lang w:val="ar-SA" w:eastAsia="ar-SA"/>
        </w:rPr>
        <w:t>IČO:     35930411</w:t>
      </w:r>
    </w:p>
    <w:p>
      <w:pPr>
        <w:pStyle w:val="Header"/>
        <w:tabs>
          <w:tab w:val="center" w:pos="4536" w:leader="none"/>
          <w:tab w:val="right" w:pos="9072" w:leader="none"/>
        </w:tabs>
        <w:bidi w:val="0"/>
        <w:spacing w:lineRule="auto" w:line="360" w:before="0" w:after="120"/>
        <w:ind w:left="0" w:right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swiss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eastAsia="Arial" w:cs="Arial" w:ascii="Arial" w:hAnsi="Arial"/>
        <w:sz w:val="20"/>
        <w:lang w:val="sk-SK" w:eastAsia="ar-SA"/>
      </w:rPr>
      <w:t xml:space="preserve">Strana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PAGE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4</w:t>
    </w:r>
    <w:r>
      <w:rPr>
        <w:sz w:val="20"/>
        <w:rFonts w:eastAsia="Arial" w:cs="Arial" w:ascii="Arial" w:hAnsi="Arial"/>
      </w:rPr>
      <w:fldChar w:fldCharType="end"/>
    </w:r>
    <w:r>
      <w:rPr>
        <w:rFonts w:eastAsia="Arial" w:cs="Arial" w:ascii="Arial" w:hAnsi="Arial"/>
        <w:sz w:val="20"/>
        <w:lang w:val="sk-SK" w:eastAsia="ar-SA"/>
      </w:rPr>
      <w:t xml:space="preserve"> z </w:t>
    </w:r>
    <w:r>
      <w:rPr>
        <w:rFonts w:eastAsia="Arial" w:cs="Arial" w:ascii="Arial" w:hAnsi="Arial"/>
        <w:sz w:val="20"/>
        <w:lang w:val="cs-CZ" w:eastAsia="ar-SA"/>
      </w:rPr>
      <w:fldChar w:fldCharType="begin"/>
    </w:r>
    <w:r>
      <w:rPr>
        <w:sz w:val="20"/>
        <w:rFonts w:eastAsia="Arial" w:cs="Arial" w:ascii="Arial" w:hAnsi="Arial"/>
      </w:rPr>
      <w:instrText> NUMPAGES </w:instrText>
    </w:r>
    <w:r>
      <w:rPr>
        <w:sz w:val="20"/>
        <w:rFonts w:eastAsia="Arial" w:cs="Arial" w:ascii="Arial" w:hAnsi="Arial"/>
      </w:rPr>
      <w:fldChar w:fldCharType="separate"/>
    </w:r>
    <w:r>
      <w:rPr>
        <w:sz w:val="20"/>
        <w:rFonts w:eastAsia="Arial" w:cs="Arial" w:ascii="Arial" w:hAnsi="Arial"/>
      </w:rPr>
      <w:t>4</w:t>
    </w:r>
    <w:r>
      <w:rPr>
        <w:sz w:val="20"/>
        <w:rFonts w:eastAsia="Arial"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eastAsia="Arial"/>
        <w:sz w:val="20"/>
        <w:lang w:val="sk-SK" w:eastAsia="ar-SA"/>
      </w:rPr>
    </w:pPr>
    <w:r>
      <w:rPr>
        <w:rFonts w:eastAsia="Arial"/>
        <w:sz w:val="20"/>
        <w:lang w:val="sk-SK" w:eastAsia="ar-SA"/>
      </w:rPr>
    </w:r>
    <w:r>
      <mc:AlternateContent>
        <mc:Choice Requires="wps">
          <w:drawing>
            <wp:anchor behindDoc="0" distT="72390" distB="72390" distL="72390" distR="72390" simplePos="0" locked="0" layoutInCell="1" allowOverlap="1" relativeHeight="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DIČ: </w:t>
                          </w:r>
                          <w:bookmarkStart w:id="0" w:name="DICHLAV"/>
                          <w:bookmarkEnd w:id="0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2021998528</w:t>
                          </w:r>
                          <w:bookmarkStart w:id="1" w:name="DICHLAV_END"/>
                          <w:bookmarkEnd w:id="1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DIČ: </w:t>
                    </w:r>
                    <w:bookmarkStart w:id="2" w:name="DICHLAV"/>
                    <w:bookmarkEnd w:id="2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2021998528</w:t>
                    </w:r>
                    <w:bookmarkStart w:id="3" w:name="DICHLAV_END"/>
                    <w:bookmarkEnd w:id="3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72390" distB="72390" distL="72390" distR="72390" simplePos="0" locked="0" layoutInCell="1" allowOverlap="1" relativeHeight="1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suppressAutoHyphens w:val="true"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 xml:space="preserve">IČO:     </w:t>
                          </w:r>
                          <w:bookmarkStart w:id="4" w:name="ICOHLAV_END"/>
                          <w:bookmarkStart w:id="5" w:name="ICOHLAV"/>
                          <w:bookmarkEnd w:id="4"/>
                          <w:bookmarkEnd w:id="5"/>
                          <w:r>
                            <w:rPr>
                              <w:rFonts w:eastAsia="Arial" w:cs="Arial" w:ascii="Arial" w:hAnsi="Arial"/>
                              <w:color w:val="auto"/>
                              <w:kern w:val="2"/>
                              <w:sz w:val="20"/>
                              <w:lang w:val="cs-CZ" w:eastAsia="ar-SA"/>
                            </w:rPr>
                            <w:t>35930411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suppressAutoHyphens w:val="true"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 xml:space="preserve">IČO:     </w:t>
                    </w:r>
                    <w:bookmarkStart w:id="6" w:name="ICOHLAV_END"/>
                    <w:bookmarkStart w:id="7" w:name="ICOHLAV"/>
                    <w:bookmarkEnd w:id="6"/>
                    <w:bookmarkEnd w:id="7"/>
                    <w:r>
                      <w:rPr>
                        <w:rFonts w:eastAsia="Arial" w:cs="Arial" w:ascii="Arial" w:hAnsi="Arial"/>
                        <w:color w:val="auto"/>
                        <w:kern w:val="2"/>
                        <w:sz w:val="20"/>
                        <w:lang w:val="cs-CZ" w:eastAsia="ar-SA"/>
                      </w:rPr>
                      <w:t>35930411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4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</w:pPr>
    <w:rPr>
      <w:rFonts w:ascii="Liberation Serif" w:hAnsi="Liberation Serif" w:eastAsia="Lucida Sans" w:cs="Liberation Serif"/>
      <w:color w:val="auto"/>
      <w:kern w:val="2"/>
      <w:sz w:val="24"/>
      <w:szCs w:val="24"/>
      <w:lang w:eastAsia="hi-IN" w:bidi="cs-CZ" w:val="cs-CZ"/>
    </w:rPr>
  </w:style>
  <w:style w:type="paragraph" w:styleId="Heading2">
    <w:name w:val="Heading 2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Arial Narrow" w:hAnsi="Arial Narrow" w:eastAsia="Arial"/>
      <w:b/>
      <w:i/>
      <w:sz w:val="28"/>
      <w:lang w:val="sk-SK" w:eastAsia="ar-SA"/>
    </w:rPr>
  </w:style>
  <w:style w:type="paragraph" w:styleId="Heading3">
    <w:name w:val="Heading 3"/>
    <w:basedOn w:val="Heading"/>
    <w:qFormat/>
    <w:pPr>
      <w:keepNext w:val="true"/>
      <w:widowControl/>
      <w:spacing w:lineRule="auto" w:line="360" w:before="240" w:after="60"/>
      <w:jc w:val="both"/>
      <w:textAlignment w:val="auto"/>
    </w:pPr>
    <w:rPr>
      <w:rFonts w:ascii="Cambria" w:hAnsi="Cambria" w:eastAsia="Cambria"/>
      <w:b/>
      <w:sz w:val="26"/>
      <w:lang w:val="sk-SK" w:eastAsia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Cambria"/>
      <w:b/>
      <w:kern w:val="2"/>
      <w:sz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Cambria"/>
      <w:b/>
      <w:i/>
      <w:sz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Cambria"/>
      <w:b/>
      <w:sz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eastAsia="Arial"/>
      <w:b/>
      <w:sz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eastAsia="Arial"/>
      <w:sz w:val="24"/>
      <w:lang w:val="cs-CZ" w:eastAsia="cs-CZ"/>
    </w:rPr>
  </w:style>
  <w:style w:type="character" w:styleId="Pagenumber">
    <w:name w:val="page number"/>
    <w:basedOn w:val="DefaultParagraphFont"/>
    <w:qFormat/>
    <w:rPr>
      <w:rFonts w:eastAsia="Times New Roman"/>
    </w:rPr>
  </w:style>
  <w:style w:type="character" w:styleId="Strong">
    <w:name w:val="Strong"/>
    <w:basedOn w:val="DefaultParagraphFont"/>
    <w:qFormat/>
    <w:rPr>
      <w:rFonts w:eastAsia="Times New Roman"/>
      <w:b/>
    </w:rPr>
  </w:style>
  <w:style w:type="character" w:styleId="TextbublinyChar">
    <w:name w:val="Text bubliny Char"/>
    <w:basedOn w:val="DefaultParagraphFont"/>
    <w:qFormat/>
    <w:rPr>
      <w:rFonts w:ascii="Tahoma" w:hAnsi="Tahoma" w:eastAsia="Tahoma"/>
      <w:sz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eastAsia="Arial"/>
      <w:sz w:val="24"/>
      <w:lang w:val="cs-CZ" w:eastAsia="cs-CZ"/>
    </w:rPr>
  </w:style>
  <w:style w:type="character" w:styleId="ListLabel1">
    <w:name w:val="ListLabel 1"/>
    <w:qFormat/>
    <w:rPr>
      <w:rFonts w:eastAsia="Arial"/>
    </w:rPr>
  </w:style>
  <w:style w:type="character" w:styleId="ListLabel2">
    <w:name w:val="ListLabel 2"/>
    <w:qFormat/>
    <w:rPr>
      <w:rFonts w:eastAsia="Times New Roman"/>
    </w:rPr>
  </w:style>
  <w:style w:type="character" w:styleId="ListLabel3">
    <w:name w:val="ListLabel 3"/>
    <w:qFormat/>
    <w:rPr>
      <w:rFonts w:eastAsia="Times New Roman"/>
    </w:rPr>
  </w:style>
  <w:style w:type="character" w:styleId="ListLabel4">
    <w:name w:val="ListLabel 4"/>
    <w:qFormat/>
    <w:rPr>
      <w:rFonts w:eastAsia="Times New Roman"/>
    </w:rPr>
  </w:style>
  <w:style w:type="character" w:styleId="ListLabel5">
    <w:name w:val="ListLabel 5"/>
    <w:qFormat/>
    <w:rPr>
      <w:rFonts w:eastAsia="Times New Roman"/>
    </w:rPr>
  </w:style>
  <w:style w:type="character" w:styleId="ListLabel6">
    <w:name w:val="ListLabel 6"/>
    <w:qFormat/>
    <w:rPr>
      <w:rFonts w:eastAsia="Times New Roman"/>
    </w:rPr>
  </w:style>
  <w:style w:type="character" w:styleId="ListLabel7">
    <w:name w:val="ListLabel 7"/>
    <w:qFormat/>
    <w:rPr>
      <w:rFonts w:eastAsia="Times New Roman"/>
    </w:rPr>
  </w:style>
  <w:style w:type="character" w:styleId="ListLabel8">
    <w:name w:val="ListLabel 8"/>
    <w:qFormat/>
    <w:rPr>
      <w:rFonts w:eastAsia="Times New Roman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Arial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character" w:styleId="ListLabel28">
    <w:name w:val="ListLabel 28"/>
    <w:qFormat/>
    <w:rPr>
      <w:rFonts w:eastAsia="Times New Roman"/>
    </w:rPr>
  </w:style>
  <w:style w:type="character" w:styleId="ListLabel29">
    <w:name w:val="ListLabel 29"/>
    <w:qFormat/>
    <w:rPr>
      <w:rFonts w:eastAsia="Times New Roman"/>
    </w:rPr>
  </w:style>
  <w:style w:type="character" w:styleId="ListLabel30">
    <w:name w:val="ListLabel 30"/>
    <w:qFormat/>
    <w:rPr>
      <w:rFonts w:eastAsia="Times New Roman"/>
    </w:rPr>
  </w:style>
  <w:style w:type="character" w:styleId="ListLabel31">
    <w:name w:val="ListLabel 31"/>
    <w:qFormat/>
    <w:rPr>
      <w:rFonts w:eastAsia="Times New Roman"/>
    </w:rPr>
  </w:style>
  <w:style w:type="character" w:styleId="ListLabel32">
    <w:name w:val="ListLabel 32"/>
    <w:qFormat/>
    <w:rPr>
      <w:rFonts w:eastAsia="Times New Roman"/>
    </w:rPr>
  </w:style>
  <w:style w:type="character" w:styleId="ListLabel33">
    <w:name w:val="ListLabel 33"/>
    <w:qFormat/>
    <w:rPr>
      <w:rFonts w:eastAsia="Times New Roman"/>
    </w:rPr>
  </w:style>
  <w:style w:type="character" w:styleId="ListLabel34">
    <w:name w:val="ListLabel 34"/>
    <w:qFormat/>
    <w:rPr>
      <w:rFonts w:eastAsia="Times New Roman"/>
    </w:rPr>
  </w:style>
  <w:style w:type="character" w:styleId="ListLabel35">
    <w:name w:val="ListLabel 35"/>
    <w:qFormat/>
    <w:rPr>
      <w:rFonts w:eastAsia="Times New Roman"/>
    </w:rPr>
  </w:style>
  <w:style w:type="character" w:styleId="ListLabel36">
    <w:name w:val="ListLabel 36"/>
    <w:qFormat/>
    <w:rPr>
      <w:rFonts w:eastAsia="Times New Roman"/>
    </w:rPr>
  </w:style>
  <w:style w:type="character" w:styleId="ListLabel37">
    <w:name w:val="ListLabel 37"/>
    <w:qFormat/>
    <w:rPr>
      <w:rFonts w:eastAsia="Times New Roman"/>
    </w:rPr>
  </w:style>
  <w:style w:type="character" w:styleId="ListLabel38">
    <w:name w:val="ListLabel 38"/>
    <w:qFormat/>
    <w:rPr>
      <w:rFonts w:eastAsia="Times New Roman"/>
    </w:rPr>
  </w:style>
  <w:style w:type="character" w:styleId="ListLabel39">
    <w:name w:val="ListLabel 39"/>
    <w:qFormat/>
    <w:rPr>
      <w:rFonts w:eastAsia="Times New Roman"/>
    </w:rPr>
  </w:style>
  <w:style w:type="character" w:styleId="ListLabel40">
    <w:name w:val="ListLabel 40"/>
    <w:qFormat/>
    <w:rPr>
      <w:rFonts w:eastAsia="Times New Roman"/>
    </w:rPr>
  </w:style>
  <w:style w:type="character" w:styleId="ListLabel41">
    <w:name w:val="ListLabel 41"/>
    <w:qFormat/>
    <w:rPr>
      <w:rFonts w:eastAsia="Times New Roman"/>
    </w:rPr>
  </w:style>
  <w:style w:type="character" w:styleId="ListLabel42">
    <w:name w:val="ListLabel 42"/>
    <w:qFormat/>
    <w:rPr>
      <w:rFonts w:eastAsia="Times New Roman"/>
    </w:rPr>
  </w:style>
  <w:style w:type="character" w:styleId="ListLabel43">
    <w:name w:val="ListLabel 43"/>
    <w:qFormat/>
    <w:rPr>
      <w:rFonts w:eastAsia="Times New Roman"/>
    </w:rPr>
  </w:style>
  <w:style w:type="character" w:styleId="ListLabel44">
    <w:name w:val="ListLabel 44"/>
    <w:qFormat/>
    <w:rPr>
      <w:rFonts w:eastAsia="Times New Roman"/>
    </w:rPr>
  </w:style>
  <w:style w:type="character" w:styleId="ListLabel45">
    <w:name w:val="ListLabel 45"/>
    <w:qFormat/>
    <w:rPr>
      <w:rFonts w:eastAsia="Times New Roman"/>
    </w:rPr>
  </w:style>
  <w:style w:type="character" w:styleId="ListLabel46">
    <w:name w:val="ListLabel 46"/>
    <w:qFormat/>
    <w:rPr>
      <w:rFonts w:eastAsia="Times New Roman"/>
    </w:rPr>
  </w:style>
  <w:style w:type="character" w:styleId="ListLabel47">
    <w:name w:val="ListLabel 47"/>
    <w:qFormat/>
    <w:rPr>
      <w:rFonts w:eastAsia="Times New Roman"/>
    </w:rPr>
  </w:style>
  <w:style w:type="character" w:styleId="ListLabel48">
    <w:name w:val="ListLabel 48"/>
    <w:qFormat/>
    <w:rPr>
      <w:rFonts w:eastAsia="Times New Roman"/>
    </w:rPr>
  </w:style>
  <w:style w:type="character" w:styleId="ListLabel49">
    <w:name w:val="ListLabel 49"/>
    <w:qFormat/>
    <w:rPr>
      <w:rFonts w:eastAsia="Times New Roman"/>
    </w:rPr>
  </w:style>
  <w:style w:type="character" w:styleId="ListLabel50">
    <w:name w:val="ListLabel 50"/>
    <w:qFormat/>
    <w:rPr>
      <w:rFonts w:eastAsia="Times New Roman"/>
    </w:rPr>
  </w:style>
  <w:style w:type="character" w:styleId="ListLabel51">
    <w:name w:val="ListLabel 51"/>
    <w:qFormat/>
    <w:rPr>
      <w:rFonts w:eastAsia="Times New Roman"/>
    </w:rPr>
  </w:style>
  <w:style w:type="character" w:styleId="ListLabel52">
    <w:name w:val="ListLabel 52"/>
    <w:qFormat/>
    <w:rPr>
      <w:rFonts w:eastAsia="Times New Roman"/>
    </w:rPr>
  </w:style>
  <w:style w:type="character" w:styleId="ListLabel53">
    <w:name w:val="ListLabel 53"/>
    <w:qFormat/>
    <w:rPr>
      <w:rFonts w:eastAsia="Times New Roman"/>
    </w:rPr>
  </w:style>
  <w:style w:type="character" w:styleId="ListLabel54">
    <w:name w:val="ListLabel 54"/>
    <w:qFormat/>
    <w:rPr>
      <w:rFonts w:eastAsia="Times New Roman"/>
    </w:rPr>
  </w:style>
  <w:style w:type="character" w:styleId="ListLabel55">
    <w:name w:val="ListLabel 55"/>
    <w:qFormat/>
    <w:rPr>
      <w:rFonts w:eastAsia="Times New Roman"/>
    </w:rPr>
  </w:style>
  <w:style w:type="character" w:styleId="ListLabel56">
    <w:name w:val="ListLabel 56"/>
    <w:qFormat/>
    <w:rPr>
      <w:rFonts w:eastAsia="Times New Roman"/>
    </w:rPr>
  </w:style>
  <w:style w:type="character" w:styleId="ListLabel57">
    <w:name w:val="ListLabel 57"/>
    <w:qFormat/>
    <w:rPr>
      <w:rFonts w:eastAsia="Times New Roman"/>
    </w:rPr>
  </w:style>
  <w:style w:type="character" w:styleId="ListLabel58">
    <w:name w:val="ListLabel 58"/>
    <w:qFormat/>
    <w:rPr>
      <w:rFonts w:eastAsia="Times New Roman"/>
    </w:rPr>
  </w:style>
  <w:style w:type="character" w:styleId="ListLabel59">
    <w:name w:val="ListLabel 59"/>
    <w:qFormat/>
    <w:rPr>
      <w:rFonts w:eastAsia="Times New Roman"/>
    </w:rPr>
  </w:style>
  <w:style w:type="character" w:styleId="ListLabel60">
    <w:name w:val="ListLabel 60"/>
    <w:qFormat/>
    <w:rPr>
      <w:rFonts w:eastAsia="Times New Roman"/>
    </w:rPr>
  </w:style>
  <w:style w:type="character" w:styleId="ListLabel61">
    <w:name w:val="ListLabel 61"/>
    <w:qFormat/>
    <w:rPr>
      <w:rFonts w:eastAsia="Times New Roman"/>
    </w:rPr>
  </w:style>
  <w:style w:type="character" w:styleId="ListLabel62">
    <w:name w:val="ListLabel 62"/>
    <w:qFormat/>
    <w:rPr>
      <w:rFonts w:eastAsia="Times New Roman"/>
    </w:rPr>
  </w:style>
  <w:style w:type="character" w:styleId="ListLabel63">
    <w:name w:val="ListLabel 63"/>
    <w:qFormat/>
    <w:rPr>
      <w:rFonts w:eastAsia="Times New Roman"/>
    </w:rPr>
  </w:style>
  <w:style w:type="character" w:styleId="ListLabel64">
    <w:name w:val="ListLabel 64"/>
    <w:qFormat/>
    <w:rPr>
      <w:rFonts w:eastAsia="Times New Roman"/>
    </w:rPr>
  </w:style>
  <w:style w:type="character" w:styleId="ListLabel65">
    <w:name w:val="ListLabel 65"/>
    <w:qFormat/>
    <w:rPr>
      <w:rFonts w:eastAsia="Times New Roman"/>
    </w:rPr>
  </w:style>
  <w:style w:type="character" w:styleId="ListLabel66">
    <w:name w:val="ListLabel 66"/>
    <w:qFormat/>
    <w:rPr>
      <w:rFonts w:eastAsia="Times New Roman"/>
    </w:rPr>
  </w:style>
  <w:style w:type="character" w:styleId="ListLabel67">
    <w:name w:val="ListLabel 67"/>
    <w:qFormat/>
    <w:rPr>
      <w:rFonts w:eastAsia="Times New Roman"/>
    </w:rPr>
  </w:style>
  <w:style w:type="character" w:styleId="ListLabel68">
    <w:name w:val="ListLabel 68"/>
    <w:qFormat/>
    <w:rPr>
      <w:rFonts w:eastAsia="Times New Roman"/>
    </w:rPr>
  </w:style>
  <w:style w:type="character" w:styleId="ListLabel69">
    <w:name w:val="ListLabel 69"/>
    <w:qFormat/>
    <w:rPr>
      <w:rFonts w:eastAsia="Times New Roman"/>
    </w:rPr>
  </w:style>
  <w:style w:type="character" w:styleId="ListLabel70">
    <w:name w:val="ListLabel 70"/>
    <w:qFormat/>
    <w:rPr>
      <w:rFonts w:eastAsia="Times New Roman"/>
    </w:rPr>
  </w:style>
  <w:style w:type="character" w:styleId="ListLabel71">
    <w:name w:val="ListLabel 71"/>
    <w:qFormat/>
    <w:rPr>
      <w:rFonts w:eastAsia="Times New Roman"/>
    </w:rPr>
  </w:style>
  <w:style w:type="character" w:styleId="ListLabel72">
    <w:name w:val="ListLabel 72"/>
    <w:qFormat/>
    <w:rPr>
      <w:rFonts w:eastAsia="Times New Roman"/>
    </w:rPr>
  </w:style>
  <w:style w:type="character" w:styleId="ListLabel73">
    <w:name w:val="ListLabel 73"/>
    <w:qFormat/>
    <w:rPr>
      <w:rFonts w:eastAsia="Times New Roman"/>
    </w:rPr>
  </w:style>
  <w:style w:type="character" w:styleId="ListLabel74">
    <w:name w:val="ListLabel 74"/>
    <w:qFormat/>
    <w:rPr>
      <w:rFonts w:eastAsia="Times New Roman"/>
    </w:rPr>
  </w:style>
  <w:style w:type="character" w:styleId="ListLabel75">
    <w:name w:val="ListLabel 75"/>
    <w:qFormat/>
    <w:rPr>
      <w:rFonts w:eastAsia="Times New Roman"/>
    </w:rPr>
  </w:style>
  <w:style w:type="character" w:styleId="ListLabel76">
    <w:name w:val="ListLabel 76"/>
    <w:qFormat/>
    <w:rPr>
      <w:rFonts w:eastAsia="Times New Roman"/>
    </w:rPr>
  </w:style>
  <w:style w:type="character" w:styleId="ListLabel77">
    <w:name w:val="ListLabel 77"/>
    <w:qFormat/>
    <w:rPr>
      <w:rFonts w:eastAsia="Times New Roman"/>
    </w:rPr>
  </w:style>
  <w:style w:type="character" w:styleId="ListLabel78">
    <w:name w:val="ListLabel 78"/>
    <w:qFormat/>
    <w:rPr>
      <w:rFonts w:eastAsia="Times New Roman"/>
    </w:rPr>
  </w:style>
  <w:style w:type="character" w:styleId="ListLabel79">
    <w:name w:val="ListLabel 79"/>
    <w:qFormat/>
    <w:rPr>
      <w:rFonts w:eastAsia="Times New Roman"/>
    </w:rPr>
  </w:style>
  <w:style w:type="character" w:styleId="ListLabel80">
    <w:name w:val="ListLabel 80"/>
    <w:qFormat/>
    <w:rPr>
      <w:rFonts w:eastAsia="Times New Roman"/>
    </w:rPr>
  </w:style>
  <w:style w:type="character" w:styleId="ListLabel81">
    <w:name w:val="ListLabel 81"/>
    <w:qFormat/>
    <w:rPr>
      <w:rFonts w:eastAsia="Times New Roman"/>
    </w:rPr>
  </w:style>
  <w:style w:type="character" w:styleId="ListLabel82">
    <w:name w:val="ListLabel 82"/>
    <w:qFormat/>
    <w:rPr>
      <w:rFonts w:eastAsia="Times New Roman"/>
    </w:rPr>
  </w:style>
  <w:style w:type="character" w:styleId="ListLabel83">
    <w:name w:val="ListLabel 83"/>
    <w:qFormat/>
    <w:rPr>
      <w:rFonts w:eastAsia="Times New Roman"/>
    </w:rPr>
  </w:style>
  <w:style w:type="character" w:styleId="ListLabel84">
    <w:name w:val="ListLabel 84"/>
    <w:qFormat/>
    <w:rPr>
      <w:rFonts w:eastAsia="Times New Roman"/>
    </w:rPr>
  </w:style>
  <w:style w:type="character" w:styleId="ListLabel85">
    <w:name w:val="ListLabel 85"/>
    <w:qFormat/>
    <w:rPr>
      <w:rFonts w:eastAsia="Times New Roman"/>
    </w:rPr>
  </w:style>
  <w:style w:type="character" w:styleId="ListLabel86">
    <w:name w:val="ListLabel 86"/>
    <w:qFormat/>
    <w:rPr>
      <w:rFonts w:eastAsia="Times New Roman"/>
    </w:rPr>
  </w:style>
  <w:style w:type="character" w:styleId="ListLabel87">
    <w:name w:val="ListLabel 87"/>
    <w:qFormat/>
    <w:rPr>
      <w:rFonts w:eastAsia="Times New Roman"/>
    </w:rPr>
  </w:style>
  <w:style w:type="character" w:styleId="ListLabel88">
    <w:name w:val="ListLabel 88"/>
    <w:qFormat/>
    <w:rPr>
      <w:rFonts w:eastAsia="Times New Roman"/>
    </w:rPr>
  </w:style>
  <w:style w:type="character" w:styleId="ListLabel89">
    <w:name w:val="ListLabel 89"/>
    <w:qFormat/>
    <w:rPr>
      <w:rFonts w:eastAsia="Times New Roman"/>
    </w:rPr>
  </w:style>
  <w:style w:type="character" w:styleId="ListLabel90">
    <w:name w:val="ListLabel 90"/>
    <w:qFormat/>
    <w:rPr>
      <w:rFonts w:eastAsia="Times New Roman"/>
    </w:rPr>
  </w:style>
  <w:style w:type="character" w:styleId="ListLabel91">
    <w:name w:val="ListLabel 91"/>
    <w:qFormat/>
    <w:rPr>
      <w:rFonts w:eastAsia="Times New Roman"/>
      <w:sz w:val="22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eastAsia="Times New Roman"/>
    </w:rPr>
  </w:style>
  <w:style w:type="character" w:styleId="ListLabel95">
    <w:name w:val="ListLabel 95"/>
    <w:qFormat/>
    <w:rPr>
      <w:rFonts w:eastAsia="Times New Roman"/>
    </w:rPr>
  </w:style>
  <w:style w:type="character" w:styleId="ListLabel96">
    <w:name w:val="ListLabel 96"/>
    <w:qFormat/>
    <w:rPr>
      <w:rFonts w:eastAsia="Times New Roman"/>
    </w:rPr>
  </w:style>
  <w:style w:type="character" w:styleId="ListLabel97">
    <w:name w:val="ListLabel 97"/>
    <w:qFormat/>
    <w:rPr>
      <w:rFonts w:eastAsia="Times New Roman"/>
    </w:rPr>
  </w:style>
  <w:style w:type="character" w:styleId="ListLabel98">
    <w:name w:val="ListLabel 98"/>
    <w:qFormat/>
    <w:rPr>
      <w:rFonts w:eastAsia="Times New Roman"/>
    </w:rPr>
  </w:style>
  <w:style w:type="character" w:styleId="ListLabel99">
    <w:name w:val="ListLabel 99"/>
    <w:qFormat/>
    <w:rPr>
      <w:rFonts w:eastAsia="Times New Roman"/>
    </w:rPr>
  </w:style>
  <w:style w:type="character" w:styleId="ListLabel100">
    <w:name w:val="ListLabel 100"/>
    <w:qFormat/>
    <w:rPr>
      <w:rFonts w:eastAsia="Times New Roman"/>
    </w:rPr>
  </w:style>
  <w:style w:type="character" w:styleId="ListLabel101">
    <w:name w:val="ListLabel 101"/>
    <w:qFormat/>
    <w:rPr>
      <w:rFonts w:eastAsia="Times New Roman"/>
    </w:rPr>
  </w:style>
  <w:style w:type="character" w:styleId="ListLabel102">
    <w:name w:val="ListLabel 102"/>
    <w:qFormat/>
    <w:rPr>
      <w:rFonts w:eastAsia="Times New Roman"/>
    </w:rPr>
  </w:style>
  <w:style w:type="character" w:styleId="ListLabel103">
    <w:name w:val="ListLabel 103"/>
    <w:qFormat/>
    <w:rPr>
      <w:rFonts w:eastAsia="Times New Roman"/>
    </w:rPr>
  </w:style>
  <w:style w:type="character" w:styleId="ListLabel104">
    <w:name w:val="ListLabel 104"/>
    <w:qFormat/>
    <w:rPr>
      <w:rFonts w:eastAsia="Times New Roman"/>
    </w:rPr>
  </w:style>
  <w:style w:type="character" w:styleId="ListLabel105">
    <w:name w:val="ListLabel 105"/>
    <w:qFormat/>
    <w:rPr>
      <w:rFonts w:eastAsia="Times New Roman"/>
    </w:rPr>
  </w:style>
  <w:style w:type="character" w:styleId="ListLabel106">
    <w:name w:val="ListLabel 106"/>
    <w:qFormat/>
    <w:rPr>
      <w:rFonts w:eastAsia="Times New Roman"/>
    </w:rPr>
  </w:style>
  <w:style w:type="character" w:styleId="ListLabel107">
    <w:name w:val="ListLabel 107"/>
    <w:qFormat/>
    <w:rPr>
      <w:rFonts w:eastAsia="Times New Roman"/>
    </w:rPr>
  </w:style>
  <w:style w:type="character" w:styleId="ListLabel108">
    <w:name w:val="ListLabel 108"/>
    <w:qFormat/>
    <w:rPr>
      <w:rFonts w:eastAsia="Times New Roman"/>
      <w:b w:val="false"/>
      <w:sz w:val="22"/>
    </w:rPr>
  </w:style>
  <w:style w:type="character" w:styleId="ListLabel109">
    <w:name w:val="ListLabel 109"/>
    <w:qFormat/>
    <w:rPr>
      <w:rFonts w:eastAsia="Times New Roman"/>
    </w:rPr>
  </w:style>
  <w:style w:type="character" w:styleId="ListLabel110">
    <w:name w:val="ListLabel 110"/>
    <w:qFormat/>
    <w:rPr>
      <w:rFonts w:eastAsia="Times New Roman"/>
    </w:rPr>
  </w:style>
  <w:style w:type="character" w:styleId="ListLabel111">
    <w:name w:val="ListLabel 111"/>
    <w:qFormat/>
    <w:rPr>
      <w:rFonts w:eastAsia="Times New Roman"/>
    </w:rPr>
  </w:style>
  <w:style w:type="character" w:styleId="ListLabel112">
    <w:name w:val="ListLabel 112"/>
    <w:qFormat/>
    <w:rPr>
      <w:rFonts w:eastAsia="Times New Roman"/>
    </w:rPr>
  </w:style>
  <w:style w:type="character" w:styleId="ListLabel113">
    <w:name w:val="ListLabel 113"/>
    <w:qFormat/>
    <w:rPr>
      <w:rFonts w:eastAsia="Times New Roman"/>
    </w:rPr>
  </w:style>
  <w:style w:type="character" w:styleId="ListLabel114">
    <w:name w:val="ListLabel 114"/>
    <w:qFormat/>
    <w:rPr>
      <w:rFonts w:eastAsia="Times New Roman"/>
    </w:rPr>
  </w:style>
  <w:style w:type="character" w:styleId="ListLabel115">
    <w:name w:val="ListLabel 115"/>
    <w:qFormat/>
    <w:rPr>
      <w:rFonts w:eastAsia="Times New Roman"/>
    </w:rPr>
  </w:style>
  <w:style w:type="character" w:styleId="ListLabel116">
    <w:name w:val="ListLabel 116"/>
    <w:qFormat/>
    <w:rPr>
      <w:rFonts w:eastAsia="Times New Roman"/>
    </w:rPr>
  </w:style>
  <w:style w:type="paragraph" w:styleId="Heading">
    <w:name w:val="Heading"/>
    <w:basedOn w:val="Normal"/>
    <w:next w:val="TextBody"/>
    <w:qFormat/>
    <w:pPr>
      <w:keepNext w:val="true"/>
      <w:widowControl/>
      <w:spacing w:before="240" w:after="120"/>
    </w:pPr>
    <w:rPr>
      <w:rFonts w:ascii="Liberation Sans" w:hAnsi="Liberation Sans" w:eastAsia="Lucida Sans"/>
      <w:sz w:val="28"/>
    </w:rPr>
  </w:style>
  <w:style w:type="paragraph" w:styleId="TextBody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TextBody"/>
    <w:pPr>
      <w:widowControl/>
      <w:spacing w:lineRule="auto" w:line="276" w:before="0" w:after="140"/>
    </w:pPr>
    <w:rPr>
      <w:rFonts w:eastAsia="Lucida Sans"/>
    </w:rPr>
  </w:style>
  <w:style w:type="paragraph" w:styleId="Caption">
    <w:name w:val="Caption"/>
    <w:basedOn w:val="Normal"/>
    <w:qFormat/>
    <w:pPr>
      <w:widowControl/>
      <w:spacing w:before="120" w:after="120"/>
    </w:pPr>
    <w:rPr>
      <w:rFonts w:eastAsia="Lucida Sans"/>
      <w:i/>
      <w:sz w:val="24"/>
    </w:rPr>
  </w:style>
  <w:style w:type="paragraph" w:styleId="Index">
    <w:name w:val="Index"/>
    <w:basedOn w:val="Normal"/>
    <w:qFormat/>
    <w:pPr>
      <w:widowControl/>
    </w:pPr>
    <w:rPr>
      <w:rFonts w:eastAsia="Lucida Sans"/>
    </w:rPr>
  </w:style>
  <w:style w:type="paragraph" w:styleId="Normalpodnadpis">
    <w:name w:val="Normal,podnadpis"/>
    <w:qFormat/>
    <w:pPr>
      <w:widowControl/>
      <w:suppressAutoHyphens w:val="true"/>
      <w:spacing w:lineRule="auto" w:line="360" w:before="120" w:after="120"/>
      <w:jc w:val="both"/>
      <w:textAlignment w:val="auto"/>
    </w:pPr>
    <w:rPr>
      <w:rFonts w:ascii="Arial Narrow" w:hAnsi="Arial Narrow" w:eastAsia="Arial" w:cs="Liberation Serif"/>
      <w:color w:val="auto"/>
      <w:kern w:val="2"/>
      <w:sz w:val="20"/>
      <w:szCs w:val="24"/>
      <w:lang w:val="sk-SK" w:eastAsia="ar-SA" w:bidi="hi-IN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lineRule="auto" w:line="360" w:before="120" w:after="120"/>
      <w:jc w:val="center"/>
      <w:textAlignment w:val="auto"/>
    </w:pPr>
    <w:rPr>
      <w:rFonts w:ascii="Arial Narrow" w:hAnsi="Arial Narrow" w:eastAsia="Arial"/>
      <w:b/>
      <w:sz w:val="20"/>
      <w:lang w:val="sk-SK" w:eastAsia="ar-SA"/>
    </w:rPr>
  </w:style>
  <w:style w:type="paragraph" w:styleId="DocumentMap">
    <w:name w:val="DocumentMap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auto"/>
      <w:kern w:val="2"/>
      <w:sz w:val="20"/>
      <w:szCs w:val="24"/>
      <w:lang w:val="cs-CZ" w:eastAsia="ar-SA" w:bidi="hi-IN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spacing w:lineRule="auto" w:line="360"/>
      <w:jc w:val="both"/>
      <w:textAlignment w:val="auto"/>
    </w:pPr>
    <w:rPr>
      <w:rFonts w:ascii="Arial" w:hAnsi="Arial" w:eastAsia="Arial" w:cs="Liberation Serif"/>
      <w:color w:val="000000"/>
      <w:kern w:val="2"/>
      <w:sz w:val="24"/>
      <w:szCs w:val="24"/>
      <w:lang w:val="sk-SK" w:eastAsia="ar-SA" w:bidi="hi-IN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Bododvodnenie">
    <w:name w:val="Bod odôvodnenie"/>
    <w:qFormat/>
    <w:pPr>
      <w:widowControl/>
      <w:tabs>
        <w:tab w:val="clear" w:pos="420"/>
        <w:tab w:val="left" w:pos="0" w:leader="none"/>
      </w:tabs>
      <w:suppressAutoHyphens w:val="true"/>
      <w:spacing w:before="120" w:after="120"/>
      <w:jc w:val="left"/>
      <w:textAlignment w:val="auto"/>
    </w:pPr>
    <w:rPr>
      <w:rFonts w:ascii="Arial" w:hAnsi="Arial" w:eastAsia="Arial" w:cs="Liberation Serif"/>
      <w:b/>
      <w:color w:val="auto"/>
      <w:kern w:val="2"/>
      <w:sz w:val="24"/>
      <w:szCs w:val="24"/>
      <w:lang w:val="sk-SK" w:eastAsia="ar-SA" w:bidi="hi-IN"/>
    </w:rPr>
  </w:style>
  <w:style w:type="paragraph" w:styleId="TlArialPodaokraja">
    <w:name w:val="Štýl Arial Podľa okraja"/>
    <w:autoRedefine/>
    <w:qFormat/>
    <w:pPr>
      <w:widowControl/>
      <w:suppressAutoHyphens w:val="true"/>
      <w:jc w:val="both"/>
      <w:textAlignment w:val="auto"/>
    </w:pPr>
    <w:rPr>
      <w:rFonts w:ascii="Arial" w:hAnsi="Arial" w:eastAsia="Arial" w:cs="Liberation Serif"/>
      <w:color w:val="auto"/>
      <w:kern w:val="2"/>
      <w:sz w:val="16"/>
      <w:szCs w:val="24"/>
      <w:lang w:val="sk-SK" w:eastAsia="ar-SA" w:bidi="hi-IN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420"/>
        <w:tab w:val="left" w:pos="0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eastAsia="Arial"/>
      <w:sz w:val="20"/>
      <w:lang w:val="sk-SK" w:eastAsia="ar-SA"/>
    </w:rPr>
  </w:style>
  <w:style w:type="paragraph" w:styleId="Footer">
    <w:name w:val="Footer"/>
    <w:basedOn w:val="Normalpodnadpis"/>
    <w:pPr>
      <w:widowControl/>
      <w:tabs>
        <w:tab w:val="clear" w:pos="420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Normlny1">
    <w:name w:val="Normálny1"/>
    <w:qFormat/>
    <w:pPr>
      <w:widowControl/>
      <w:suppressAutoHyphens w:val="true"/>
      <w:spacing w:lineRule="auto" w:line="360" w:before="120" w:after="120"/>
      <w:ind w:firstLine="709"/>
      <w:jc w:val="both"/>
      <w:textAlignment w:val="auto"/>
    </w:pPr>
    <w:rPr>
      <w:rFonts w:ascii="Arial" w:hAnsi="Arial" w:eastAsia="Arial" w:cs="Liberation Serif"/>
      <w:color w:val="auto"/>
      <w:kern w:val="2"/>
      <w:sz w:val="24"/>
      <w:szCs w:val="24"/>
      <w:lang w:val="sk-SK" w:eastAsia="ar-SA" w:bidi="hi-IN"/>
    </w:rPr>
  </w:style>
  <w:style w:type="paragraph" w:styleId="Textopatrenia">
    <w:name w:val="Text opatrenia"/>
    <w:qFormat/>
    <w:pPr>
      <w:widowControl/>
      <w:tabs>
        <w:tab w:val="clear" w:pos="420"/>
        <w:tab w:val="left" w:pos="1440" w:leader="none"/>
      </w:tabs>
      <w:suppressAutoHyphens w:val="true"/>
      <w:spacing w:before="120" w:after="120"/>
      <w:ind w:left="1440" w:hanging="360"/>
      <w:jc w:val="both"/>
      <w:textAlignment w:val="auto"/>
    </w:pPr>
    <w:rPr>
      <w:rFonts w:ascii="Arial Narrow" w:hAnsi="Arial Narrow" w:eastAsia="Arial" w:cs="Liberation Serif"/>
      <w:color w:val="auto"/>
      <w:kern w:val="2"/>
      <w:sz w:val="22"/>
      <w:szCs w:val="24"/>
      <w:lang w:val="sk-SK" w:eastAsia="ar-SA" w:bidi="hi-IN"/>
    </w:rPr>
  </w:style>
  <w:style w:type="paragraph" w:styleId="TopHeader">
    <w:name w:val="Top Header"/>
    <w:basedOn w:val="Normalpodnadpis"/>
    <w:qFormat/>
    <w:pPr>
      <w:widowControl/>
      <w:spacing w:lineRule="auto" w:line="360" w:before="120" w:after="120"/>
      <w:jc w:val="center"/>
      <w:textAlignment w:val="auto"/>
    </w:pPr>
    <w:rPr>
      <w:rFonts w:ascii="Arial Narrow" w:hAnsi="Arial Narrow" w:eastAsia="Times New Roman"/>
      <w:b/>
      <w:sz w:val="22"/>
      <w:lang w:val="sk-SK" w:eastAsia="ar-SA"/>
    </w:rPr>
  </w:style>
  <w:style w:type="paragraph" w:styleId="BalloonText">
    <w:name w:val="Balloon Text"/>
    <w:basedOn w:val="Normalpodnadpis"/>
    <w:qFormat/>
    <w:pPr>
      <w:widowControl/>
      <w:spacing w:lineRule="auto" w:line="360" w:before="120" w:after="120"/>
      <w:jc w:val="both"/>
      <w:textAlignment w:val="auto"/>
    </w:pPr>
    <w:rPr>
      <w:rFonts w:ascii="Tahoma" w:hAnsi="Tahoma" w:eastAsia="Tahoma"/>
      <w:sz w:val="16"/>
      <w:lang w:val="sk-SK" w:eastAsia="ar-SA"/>
    </w:rPr>
  </w:style>
  <w:style w:type="paragraph" w:styleId="Header">
    <w:name w:val="Header"/>
    <w:basedOn w:val="Normalpodnadpis"/>
    <w:pPr>
      <w:widowControl/>
      <w:tabs>
        <w:tab w:val="clear" w:pos="420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420"/>
        <w:tab w:val="left" w:pos="720" w:leader="none"/>
        <w:tab w:val="left" w:pos="1429" w:leader="none"/>
        <w:tab w:val="left" w:pos="1713" w:leader="none"/>
      </w:tabs>
      <w:spacing w:lineRule="auto" w:line="360" w:before="120" w:after="120"/>
      <w:ind w:left="720" w:hanging="360"/>
      <w:jc w:val="left"/>
      <w:textAlignment w:val="auto"/>
    </w:pPr>
    <w:rPr>
      <w:rFonts w:ascii="Arial Narrow" w:hAnsi="Arial Narrow" w:eastAsia="Arial Narrow"/>
      <w:b/>
      <w:sz w:val="22"/>
      <w:lang w:val="sk-SK" w:eastAsia="ar-SA"/>
    </w:rPr>
  </w:style>
  <w:style w:type="paragraph" w:styleId="Default">
    <w:name w:val="Default"/>
    <w:qFormat/>
    <w:pPr>
      <w:widowControl/>
      <w:suppressAutoHyphens w:val="true"/>
      <w:jc w:val="left"/>
      <w:textAlignment w:val="auto"/>
    </w:pPr>
    <w:rPr>
      <w:rFonts w:ascii="Times New Roman" w:hAnsi="Times New Roman" w:eastAsia="Times New Roman" w:cs="Liberation Serif"/>
      <w:color w:val="000000"/>
      <w:kern w:val="2"/>
      <w:sz w:val="24"/>
      <w:szCs w:val="24"/>
      <w:lang w:val="sk-SK" w:eastAsia="ar-SA" w:bidi="hi-IN"/>
    </w:rPr>
  </w:style>
  <w:style w:type="paragraph" w:styleId="Styl2">
    <w:name w:val="Styl2"/>
    <w:basedOn w:val="Heading2"/>
    <w:qFormat/>
    <w:pPr>
      <w:keepNext w:val="true"/>
      <w:widowControl/>
      <w:tabs>
        <w:tab w:val="clear" w:pos="420"/>
        <w:tab w:val="left" w:pos="1440" w:leader="none"/>
        <w:tab w:val="left" w:pos="2149" w:leader="none"/>
        <w:tab w:val="left" w:pos="2433" w:leader="none"/>
      </w:tabs>
      <w:spacing w:lineRule="auto" w:line="360" w:before="240" w:after="60"/>
      <w:ind w:left="1440" w:hanging="360"/>
      <w:jc w:val="left"/>
      <w:textAlignment w:val="auto"/>
    </w:pPr>
    <w:rPr>
      <w:rFonts w:ascii="Arial Narrow" w:hAnsi="Arial Narrow" w:eastAsia="Arial Narrow"/>
      <w:b/>
      <w:i/>
      <w:sz w:val="20"/>
      <w:lang w:val="sk-SK" w:eastAsia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420"/>
        <w:tab w:val="left" w:pos="2340" w:leader="none"/>
        <w:tab w:val="left" w:pos="3049" w:leader="none"/>
        <w:tab w:val="left" w:pos="3333" w:leader="none"/>
      </w:tabs>
      <w:spacing w:lineRule="auto" w:line="360" w:before="240" w:after="60"/>
      <w:ind w:left="2340" w:hanging="360"/>
      <w:jc w:val="center"/>
      <w:textAlignment w:val="auto"/>
    </w:pPr>
    <w:rPr>
      <w:rFonts w:ascii="Arial Narrow" w:hAnsi="Arial Narrow" w:eastAsia="Arial Narrow"/>
      <w:b/>
      <w:caps/>
      <w:sz w:val="18"/>
      <w:lang w:val="sk-SK" w:eastAsia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eastAsia="Arial"/>
      <w:sz w:val="20"/>
      <w:lang w:val="sk-SK" w:eastAsia="ar-SA"/>
    </w:rPr>
  </w:style>
  <w:style w:type="paragraph" w:styleId="FrameContents">
    <w:name w:val="Frame Contents"/>
    <w:basedOn w:val="Normal"/>
    <w:qFormat/>
    <w:pPr>
      <w:widowControl/>
    </w:pPr>
    <w:rPr/>
  </w:style>
  <w:style w:type="paragraph" w:styleId="TableContents">
    <w:name w:val="Table Contents"/>
    <w:basedOn w:val="Normal"/>
    <w:qFormat/>
    <w:pPr>
      <w:widowControl/>
    </w:pPr>
    <w:rPr/>
  </w:style>
  <w:style w:type="paragraph" w:styleId="TableHeading">
    <w:name w:val="Table Heading"/>
    <w:basedOn w:val="TableContents"/>
    <w:qFormat/>
    <w:pPr>
      <w:widowControl/>
      <w:jc w:val="center"/>
    </w:pPr>
    <w:rPr>
      <w:b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oter" Target="footer1.xml"/><Relationship Id="rId7" Type="http://schemas.openxmlformats.org/officeDocument/2006/relationships/customXml" Target="../customXml/item2.xml"/><Relationship Id="rId2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settings" Target="settings.xml"/><Relationship Id="rId4" Type="http://schemas.openxmlformats.org/officeDocument/2006/relationships/fontTable" Target="fontTable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7E8BDDAF1AB84ABF003215E6828D51" ma:contentTypeVersion="30" ma:contentTypeDescription="Vytvoří nový dokument" ma:contentTypeScope="" ma:versionID="3cc3fcf4024d180b41a615fb50eb8b20">
  <xsd:schema xmlns:xsd="http://www.w3.org/2001/XMLSchema" xmlns:xs="http://www.w3.org/2001/XMLSchema" xmlns:p="http://schemas.microsoft.com/office/2006/metadata/properties" xmlns:ns2="b9ce9ebe-e734-4dc8-9448-c0c87f9d5c3f" xmlns:ns3="606378dd-05e7-4f46-9a1a-3a8d36bce8e6" xmlns:ns4="f440dc8d-9227-42b9-8c2f-f76624327a77" targetNamespace="http://schemas.microsoft.com/office/2006/metadata/properties" ma:root="true" ma:fieldsID="7f2433838712dedb9fc1fbad2d8ffd1e" ns2:_="" ns3:_="" ns4:_="">
    <xsd:import namespace="b9ce9ebe-e734-4dc8-9448-c0c87f9d5c3f"/>
    <xsd:import namespace="606378dd-05e7-4f46-9a1a-3a8d36bce8e6"/>
    <xsd:import namespace="f440dc8d-9227-42b9-8c2f-f76624327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Adverti" minOccurs="0"/>
                <xsd:element ref="ns3:SharedWithUsers" minOccurs="0"/>
                <xsd:element ref="ns3:SharedWithDetails" minOccurs="0"/>
                <xsd:element ref="ns2:MediaServiceLocation" minOccurs="0"/>
                <xsd:element ref="ns2:Stav" minOccurs="0"/>
                <xsd:element ref="ns2:Pozn_x00e1_mka" minOccurs="0"/>
                <xsd:element ref="ns2:Pozn_x00e1_mka_x0020_2" minOccurs="0"/>
                <xsd:element ref="ns2:Analytika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Schv_x00e1_leno" minOccurs="0"/>
                <xsd:element ref="ns2:_x010c__x00e1_stkacelkem" minOccurs="0"/>
                <xsd:element ref="ns2:n5c4" minOccurs="0"/>
                <xsd:element ref="ns2:csui" minOccurs="0"/>
                <xsd:element ref="ns2:Variabiln_x00ed_symbol" minOccurs="0"/>
                <xsd:element ref="ns2:Obdob_x00ed_" minOccurs="0"/>
                <xsd:element ref="ns2:_x0032_021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e9ebe-e734-4dc8-9448-c0c87f9d5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Adverti" ma:index="13" nillable="true" ma:displayName="Adverti" ma:description="17OZ003-17OZ006 s úhradou vyčkat na opravené faktury" ma:internalName="Adverti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Stav" ma:index="17" nillable="true" ma:displayName="Stav" ma:default="Zadáno" ma:format="RadioButtons" ma:internalName="Stav">
      <xsd:simpleType>
        <xsd:restriction base="dms:Choice">
          <xsd:enumeration value="Zadáno"/>
          <xsd:enumeration value="Schváleno"/>
          <xsd:enumeration value="Zaúčtováno"/>
          <xsd:enumeration value="Zaplaceno"/>
        </xsd:restriction>
      </xsd:simpleType>
    </xsd:element>
    <xsd:element name="Pozn_x00e1_mka" ma:index="18" nillable="true" ma:displayName="Poznámka" ma:internalName="Pozn_x00e1_mka">
      <xsd:simpleType>
        <xsd:restriction base="dms:Text">
          <xsd:maxLength value="255"/>
        </xsd:restriction>
      </xsd:simpleType>
    </xsd:element>
    <xsd:element name="Pozn_x00e1_mka_x0020_2" ma:index="19" nillable="true" ma:displayName="Dodavatel" ma:format="Dropdown" ma:internalName="Pozn_x00e1_mka_x0020_2">
      <xsd:simpleType>
        <xsd:restriction base="dms:Text">
          <xsd:maxLength value="255"/>
        </xsd:restriction>
      </xsd:simpleType>
    </xsd:element>
    <xsd:element name="Analytika" ma:index="20" nillable="true" ma:displayName="Analytika" ma:format="Dropdown" ma:internalName="Analytika">
      <xsd:simpleType>
        <xsd:restriction base="dms:Text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chv_x00e1_leno" ma:index="25" nillable="true" ma:displayName="Schváleno" ma:default="0" ma:format="Dropdown" ma:internalName="Schv_x00e1_leno">
      <xsd:simpleType>
        <xsd:restriction base="dms:Boolean"/>
      </xsd:simpleType>
    </xsd:element>
    <xsd:element name="_x010c__x00e1_stkacelkem" ma:index="26" nillable="true" ma:displayName="Částka" ma:format="Dropdown" ma:internalName="_x010c__x00e1_stkacelkem">
      <xsd:simpleType>
        <xsd:restriction base="dms:Text">
          <xsd:maxLength value="255"/>
        </xsd:restriction>
      </xsd:simpleType>
    </xsd:element>
    <xsd:element name="n5c4" ma:index="27" nillable="true" ma:displayName="Text" ma:internalName="n5c4">
      <xsd:simpleType>
        <xsd:restriction base="dms:Text"/>
      </xsd:simpleType>
    </xsd:element>
    <xsd:element name="csui" ma:index="28" nillable="true" ma:displayName="Text" ma:internalName="csui">
      <xsd:simpleType>
        <xsd:restriction base="dms:Text"/>
      </xsd:simpleType>
    </xsd:element>
    <xsd:element name="Variabiln_x00ed_symbol" ma:index="29" nillable="true" ma:displayName="Variabilní symbol" ma:format="Dropdown" ma:internalName="Variabiln_x00ed_symbol">
      <xsd:simpleType>
        <xsd:restriction base="dms:Text">
          <xsd:maxLength value="255"/>
        </xsd:restriction>
      </xsd:simpleType>
    </xsd:element>
    <xsd:element name="Obdob_x00ed_" ma:index="30" nillable="true" ma:displayName="Období" ma:format="Dropdown" ma:internalName="Obdob_x00ed_">
      <xsd:simpleType>
        <xsd:restriction base="dms:Text">
          <xsd:maxLength value="50"/>
        </xsd:restriction>
      </xsd:simpleType>
    </xsd:element>
    <xsd:element name="_x0032_021" ma:index="31" nillable="true" ma:displayName="2021" ma:internalName="_x0032_021">
      <xsd:simpleType>
        <xsd:restriction base="dms:Text">
          <xsd:maxLength value="255"/>
        </xsd:restriction>
      </xsd:simpleType>
    </xsd:element>
    <xsd:element name="lcf76f155ced4ddcb4097134ff3c332f" ma:index="33" nillable="true" ma:taxonomy="true" ma:internalName="lcf76f155ced4ddcb4097134ff3c332f" ma:taxonomyFieldName="MediaServiceImageTags" ma:displayName="Značky obrázků" ma:readOnly="false" ma:fieldId="{5cf76f15-5ced-4ddc-b409-7134ff3c332f}" ma:taxonomyMulti="true" ma:sspId="87d9c637-37c7-49ab-a997-e02f92fe8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378dd-05e7-4f46-9a1a-3a8d36bce8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0dc8d-9227-42b9-8c2f-f76624327a77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b05c7ce4-8dcb-474f-854f-e99ee17cdd62}" ma:internalName="TaxCatchAll" ma:showField="CatchAllData" ma:web="f440dc8d-9227-42b9-8c2f-f76624327a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E65D0C-8FB3-4939-BD1C-887242F3EB1D}"/>
</file>

<file path=customXml/itemProps2.xml><?xml version="1.0" encoding="utf-8"?>
<ds:datastoreItem xmlns:ds="http://schemas.openxmlformats.org/officeDocument/2006/customXml" ds:itemID="{2A4B3B58-3347-4E4B-BC61-02F9894ABBD2}"/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6</Pages>
  <Words>990</Words>
  <Characters>5998</Characters>
  <CharactersWithSpaces>6931</CharactersWithSpaces>
  <Paragraphs>140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2023-03-18T20:44:00Z</dcterms:modified>
  <cp:revision>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