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jpeg" ContentType="image/jpeg"/>
  <Default Extension="xml" ContentType="application/xml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keepNext w:val="true"/>
        <w:bidi w:val="0"/>
        <w:spacing w:before="0" w:after="120"/>
        <w:ind w:left="0" w:right="0" w:hanging="0"/>
        <w:rPr/>
      </w:pPr>
      <w:r>
        <w:rPr>
          <w:b/>
        </w:rPr>
        <w:t>ČL. I  VŠEOBECNÉ ÚDAJE</w:t>
      </w:r>
    </w:p>
    <w:p>
      <w:pPr>
        <w:pStyle w:val="Normal"/>
        <w:spacing w:lineRule="auto" w:line="360"/>
        <w:ind w:left="0" w:right="0" w:hanging="0"/>
        <w:rPr/>
      </w:pPr>
      <w:r>
        <w:rPr>
          <w:sz w:val="22"/>
        </w:rPr>
        <w:t xml:space="preserve">Obchodné meno: TRANS VAT SK s.r.o. </w:t>
      </w:r>
    </w:p>
    <w:p>
      <w:pPr>
        <w:pStyle w:val="Normal"/>
        <w:tabs>
          <w:tab w:val="clear" w:pos="420"/>
          <w:tab w:val="left" w:pos="0" w:leader="none"/>
        </w:tabs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Sídlo: Gajova  4, 81109 Bratislava</w:t>
      </w:r>
    </w:p>
    <w:p>
      <w:pPr>
        <w:pStyle w:val="Normal"/>
        <w:tabs>
          <w:tab w:val="clear" w:pos="420"/>
          <w:tab w:val="left" w:pos="0" w:leader="none"/>
        </w:tabs>
        <w:spacing w:lineRule="auto" w:line="360"/>
        <w:ind w:left="0" w:right="0" w:hanging="0"/>
        <w:rPr/>
      </w:pPr>
      <w:r>
        <w:rPr>
          <w:sz w:val="22"/>
        </w:rPr>
        <w:t>zapísaná do obchodného registra dňa:  14.4.2005</w:t>
      </w:r>
    </w:p>
    <w:p>
      <w:pPr>
        <w:pStyle w:val="Normal"/>
        <w:spacing w:lineRule="auto" w:line="360"/>
        <w:ind w:left="0" w:right="0" w:hanging="0"/>
        <w:rPr/>
      </w:pPr>
      <w:r>
        <w:rPr/>
      </w:r>
    </w:p>
    <w:p>
      <w:pPr>
        <w:pStyle w:val="Normal"/>
        <w:spacing w:lineRule="auto" w:line="360"/>
        <w:ind w:left="0" w:right="0" w:hanging="0"/>
        <w:rPr/>
      </w:pPr>
      <w:r>
        <w:rPr>
          <w:b/>
          <w:sz w:val="22"/>
        </w:rPr>
        <w:t>Hlavné činnosti spoločnosti:</w:t>
        <w:tab/>
      </w:r>
    </w:p>
    <w:tbl>
      <w:tblPr>
        <w:tblW w:w="10684" w:type="dxa"/>
        <w:jc w:val="left"/>
        <w:tblInd w:w="-60" w:type="dxa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0538"/>
        <w:gridCol w:w="145"/>
      </w:tblGrid>
      <w:tr>
        <w:trPr/>
        <w:tc>
          <w:tcPr>
            <w:tcW w:w="10538" w:type="dxa"/>
            <w:tcBorders/>
            <w:shd w:fill="auto" w:val="clear"/>
            <w:vAlign w:val="center"/>
          </w:tcPr>
          <w:p>
            <w:pPr>
              <w:pStyle w:val="Normal"/>
              <w:tabs>
                <w:tab w:val="clear" w:pos="420"/>
              </w:tabs>
              <w:spacing w:lineRule="auto" w:line="360" w:before="0" w:after="0"/>
              <w:ind w:left="720" w:right="0" w:hanging="360"/>
              <w:jc w:val="left"/>
              <w:rPr/>
            </w:pPr>
            <w:r>
              <w:rPr>
                <w:sz w:val="22"/>
              </w:rPr>
              <w:t xml:space="preserve">kúpa tovaru za účelom jeho predaja konečnému spotrebiteľovi (maloobchod) v rozsahu voľnej živnosti </w:t>
            </w:r>
          </w:p>
        </w:tc>
        <w:tc>
          <w:tcPr>
            <w:tcW w:w="145" w:type="dxa"/>
            <w:tcBorders/>
            <w:shd w:fill="auto" w:val="clear"/>
          </w:tcPr>
          <w:p>
            <w:pPr>
              <w:pStyle w:val="Normal"/>
              <w:tabs>
                <w:tab w:val="clear" w:pos="420"/>
              </w:tabs>
              <w:spacing w:lineRule="auto" w:line="360"/>
              <w:ind w:left="0" w:right="0" w:hanging="0"/>
              <w:rPr/>
            </w:pPr>
            <w:r>
              <w:rPr>
                <w:sz w:val="22"/>
              </w:rPr>
              <w:t xml:space="preserve">  </w:t>
            </w:r>
          </w:p>
        </w:tc>
      </w:tr>
    </w:tbl>
    <w:p>
      <w:pPr>
        <w:pStyle w:val="Normal"/>
        <w:spacing w:lineRule="auto" w:line="360"/>
        <w:ind w:left="0" w:right="0" w:hanging="0"/>
        <w:rPr>
          <w:vanish/>
          <w:sz w:val="22"/>
          <w:lang w:val="cs-CZ"/>
        </w:rPr>
      </w:pPr>
      <w:r>
        <w:rPr>
          <w:vanish/>
          <w:sz w:val="22"/>
          <w:lang w:val="cs-CZ"/>
        </w:rPr>
      </w:r>
    </w:p>
    <w:tbl>
      <w:tblPr>
        <w:tblW w:w="10295" w:type="dxa"/>
        <w:jc w:val="left"/>
        <w:tblInd w:w="-60" w:type="dxa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0168"/>
        <w:gridCol w:w="126"/>
      </w:tblGrid>
      <w:tr>
        <w:trPr/>
        <w:tc>
          <w:tcPr>
            <w:tcW w:w="10168" w:type="dxa"/>
            <w:tcBorders/>
            <w:shd w:fill="auto" w:val="clear"/>
            <w:vAlign w:val="center"/>
          </w:tcPr>
          <w:p>
            <w:pPr>
              <w:pStyle w:val="Normal"/>
              <w:tabs>
                <w:tab w:val="clear" w:pos="420"/>
              </w:tabs>
              <w:spacing w:lineRule="auto" w:line="360" w:before="0" w:after="0"/>
              <w:ind w:left="720" w:right="0" w:hanging="360"/>
              <w:jc w:val="left"/>
              <w:rPr/>
            </w:pPr>
            <w:r>
              <w:rPr>
                <w:sz w:val="22"/>
              </w:rPr>
              <w:t xml:space="preserve">kúpa tovaru za účelom jeho predaja iným prevádzkovateľom živnosti (veľkoobchod) v rozsahu voľnej živnosti </w:t>
            </w:r>
          </w:p>
        </w:tc>
        <w:tc>
          <w:tcPr>
            <w:tcW w:w="126" w:type="dxa"/>
            <w:tcBorders/>
            <w:shd w:fill="auto" w:val="clear"/>
          </w:tcPr>
          <w:p>
            <w:pPr>
              <w:pStyle w:val="Normal"/>
              <w:tabs>
                <w:tab w:val="clear" w:pos="420"/>
              </w:tabs>
              <w:spacing w:lineRule="auto" w:line="360"/>
              <w:ind w:left="0" w:right="0" w:hanging="0"/>
              <w:rPr/>
            </w:pPr>
            <w:r>
              <w:rPr>
                <w:sz w:val="22"/>
              </w:rPr>
              <w:t xml:space="preserve">  </w:t>
            </w:r>
          </w:p>
        </w:tc>
      </w:tr>
    </w:tbl>
    <w:p>
      <w:pPr>
        <w:pStyle w:val="Normal"/>
        <w:spacing w:lineRule="auto" w:line="360"/>
        <w:ind w:left="0" w:right="0" w:hanging="0"/>
        <w:rPr>
          <w:vanish/>
          <w:sz w:val="22"/>
          <w:lang w:val="cs-CZ"/>
        </w:rPr>
      </w:pPr>
      <w:r>
        <w:rPr>
          <w:vanish/>
          <w:sz w:val="22"/>
          <w:lang w:val="cs-CZ"/>
        </w:rPr>
      </w:r>
    </w:p>
    <w:tbl>
      <w:tblPr>
        <w:tblW w:w="10295" w:type="dxa"/>
        <w:jc w:val="left"/>
        <w:tblInd w:w="-60" w:type="dxa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0168"/>
        <w:gridCol w:w="126"/>
      </w:tblGrid>
      <w:tr>
        <w:trPr/>
        <w:tc>
          <w:tcPr>
            <w:tcW w:w="10168" w:type="dxa"/>
            <w:tcBorders/>
            <w:shd w:fill="auto" w:val="clear"/>
            <w:vAlign w:val="center"/>
          </w:tcPr>
          <w:p>
            <w:pPr>
              <w:pStyle w:val="Normal"/>
              <w:tabs>
                <w:tab w:val="clear" w:pos="420"/>
              </w:tabs>
              <w:spacing w:lineRule="auto" w:line="360" w:before="0" w:after="0"/>
              <w:ind w:left="720" w:right="0" w:hanging="360"/>
              <w:jc w:val="left"/>
              <w:rPr/>
            </w:pPr>
            <w:r>
              <w:rPr>
                <w:sz w:val="22"/>
              </w:rPr>
              <w:t xml:space="preserve">sprostredkovateľská činnosť v oblasti obchodu a služieb v rozsahu voľnej živnosti </w:t>
            </w:r>
          </w:p>
        </w:tc>
        <w:tc>
          <w:tcPr>
            <w:tcW w:w="126" w:type="dxa"/>
            <w:tcBorders/>
            <w:shd w:fill="auto" w:val="clear"/>
          </w:tcPr>
          <w:p>
            <w:pPr>
              <w:pStyle w:val="Normal"/>
              <w:tabs>
                <w:tab w:val="clear" w:pos="420"/>
              </w:tabs>
              <w:spacing w:lineRule="auto" w:line="240" w:before="0" w:after="0"/>
              <w:ind w:left="0" w:right="0" w:hanging="0"/>
              <w:jc w:val="left"/>
              <w:rPr/>
            </w:pPr>
            <w:r>
              <w:rPr>
                <w:rFonts w:eastAsia="Times New Roman" w:cs="Times New Roman" w:ascii="Times New Roman" w:hAnsi="Times New Roman"/>
                <w:sz w:val="22"/>
              </w:rPr>
              <w:t xml:space="preserve">  </w:t>
            </w:r>
          </w:p>
        </w:tc>
      </w:tr>
    </w:tbl>
    <w:p>
      <w:pPr>
        <w:pStyle w:val="Normal"/>
        <w:spacing w:lineRule="auto" w:line="360"/>
        <w:ind w:left="0" w:right="0" w:hanging="0"/>
        <w:rPr>
          <w:vanish/>
          <w:sz w:val="22"/>
          <w:lang w:val="cs-CZ"/>
        </w:rPr>
      </w:pPr>
      <w:r>
        <w:rPr>
          <w:vanish/>
          <w:sz w:val="22"/>
          <w:lang w:val="cs-CZ"/>
        </w:rPr>
      </w:r>
    </w:p>
    <w:tbl>
      <w:tblPr>
        <w:tblW w:w="10295" w:type="dxa"/>
        <w:jc w:val="left"/>
        <w:tblInd w:w="-60" w:type="dxa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0168"/>
        <w:gridCol w:w="126"/>
      </w:tblGrid>
      <w:tr>
        <w:trPr/>
        <w:tc>
          <w:tcPr>
            <w:tcW w:w="10168" w:type="dxa"/>
            <w:tcBorders/>
            <w:shd w:fill="auto" w:val="clear"/>
            <w:vAlign w:val="center"/>
          </w:tcPr>
          <w:p>
            <w:pPr>
              <w:pStyle w:val="Normal"/>
              <w:tabs>
                <w:tab w:val="clear" w:pos="420"/>
              </w:tabs>
              <w:spacing w:lineRule="auto" w:line="360" w:before="0" w:after="0"/>
              <w:ind w:left="720" w:right="0" w:hanging="360"/>
              <w:jc w:val="left"/>
              <w:rPr/>
            </w:pPr>
            <w:r>
              <w:rPr>
                <w:sz w:val="22"/>
              </w:rPr>
              <w:t xml:space="preserve">faktoring a forfaiting v rozsahu voľnej živnosti </w:t>
            </w:r>
          </w:p>
        </w:tc>
        <w:tc>
          <w:tcPr>
            <w:tcW w:w="126" w:type="dxa"/>
            <w:tcBorders/>
            <w:shd w:fill="auto" w:val="clear"/>
          </w:tcPr>
          <w:p>
            <w:pPr>
              <w:pStyle w:val="Normal"/>
              <w:tabs>
                <w:tab w:val="clear" w:pos="420"/>
              </w:tabs>
              <w:spacing w:lineRule="auto" w:line="240" w:before="0" w:after="0"/>
              <w:ind w:left="0" w:right="0" w:hanging="0"/>
              <w:jc w:val="left"/>
              <w:rPr/>
            </w:pPr>
            <w:r>
              <w:rPr>
                <w:rFonts w:eastAsia="Times New Roman" w:cs="Times New Roman" w:ascii="Times New Roman" w:hAnsi="Times New Roman"/>
                <w:sz w:val="22"/>
              </w:rPr>
              <w:t xml:space="preserve">  </w:t>
            </w:r>
          </w:p>
        </w:tc>
      </w:tr>
    </w:tbl>
    <w:p>
      <w:pPr>
        <w:pStyle w:val="Normal"/>
        <w:spacing w:lineRule="auto" w:line="360"/>
        <w:ind w:left="0" w:right="0" w:hanging="0"/>
        <w:rPr>
          <w:vanish/>
          <w:sz w:val="22"/>
          <w:lang w:val="cs-CZ"/>
        </w:rPr>
      </w:pPr>
      <w:r>
        <w:rPr>
          <w:vanish/>
          <w:sz w:val="22"/>
          <w:lang w:val="cs-CZ"/>
        </w:rPr>
      </w:r>
    </w:p>
    <w:tbl>
      <w:tblPr>
        <w:tblW w:w="10294" w:type="dxa"/>
        <w:jc w:val="left"/>
        <w:tblInd w:w="-60" w:type="dxa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0294"/>
      </w:tblGrid>
      <w:tr>
        <w:trPr/>
        <w:tc>
          <w:tcPr>
            <w:tcW w:w="10294" w:type="dxa"/>
            <w:tcBorders/>
            <w:shd w:fill="auto" w:val="clear"/>
            <w:vAlign w:val="center"/>
          </w:tcPr>
          <w:p>
            <w:pPr>
              <w:pStyle w:val="Normal"/>
              <w:tabs>
                <w:tab w:val="clear" w:pos="420"/>
              </w:tabs>
              <w:spacing w:lineRule="auto" w:line="360" w:before="0" w:after="0"/>
              <w:ind w:left="720" w:right="0" w:hanging="360"/>
              <w:jc w:val="left"/>
              <w:rPr/>
            </w:pPr>
            <w:r>
              <w:rPr>
                <w:sz w:val="22"/>
              </w:rPr>
              <w:t xml:space="preserve">administratívne práce </w:t>
            </w:r>
          </w:p>
        </w:tc>
      </w:tr>
    </w:tbl>
    <w:p>
      <w:pPr>
        <w:pStyle w:val="Normal"/>
        <w:spacing w:lineRule="auto" w:line="360" w:before="0" w:after="0"/>
        <w:ind w:left="567" w:right="0" w:hanging="0"/>
        <w:rPr>
          <w:sz w:val="22"/>
        </w:rPr>
      </w:pPr>
      <w:r>
        <w:rPr>
          <w:sz w:val="22"/>
        </w:rPr>
      </w:r>
    </w:p>
    <w:p>
      <w:pPr>
        <w:pStyle w:val="Normal"/>
        <w:tabs>
          <w:tab w:val="clear" w:pos="420"/>
          <w:tab w:val="left" w:pos="0" w:leader="none"/>
        </w:tabs>
        <w:spacing w:lineRule="auto" w:line="360"/>
        <w:ind w:left="0" w:right="0" w:hanging="0"/>
        <w:rPr/>
      </w:pPr>
      <w:r>
        <w:rPr>
          <w:b/>
          <w:sz w:val="22"/>
        </w:rPr>
        <w:t>(2) Údaje o konsolidovanom celku, a to</w:t>
      </w:r>
    </w:p>
    <w:p>
      <w:pPr>
        <w:pStyle w:val="Styl2"/>
        <w:tabs>
          <w:tab w:val="left" w:pos="1440" w:leader="none"/>
          <w:tab w:val="left" w:pos="2149" w:leader="none"/>
          <w:tab w:val="left" w:pos="2433" w:leader="none"/>
        </w:tabs>
        <w:spacing w:lineRule="auto" w:line="360"/>
        <w:ind w:left="426" w:right="0" w:hanging="142"/>
        <w:rPr/>
      </w:pPr>
      <w:r>
        <w:rPr>
          <w:b w:val="false"/>
          <w:i w:val="false"/>
          <w:sz w:val="22"/>
        </w:rPr>
        <w:t xml:space="preserve"> </w:t>
      </w:r>
      <w:r>
        <w:rPr>
          <w:b w:val="false"/>
          <w:i w:val="false"/>
          <w:sz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>
      <w:pPr>
        <w:pStyle w:val="Normal"/>
        <w:spacing w:lineRule="auto" w:line="360"/>
        <w:ind w:left="284" w:right="0" w:hanging="0"/>
        <w:rPr/>
      </w:pPr>
      <w:r>
        <w:rPr>
          <w:sz w:val="22"/>
        </w:rPr>
        <w:t>Obchodné meno:</w:t>
        <w:tab/>
        <w:t>NEGOMETAL  PARTICIPATIONS</w:t>
      </w:r>
    </w:p>
    <w:p>
      <w:pPr>
        <w:pStyle w:val="Normal"/>
        <w:spacing w:lineRule="auto" w:line="360"/>
        <w:ind w:left="284" w:right="0" w:hanging="0"/>
        <w:rPr/>
      </w:pPr>
      <w:r>
        <w:rPr>
          <w:sz w:val="22"/>
        </w:rPr>
        <w:t>Sídlo:</w:t>
        <w:tab/>
        <w:tab/>
        <w:t>Place de la République 5,</w:t>
      </w:r>
    </w:p>
    <w:p>
      <w:pPr>
        <w:pStyle w:val="Normal"/>
        <w:spacing w:lineRule="auto" w:line="360"/>
        <w:ind w:left="0" w:right="0" w:hanging="0"/>
        <w:rPr/>
      </w:pPr>
      <w:r>
        <w:rPr>
          <w:sz w:val="22"/>
        </w:rPr>
        <w:tab/>
        <w:tab/>
        <w:tab/>
        <w:t>Bayonne  641 00, FRANCE</w:t>
      </w:r>
    </w:p>
    <w:p>
      <w:pPr>
        <w:pStyle w:val="Normal"/>
        <w:tabs>
          <w:tab w:val="clear" w:pos="420"/>
          <w:tab w:val="left" w:pos="567" w:leader="none"/>
        </w:tabs>
        <w:spacing w:lineRule="auto" w:line="360" w:before="0" w:after="0"/>
        <w:ind w:left="567" w:right="0" w:hanging="0"/>
        <w:rPr>
          <w:sz w:val="22"/>
        </w:rPr>
      </w:pPr>
      <w:r>
        <w:rPr>
          <w:sz w:val="22"/>
        </w:rPr>
      </w:r>
    </w:p>
    <w:p>
      <w:pPr>
        <w:pStyle w:val="Normal"/>
        <w:keepNext w:val="true"/>
        <w:tabs>
          <w:tab w:val="clear" w:pos="420"/>
          <w:tab w:val="left" w:pos="284" w:leader="none"/>
          <w:tab w:val="left" w:pos="2433" w:leader="none"/>
        </w:tabs>
        <w:spacing w:lineRule="auto" w:line="360" w:before="0" w:after="0"/>
        <w:ind w:left="284" w:right="0" w:hanging="0"/>
        <w:jc w:val="left"/>
        <w:rPr/>
      </w:pPr>
      <w:r>
        <w:rPr>
          <w:b/>
          <w:sz w:val="22"/>
        </w:rPr>
        <w:t>b) údaj, či účtovná jednotka je materskou účtovnou jednotkou a údaj, či je oslobodená od povinnosti zostaviť konsolidovanú účtovnú závierku a konsolidovanú výročnú správu podľa § 22 zákona,</w:t>
      </w:r>
    </w:p>
    <w:p>
      <w:pPr>
        <w:pStyle w:val="Normal"/>
        <w:spacing w:lineRule="auto" w:line="360" w:before="0" w:after="0"/>
        <w:ind w:left="426" w:right="0" w:hanging="0"/>
        <w:jc w:val="left"/>
        <w:rPr/>
      </w:pPr>
      <w:r>
        <w:rPr>
          <w:sz w:val="22"/>
        </w:rPr>
        <w:t>Obchodné meno – materská spoločnost::  NEGOMETAL  PARTICIPATIONS</w:t>
      </w:r>
    </w:p>
    <w:p>
      <w:pPr>
        <w:pStyle w:val="Normal"/>
        <w:spacing w:lineRule="auto" w:line="360" w:before="0" w:after="0"/>
        <w:ind w:left="426" w:right="0" w:hanging="0"/>
        <w:jc w:val="left"/>
        <w:rPr/>
      </w:pPr>
      <w:r>
        <w:rPr>
          <w:sz w:val="22"/>
        </w:rPr>
        <w:t>Sídlo MÚJ:   Place de la République 5, Bayonne  641 00, FRANCE</w:t>
      </w:r>
    </w:p>
    <w:p>
      <w:pPr>
        <w:pStyle w:val="Normal"/>
        <w:spacing w:lineRule="auto" w:line="360" w:before="0" w:after="0"/>
        <w:ind w:left="567" w:right="0" w:hanging="0"/>
        <w:rPr>
          <w:sz w:val="22"/>
        </w:rPr>
      </w:pPr>
      <w:r>
        <w:rPr>
          <w:sz w:val="22"/>
        </w:rPr>
      </w:r>
    </w:p>
    <w:p>
      <w:pPr>
        <w:pStyle w:val="Normal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(3) Priemerný prepočítaný počet zamestnancov</w:t>
      </w:r>
    </w:p>
    <w:p>
      <w:pPr>
        <w:pStyle w:val="Normal"/>
        <w:spacing w:lineRule="auto" w:line="360" w:before="0" w:after="0"/>
        <w:ind w:left="142" w:right="0" w:hanging="0"/>
        <w:jc w:val="left"/>
        <w:rPr/>
      </w:pPr>
      <w:r>
        <w:rPr>
          <w:b/>
          <w:sz w:val="22"/>
        </w:rPr>
        <w:t>Tabuľka k zamestnancom</w:t>
      </w:r>
    </w:p>
    <w:tbl>
      <w:tblPr>
        <w:tblW w:w="9748" w:type="dxa"/>
        <w:jc w:val="left"/>
        <w:tblInd w:w="34" w:type="dxa"/>
        <w:tblCellMar>
          <w:top w:w="15" w:type="dxa"/>
          <w:left w:w="108" w:type="dxa"/>
          <w:bottom w:w="15" w:type="dxa"/>
          <w:right w:w="108" w:type="dxa"/>
        </w:tblCellMar>
      </w:tblPr>
      <w:tblGrid>
        <w:gridCol w:w="4858"/>
        <w:gridCol w:w="2365"/>
        <w:gridCol w:w="2525"/>
      </w:tblGrid>
      <w:tr>
        <w:trPr>
          <w:trHeight w:val="558" w:hRule="atLeast"/>
        </w:trPr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spacing w:lineRule="auto" w:line="240" w:before="0" w:after="0"/>
              <w:ind w:left="0" w:right="0" w:hanging="0"/>
              <w:jc w:val="left"/>
              <w:rPr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top w:w="0" w:type="dxa"/>
              <w:bottom w:w="0" w:type="dxa"/>
            </w:tcMar>
            <w:vAlign w:val="center"/>
          </w:tcPr>
          <w:p>
            <w:pPr>
              <w:pStyle w:val="Textopatrenia"/>
              <w:tabs>
                <w:tab w:val="left" w:pos="1440" w:leader="none"/>
              </w:tabs>
              <w:spacing w:lineRule="auto" w:line="240" w:before="0" w:after="0"/>
              <w:ind w:left="0" w:right="0" w:hanging="0"/>
              <w:jc w:val="center"/>
              <w:rPr/>
            </w:pPr>
            <w:r>
              <w:rPr>
                <w:b/>
                <w:sz w:val="18"/>
                <w:lang w:eastAsia="sk-SK"/>
              </w:rPr>
              <w:t>Bežné  účtovné obdobie</w:t>
            </w:r>
          </w:p>
        </w:tc>
        <w:tc>
          <w:tcPr>
            <w:tcW w:w="2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top w:w="0" w:type="dxa"/>
              <w:bottom w:w="0" w:type="dxa"/>
            </w:tcMar>
            <w:vAlign w:val="center"/>
          </w:tcPr>
          <w:p>
            <w:pPr>
              <w:pStyle w:val="Textopatrenia"/>
              <w:tabs>
                <w:tab w:val="left" w:pos="1440" w:leader="none"/>
              </w:tabs>
              <w:spacing w:lineRule="auto" w:line="240" w:before="0" w:after="0"/>
              <w:ind w:left="0" w:right="0" w:hanging="0"/>
              <w:jc w:val="center"/>
              <w:rPr/>
            </w:pPr>
            <w:r>
              <w:rPr>
                <w:b/>
                <w:sz w:val="18"/>
                <w:lang w:eastAsia="sk-SK"/>
              </w:rPr>
              <w:t>Bezprostredne predchádzajúce účtovné obdobie</w:t>
            </w:r>
          </w:p>
        </w:tc>
      </w:tr>
      <w:tr>
        <w:trPr>
          <w:trHeight w:val="391" w:hRule="atLeast"/>
        </w:trPr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top w:w="0" w:type="dxa"/>
              <w:bottom w:w="0" w:type="dxa"/>
            </w:tcMar>
            <w:vAlign w:val="center"/>
          </w:tcPr>
          <w:p>
            <w:pPr>
              <w:pStyle w:val="Textopatrenia"/>
              <w:tabs>
                <w:tab w:val="left" w:pos="1440" w:leader="none"/>
              </w:tabs>
              <w:spacing w:lineRule="auto" w:line="240" w:before="0" w:after="0"/>
              <w:ind w:left="0" w:right="0" w:hanging="0"/>
              <w:jc w:val="left"/>
              <w:rPr/>
            </w:pPr>
            <w:r>
              <w:rPr>
                <w:sz w:val="24"/>
              </w:rPr>
              <w:t>Priemerný prepočítaný počet zamestnancov</w:t>
            </w: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top w:w="0" w:type="dxa"/>
              <w:bottom w:w="0" w:type="dxa"/>
            </w:tcMar>
            <w:vAlign w:val="center"/>
          </w:tcPr>
          <w:p>
            <w:pPr>
              <w:pStyle w:val="Textopatrenia"/>
              <w:tabs>
                <w:tab w:val="left" w:pos="1440" w:leader="none"/>
              </w:tabs>
              <w:spacing w:lineRule="auto" w:line="240" w:before="0" w:after="0"/>
              <w:ind w:left="0" w:right="0" w:hanging="0"/>
              <w:jc w:val="right"/>
              <w:rPr/>
            </w:pPr>
            <w:r>
              <w:rPr>
                <w:sz w:val="24"/>
              </w:rPr>
              <w:t>4</w:t>
            </w:r>
          </w:p>
        </w:tc>
        <w:tc>
          <w:tcPr>
            <w:tcW w:w="2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top w:w="0" w:type="dxa"/>
              <w:bottom w:w="0" w:type="dxa"/>
            </w:tcMar>
            <w:vAlign w:val="center"/>
          </w:tcPr>
          <w:p>
            <w:pPr>
              <w:pStyle w:val="Textopatrenia"/>
              <w:tabs>
                <w:tab w:val="left" w:pos="1440" w:leader="none"/>
              </w:tabs>
              <w:spacing w:lineRule="auto" w:line="240" w:before="0" w:after="0"/>
              <w:ind w:left="0" w:right="0" w:hanging="0"/>
              <w:jc w:val="right"/>
              <w:rPr/>
            </w:pPr>
            <w:r>
              <w:rPr>
                <w:sz w:val="24"/>
              </w:rPr>
              <w:t>4</w:t>
            </w:r>
          </w:p>
        </w:tc>
      </w:tr>
      <w:tr>
        <w:trPr>
          <w:trHeight w:val="391" w:hRule="atLeast"/>
        </w:trPr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top w:w="0" w:type="dxa"/>
              <w:bottom w:w="0" w:type="dxa"/>
            </w:tcMar>
            <w:vAlign w:val="center"/>
          </w:tcPr>
          <w:p>
            <w:pPr>
              <w:pStyle w:val="Textopatrenia"/>
              <w:tabs>
                <w:tab w:val="left" w:pos="1440" w:leader="none"/>
              </w:tabs>
              <w:spacing w:lineRule="auto" w:line="240" w:before="0" w:after="0"/>
              <w:ind w:left="0" w:right="0" w:hanging="0"/>
              <w:jc w:val="left"/>
              <w:rPr/>
            </w:pPr>
            <w:r>
              <w:rPr>
                <w:sz w:val="24"/>
              </w:rPr>
              <w:t>Stav zamestnancov ku dňu, ku ktorému sa zostavuje účtovná závierka, z toho:</w:t>
            </w: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top w:w="0" w:type="dxa"/>
              <w:bottom w:w="0" w:type="dxa"/>
            </w:tcMar>
            <w:vAlign w:val="center"/>
          </w:tcPr>
          <w:p>
            <w:pPr>
              <w:pStyle w:val="Textopatrenia"/>
              <w:tabs>
                <w:tab w:val="left" w:pos="1440" w:leader="none"/>
              </w:tabs>
              <w:spacing w:lineRule="auto" w:line="240" w:before="0" w:after="0"/>
              <w:ind w:left="0" w:right="0" w:hanging="0"/>
              <w:jc w:val="right"/>
              <w:rPr/>
            </w:pPr>
            <w:r>
              <w:rPr>
                <w:sz w:val="24"/>
              </w:rPr>
              <w:t>4</w:t>
            </w:r>
          </w:p>
        </w:tc>
        <w:tc>
          <w:tcPr>
            <w:tcW w:w="2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top w:w="0" w:type="dxa"/>
              <w:bottom w:w="0" w:type="dxa"/>
            </w:tcMar>
            <w:vAlign w:val="center"/>
          </w:tcPr>
          <w:p>
            <w:pPr>
              <w:pStyle w:val="Textopatrenia"/>
              <w:tabs>
                <w:tab w:val="left" w:pos="1440" w:leader="none"/>
              </w:tabs>
              <w:spacing w:lineRule="auto" w:line="240" w:before="0" w:after="0"/>
              <w:ind w:left="0" w:right="0" w:hanging="0"/>
              <w:jc w:val="right"/>
              <w:rPr/>
            </w:pPr>
            <w:r>
              <w:rPr>
                <w:sz w:val="24"/>
              </w:rPr>
              <w:t>4</w:t>
            </w:r>
          </w:p>
        </w:tc>
      </w:tr>
      <w:tr>
        <w:trPr>
          <w:trHeight w:val="391" w:hRule="atLeast"/>
        </w:trPr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top w:w="0" w:type="dxa"/>
              <w:bottom w:w="0" w:type="dxa"/>
            </w:tcMar>
            <w:vAlign w:val="center"/>
          </w:tcPr>
          <w:p>
            <w:pPr>
              <w:pStyle w:val="Textopatrenia"/>
              <w:tabs>
                <w:tab w:val="left" w:pos="1440" w:leader="none"/>
              </w:tabs>
              <w:spacing w:lineRule="auto" w:line="240" w:before="0" w:after="0"/>
              <w:ind w:left="0" w:right="0" w:hanging="0"/>
              <w:jc w:val="left"/>
              <w:rPr/>
            </w:pPr>
            <w:r>
              <w:rPr>
                <w:sz w:val="24"/>
              </w:rPr>
              <w:t>Počet vedúcich zamestnancov</w:t>
            </w: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top w:w="0" w:type="dxa"/>
              <w:bottom w:w="0" w:type="dxa"/>
            </w:tcMar>
            <w:vAlign w:val="center"/>
          </w:tcPr>
          <w:p>
            <w:pPr>
              <w:pStyle w:val="Textopatrenia"/>
              <w:tabs>
                <w:tab w:val="left" w:pos="1440" w:leader="none"/>
              </w:tabs>
              <w:spacing w:lineRule="auto" w:line="240" w:before="0" w:after="0"/>
              <w:ind w:left="0" w:right="0" w:hanging="0"/>
              <w:jc w:val="right"/>
              <w:rPr/>
            </w:pPr>
            <w:r>
              <w:rPr>
                <w:sz w:val="24"/>
              </w:rPr>
              <w:t>0</w:t>
            </w:r>
          </w:p>
        </w:tc>
        <w:tc>
          <w:tcPr>
            <w:tcW w:w="2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top w:w="0" w:type="dxa"/>
              <w:bottom w:w="0" w:type="dxa"/>
            </w:tcMar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spacing w:lineRule="auto" w:line="240" w:before="0" w:after="0"/>
              <w:ind w:left="0" w:right="0" w:hanging="0"/>
              <w:jc w:val="right"/>
              <w:rPr/>
            </w:pPr>
            <w:r>
              <w:rPr>
                <w:sz w:val="24"/>
              </w:rPr>
              <w:t>0</w:t>
            </w:r>
          </w:p>
        </w:tc>
      </w:tr>
    </w:tbl>
    <w:p>
      <w:pPr>
        <w:pStyle w:val="Normal"/>
        <w:spacing w:lineRule="auto" w:line="360" w:before="0" w:after="0"/>
        <w:ind w:left="567" w:right="0" w:hanging="0"/>
        <w:rPr>
          <w:sz w:val="22"/>
        </w:rPr>
      </w:pPr>
      <w:r>
        <w:rPr>
          <w:sz w:val="22"/>
        </w:rPr>
      </w:r>
    </w:p>
    <w:p>
      <w:pPr>
        <w:pStyle w:val="Normal"/>
        <w:spacing w:lineRule="auto" w:line="360" w:before="0" w:after="0"/>
        <w:ind w:left="0" w:right="0" w:hanging="0"/>
        <w:rPr/>
      </w:pPr>
      <w:r>
        <w:rPr/>
      </w:r>
    </w:p>
    <w:p>
      <w:pPr>
        <w:pStyle w:val="Normal"/>
        <w:spacing w:lineRule="auto" w:line="360" w:before="0" w:after="0"/>
        <w:ind w:left="0" w:right="0" w:hanging="0"/>
        <w:rPr/>
      </w:pPr>
      <w:r>
        <w:rPr>
          <w:b/>
        </w:rPr>
        <w:t>ČL. II  INFORMÁCIE O PRIJATÝCH POSTUPOCH</w:t>
      </w:r>
    </w:p>
    <w:p>
      <w:pPr>
        <w:pStyle w:val="Normal"/>
        <w:spacing w:lineRule="auto" w:line="360" w:before="0" w:after="0"/>
        <w:ind w:left="0" w:right="0" w:hanging="0"/>
        <w:rPr/>
      </w:pPr>
      <w:r>
        <w:rPr>
          <w:sz w:val="22"/>
        </w:rPr>
        <w:t xml:space="preserve">(1) Informácia, či je účtovná závierka zostavená za splnenia predpokladu, že účtovná jednotka bude nepretržite pokračovať vo svojej činnosti.  </w:t>
      </w:r>
    </w:p>
    <w:p>
      <w:pPr>
        <w:pStyle w:val="Normal"/>
        <w:spacing w:lineRule="auto" w:line="360"/>
        <w:ind w:left="0" w:right="-141" w:hanging="0"/>
        <w:rPr/>
      </w:pPr>
      <w:r>
        <w:rPr>
          <w:sz w:val="22"/>
        </w:rPr>
        <w:t xml:space="preserve">Účtovná závierka bola zostavená za splnenia predpokladu, že účtovná jednotka bude </w:t>
      </w:r>
      <w:r>
        <w:rPr>
          <w:b/>
          <w:sz w:val="22"/>
        </w:rPr>
        <w:t>nepretržite pokračovať</w:t>
      </w:r>
      <w:r>
        <w:rPr>
          <w:sz w:val="22"/>
        </w:rPr>
        <w:t xml:space="preserve"> vo svojej činnosti minimálne 12 mesiacov po závierkovom dni v zmysle § 7 ods. 4 zákona o účtovníctve. </w:t>
      </w:r>
    </w:p>
    <w:p>
      <w:pPr>
        <w:pStyle w:val="Normal"/>
        <w:spacing w:lineRule="auto" w:line="360" w:before="0" w:after="0"/>
        <w:ind w:left="567" w:right="0" w:hanging="0"/>
        <w:rPr>
          <w:sz w:val="22"/>
        </w:rPr>
      </w:pPr>
      <w:r>
        <w:rPr>
          <w:sz w:val="22"/>
        </w:rPr>
      </w:r>
    </w:p>
    <w:p>
      <w:pPr>
        <w:pStyle w:val="Normal"/>
        <w:spacing w:lineRule="auto" w:line="360" w:before="0" w:after="0"/>
        <w:ind w:left="0" w:right="0" w:hanging="0"/>
        <w:rPr/>
      </w:pPr>
      <w:r>
        <w:rPr>
          <w:sz w:val="22"/>
        </w:rPr>
        <w:t>(2) Spôsob oceňovania jednotlivých položiek majetku a záväzkov, a to</w:t>
      </w:r>
    </w:p>
    <w:p>
      <w:pPr>
        <w:pStyle w:val="Normal"/>
        <w:spacing w:lineRule="auto" w:line="360" w:before="0" w:after="0"/>
        <w:ind w:left="284" w:right="0" w:hanging="0"/>
        <w:rPr/>
      </w:pPr>
      <w:r>
        <w:rPr>
          <w:sz w:val="22"/>
        </w:rPr>
        <w:t>a) dlhodobého nehmotného majetku, dlhodobého hmotného majetku a dlhodobého finančného majetku – obstarávacia cena</w:t>
      </w:r>
    </w:p>
    <w:p>
      <w:pPr>
        <w:pStyle w:val="Normal"/>
        <w:spacing w:lineRule="auto" w:line="360" w:before="0" w:after="0"/>
        <w:ind w:left="644" w:right="0" w:hanging="360"/>
        <w:rPr/>
      </w:pPr>
      <w:r>
        <w:rPr>
          <w:sz w:val="22"/>
        </w:rPr>
        <w:t xml:space="preserve"> </w:t>
      </w:r>
      <w:r>
        <w:rPr>
          <w:sz w:val="22"/>
        </w:rPr>
        <w:t>zásob obstaraných kúpou, zásob vytvorených vlastnou činnosťou – obstarávacia cena</w:t>
      </w:r>
    </w:p>
    <w:p>
      <w:pPr>
        <w:pStyle w:val="Normal"/>
        <w:spacing w:lineRule="auto" w:line="360" w:before="0" w:after="0"/>
        <w:ind w:left="644" w:right="0" w:hanging="360"/>
        <w:rPr/>
      </w:pPr>
      <w:r>
        <w:rPr>
          <w:sz w:val="22"/>
        </w:rPr>
        <w:t xml:space="preserve"> </w:t>
      </w:r>
      <w:r>
        <w:rPr>
          <w:sz w:val="22"/>
        </w:rPr>
        <w:t>Pohľadávok – obstarávacia cena</w:t>
      </w:r>
    </w:p>
    <w:p>
      <w:pPr>
        <w:pStyle w:val="Normal"/>
        <w:spacing w:lineRule="auto" w:line="360" w:before="0" w:after="0"/>
        <w:ind w:left="644" w:right="0" w:hanging="360"/>
        <w:rPr/>
      </w:pPr>
      <w:r>
        <w:rPr>
          <w:sz w:val="22"/>
        </w:rPr>
        <w:t xml:space="preserve"> </w:t>
      </w:r>
      <w:r>
        <w:rPr>
          <w:sz w:val="22"/>
        </w:rPr>
        <w:t>krátkodobého finančného majetku – obstarávacia cena</w:t>
      </w:r>
    </w:p>
    <w:p>
      <w:pPr>
        <w:pStyle w:val="Normal"/>
        <w:spacing w:lineRule="auto" w:line="360" w:before="0" w:after="0"/>
        <w:ind w:left="644" w:right="0" w:hanging="360"/>
        <w:rPr/>
      </w:pPr>
      <w:r>
        <w:rPr>
          <w:sz w:val="22"/>
        </w:rPr>
        <w:t xml:space="preserve"> </w:t>
      </w:r>
      <w:r>
        <w:rPr>
          <w:sz w:val="22"/>
        </w:rPr>
        <w:t>záväzkov vrátane rezerv, dlhopisov, pôžičiek a úverov – obstarávacia cena</w:t>
      </w:r>
    </w:p>
    <w:p>
      <w:pPr>
        <w:pStyle w:val="Normal"/>
        <w:spacing w:lineRule="auto" w:line="360" w:before="0" w:after="0"/>
        <w:ind w:left="644" w:right="0" w:hanging="360"/>
        <w:rPr/>
      </w:pPr>
      <w:r>
        <w:rPr>
          <w:sz w:val="22"/>
        </w:rPr>
        <w:t>derivátových operácií – obstarávacia cena</w:t>
      </w:r>
    </w:p>
    <w:p>
      <w:pPr>
        <w:pStyle w:val="Normal"/>
        <w:spacing w:lineRule="auto" w:line="360" w:before="0" w:after="0"/>
        <w:ind w:left="644" w:right="0" w:hanging="0"/>
        <w:rPr>
          <w:sz w:val="22"/>
        </w:rPr>
      </w:pPr>
      <w:r>
        <w:rPr>
          <w:sz w:val="22"/>
        </w:rPr>
      </w:r>
    </w:p>
    <w:p>
      <w:pPr>
        <w:pStyle w:val="Normal"/>
        <w:spacing w:lineRule="auto" w:line="360" w:before="0" w:after="0"/>
        <w:ind w:left="0" w:right="0" w:hanging="0"/>
        <w:rPr/>
      </w:pPr>
      <w:r>
        <w:rPr>
          <w:sz w:val="22"/>
        </w:rPr>
        <w:t>(3) Spôsob zostavenia odpisového plánu pre jednotlivé druhy dlhodobého hmotného majetku  a dlhodobého nehmotného majetku, pričom sa uvádza doba odpisovania, použité sadzby odpisov a odpisové metódy pri určení odpisov.</w:t>
      </w:r>
    </w:p>
    <w:p>
      <w:pPr>
        <w:pStyle w:val="Normal"/>
        <w:spacing w:lineRule="auto" w:line="360" w:before="0" w:after="0"/>
        <w:ind w:left="0" w:right="0" w:hanging="0"/>
        <w:rPr/>
      </w:pPr>
      <w:r>
        <w:rPr/>
      </w:r>
    </w:p>
    <w:tbl>
      <w:tblPr>
        <w:tblW w:w="8264" w:type="dxa"/>
        <w:jc w:val="left"/>
        <w:tblInd w:w="-178" w:type="dxa"/>
        <w:tblCellMar>
          <w:top w:w="0" w:type="dxa"/>
          <w:left w:w="70" w:type="dxa"/>
          <w:bottom w:w="0" w:type="dxa"/>
          <w:right w:w="70" w:type="dxa"/>
        </w:tblCellMar>
      </w:tblPr>
      <w:tblGrid>
        <w:gridCol w:w="3514"/>
        <w:gridCol w:w="925"/>
        <w:gridCol w:w="1882"/>
        <w:gridCol w:w="1942"/>
      </w:tblGrid>
      <w:tr>
        <w:trPr/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420"/>
              </w:tabs>
              <w:spacing w:lineRule="auto" w:line="36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Dlhodobý hmotný a nehmotný</w:t>
            </w:r>
          </w:p>
          <w:p>
            <w:pPr>
              <w:pStyle w:val="Normal"/>
              <w:tabs>
                <w:tab w:val="clear" w:pos="420"/>
              </w:tabs>
              <w:spacing w:lineRule="auto" w:line="36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odpisovaný majetok</w:t>
            </w:r>
          </w:p>
        </w:tc>
        <w:tc>
          <w:tcPr>
            <w:tcW w:w="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420"/>
              </w:tabs>
              <w:spacing w:lineRule="auto" w:line="36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číslo</w:t>
            </w:r>
          </w:p>
          <w:p>
            <w:pPr>
              <w:pStyle w:val="Normal"/>
              <w:tabs>
                <w:tab w:val="clear" w:pos="420"/>
              </w:tabs>
              <w:spacing w:lineRule="auto" w:line="36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účtu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420"/>
              </w:tabs>
              <w:spacing w:lineRule="auto" w:line="36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Doba odpisovania</w:t>
            </w:r>
          </w:p>
          <w:p>
            <w:pPr>
              <w:pStyle w:val="Normal"/>
              <w:tabs>
                <w:tab w:val="clear" w:pos="420"/>
              </w:tabs>
              <w:spacing w:lineRule="auto" w:line="36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(počet rokov)</w:t>
            </w:r>
          </w:p>
        </w:tc>
        <w:tc>
          <w:tcPr>
            <w:tcW w:w="1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420"/>
              </w:tabs>
              <w:spacing w:lineRule="auto" w:line="36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 xml:space="preserve">Ročná odpisová sadzba </w:t>
            </w:r>
          </w:p>
          <w:p>
            <w:pPr>
              <w:pStyle w:val="Normal"/>
              <w:tabs>
                <w:tab w:val="clear" w:pos="420"/>
              </w:tabs>
              <w:spacing w:lineRule="auto" w:line="36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(%)</w:t>
            </w:r>
          </w:p>
        </w:tc>
      </w:tr>
      <w:tr>
        <w:trPr/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420"/>
              </w:tabs>
              <w:spacing w:lineRule="auto" w:line="360"/>
              <w:ind w:left="0" w:right="0" w:hanging="0"/>
              <w:rPr/>
            </w:pPr>
            <w:r>
              <w:rPr>
                <w:sz w:val="22"/>
              </w:rPr>
              <w:t>Software</w:t>
            </w:r>
          </w:p>
        </w:tc>
        <w:tc>
          <w:tcPr>
            <w:tcW w:w="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420"/>
              </w:tabs>
              <w:spacing w:lineRule="auto" w:line="240" w:before="0" w:after="0"/>
              <w:ind w:left="0" w:right="0" w:hanging="0"/>
              <w:jc w:val="center"/>
              <w:rPr/>
            </w:pPr>
            <w:r>
              <w:rPr>
                <w:rFonts w:eastAsia="Times New Roman" w:cs="Times New Roman" w:ascii="Times New Roman" w:hAnsi="Times New Roman"/>
                <w:sz w:val="22"/>
              </w:rPr>
              <w:t>013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420"/>
              </w:tabs>
              <w:spacing w:lineRule="auto" w:line="240" w:before="0" w:after="0"/>
              <w:ind w:left="0" w:right="0" w:hanging="0"/>
              <w:jc w:val="center"/>
              <w:rPr/>
            </w:pPr>
            <w:r>
              <w:rPr>
                <w:rFonts w:eastAsia="Times New Roman" w:cs="Times New Roman" w:ascii="Times New Roman" w:hAnsi="Times New Roman"/>
                <w:sz w:val="22"/>
              </w:rPr>
              <w:t>4</w:t>
            </w:r>
          </w:p>
        </w:tc>
        <w:tc>
          <w:tcPr>
            <w:tcW w:w="1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420"/>
              </w:tabs>
              <w:spacing w:lineRule="auto" w:line="240" w:before="0" w:after="0"/>
              <w:ind w:left="0" w:right="0" w:hanging="0"/>
              <w:jc w:val="center"/>
              <w:rPr/>
            </w:pPr>
            <w:r>
              <w:rPr>
                <w:rFonts w:eastAsia="Times New Roman" w:cs="Times New Roman" w:ascii="Times New Roman" w:hAnsi="Times New Roman"/>
                <w:sz w:val="22"/>
              </w:rPr>
              <w:t>25</w:t>
            </w:r>
          </w:p>
        </w:tc>
      </w:tr>
      <w:tr>
        <w:trPr/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420"/>
              </w:tabs>
              <w:spacing w:lineRule="auto" w:line="360"/>
              <w:ind w:left="0" w:right="0" w:hanging="0"/>
              <w:rPr/>
            </w:pPr>
            <w:r>
              <w:rPr>
                <w:sz w:val="22"/>
              </w:rPr>
              <w:t xml:space="preserve">Ostatný DNM </w:t>
            </w:r>
          </w:p>
        </w:tc>
        <w:tc>
          <w:tcPr>
            <w:tcW w:w="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420"/>
              </w:tabs>
              <w:spacing w:lineRule="auto" w:line="240" w:before="0" w:after="0"/>
              <w:ind w:left="0" w:right="0" w:hanging="0"/>
              <w:jc w:val="center"/>
              <w:rPr/>
            </w:pPr>
            <w:r>
              <w:rPr>
                <w:rFonts w:eastAsia="Times New Roman" w:cs="Times New Roman" w:ascii="Times New Roman" w:hAnsi="Times New Roman"/>
                <w:sz w:val="22"/>
              </w:rPr>
              <w:t>019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420"/>
              </w:tabs>
              <w:spacing w:lineRule="auto" w:line="240" w:before="0" w:after="0"/>
              <w:ind w:left="0" w:right="0" w:hanging="0"/>
              <w:jc w:val="center"/>
              <w:rPr/>
            </w:pPr>
            <w:r>
              <w:rPr>
                <w:rFonts w:eastAsia="Times New Roman" w:cs="Times New Roman" w:ascii="Times New Roman" w:hAnsi="Times New Roman"/>
                <w:sz w:val="22"/>
              </w:rPr>
              <w:t>4</w:t>
            </w:r>
          </w:p>
        </w:tc>
        <w:tc>
          <w:tcPr>
            <w:tcW w:w="1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420"/>
              </w:tabs>
              <w:spacing w:lineRule="auto" w:line="240" w:before="0" w:after="0"/>
              <w:ind w:left="0" w:right="0" w:hanging="0"/>
              <w:jc w:val="center"/>
              <w:rPr/>
            </w:pPr>
            <w:r>
              <w:rPr>
                <w:rFonts w:eastAsia="Times New Roman" w:cs="Times New Roman" w:ascii="Times New Roman" w:hAnsi="Times New Roman"/>
                <w:sz w:val="22"/>
              </w:rPr>
              <w:t>25</w:t>
            </w:r>
          </w:p>
        </w:tc>
      </w:tr>
      <w:tr>
        <w:trPr/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420"/>
              </w:tabs>
              <w:spacing w:lineRule="auto" w:line="360"/>
              <w:ind w:left="0" w:right="0" w:hanging="0"/>
              <w:rPr/>
            </w:pPr>
            <w:r>
              <w:rPr>
                <w:sz w:val="22"/>
              </w:rPr>
              <w:t>Stavby</w:t>
            </w:r>
          </w:p>
        </w:tc>
        <w:tc>
          <w:tcPr>
            <w:tcW w:w="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420"/>
              </w:tabs>
              <w:spacing w:lineRule="auto" w:line="240" w:before="0" w:after="0"/>
              <w:ind w:left="0" w:right="0" w:hanging="0"/>
              <w:jc w:val="center"/>
              <w:rPr/>
            </w:pPr>
            <w:r>
              <w:rPr>
                <w:rFonts w:eastAsia="Times New Roman" w:cs="Times New Roman" w:ascii="Times New Roman" w:hAnsi="Times New Roman"/>
                <w:sz w:val="22"/>
              </w:rPr>
              <w:t>021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420"/>
              </w:tabs>
              <w:spacing w:lineRule="auto" w:line="240" w:before="0" w:after="0"/>
              <w:ind w:left="0" w:right="0" w:hanging="0"/>
              <w:jc w:val="center"/>
              <w:rPr/>
            </w:pPr>
            <w:r>
              <w:rPr>
                <w:rFonts w:eastAsia="Times New Roman" w:cs="Times New Roman" w:ascii="Times New Roman" w:hAnsi="Times New Roman"/>
                <w:sz w:val="22"/>
              </w:rPr>
              <w:t>25</w:t>
            </w:r>
          </w:p>
        </w:tc>
        <w:tc>
          <w:tcPr>
            <w:tcW w:w="1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420"/>
              </w:tabs>
              <w:spacing w:lineRule="auto" w:line="240" w:before="0" w:after="0"/>
              <w:ind w:left="0" w:right="0" w:hanging="0"/>
              <w:jc w:val="center"/>
              <w:rPr/>
            </w:pPr>
            <w:r>
              <w:rPr>
                <w:rFonts w:eastAsia="Times New Roman" w:cs="Times New Roman" w:ascii="Times New Roman" w:hAnsi="Times New Roman"/>
                <w:sz w:val="22"/>
              </w:rPr>
              <w:t>4</w:t>
            </w:r>
          </w:p>
        </w:tc>
      </w:tr>
      <w:tr>
        <w:trPr/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420"/>
              </w:tabs>
              <w:spacing w:lineRule="auto" w:line="360"/>
              <w:ind w:left="0" w:right="0" w:hanging="0"/>
              <w:rPr/>
            </w:pPr>
            <w:r>
              <w:rPr>
                <w:sz w:val="22"/>
              </w:rPr>
              <w:t>Počítače s príslušenstvom</w:t>
            </w:r>
          </w:p>
        </w:tc>
        <w:tc>
          <w:tcPr>
            <w:tcW w:w="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420"/>
              </w:tabs>
              <w:spacing w:lineRule="auto" w:line="240" w:before="0" w:after="0"/>
              <w:ind w:left="0" w:right="0" w:hanging="0"/>
              <w:jc w:val="center"/>
              <w:rPr/>
            </w:pPr>
            <w:r>
              <w:rPr>
                <w:rFonts w:eastAsia="Times New Roman" w:cs="Times New Roman" w:ascii="Times New Roman" w:hAnsi="Times New Roman"/>
                <w:sz w:val="22"/>
              </w:rPr>
              <w:t>022.A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420"/>
              </w:tabs>
              <w:spacing w:lineRule="auto" w:line="240" w:before="0" w:after="0"/>
              <w:ind w:left="0" w:right="0" w:hanging="0"/>
              <w:jc w:val="center"/>
              <w:rPr/>
            </w:pPr>
            <w:r>
              <w:rPr>
                <w:rFonts w:eastAsia="Times New Roman" w:cs="Times New Roman" w:ascii="Times New Roman" w:hAnsi="Times New Roman"/>
                <w:sz w:val="22"/>
              </w:rPr>
              <w:t>5</w:t>
            </w:r>
          </w:p>
        </w:tc>
        <w:tc>
          <w:tcPr>
            <w:tcW w:w="1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420"/>
              </w:tabs>
              <w:spacing w:lineRule="auto" w:line="240" w:before="0" w:after="0"/>
              <w:ind w:left="0" w:right="0" w:hanging="0"/>
              <w:jc w:val="center"/>
              <w:rPr/>
            </w:pPr>
            <w:r>
              <w:rPr>
                <w:rFonts w:eastAsia="Times New Roman" w:cs="Times New Roman" w:ascii="Times New Roman" w:hAnsi="Times New Roman"/>
                <w:sz w:val="22"/>
              </w:rPr>
              <w:t>20</w:t>
            </w:r>
          </w:p>
        </w:tc>
      </w:tr>
      <w:tr>
        <w:trPr/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420"/>
              </w:tabs>
              <w:spacing w:lineRule="auto" w:line="360"/>
              <w:ind w:left="0" w:right="0" w:hanging="0"/>
              <w:rPr/>
            </w:pPr>
            <w:r>
              <w:rPr>
                <w:sz w:val="22"/>
              </w:rPr>
              <w:t>Dopravné prostriedky</w:t>
            </w:r>
          </w:p>
        </w:tc>
        <w:tc>
          <w:tcPr>
            <w:tcW w:w="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420"/>
              </w:tabs>
              <w:spacing w:lineRule="auto" w:line="240" w:before="0" w:after="0"/>
              <w:ind w:left="0" w:right="0" w:hanging="0"/>
              <w:jc w:val="center"/>
              <w:rPr/>
            </w:pPr>
            <w:r>
              <w:rPr>
                <w:rFonts w:eastAsia="Times New Roman" w:cs="Times New Roman" w:ascii="Times New Roman" w:hAnsi="Times New Roman"/>
                <w:sz w:val="22"/>
              </w:rPr>
              <w:t>023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420"/>
              </w:tabs>
              <w:spacing w:lineRule="auto" w:line="240" w:before="0" w:after="0"/>
              <w:ind w:left="0" w:right="0" w:hanging="0"/>
              <w:jc w:val="center"/>
              <w:rPr/>
            </w:pPr>
            <w:r>
              <w:rPr>
                <w:rFonts w:eastAsia="Times New Roman" w:cs="Times New Roman" w:ascii="Times New Roman" w:hAnsi="Times New Roman"/>
                <w:sz w:val="22"/>
              </w:rPr>
              <w:t>7</w:t>
            </w:r>
          </w:p>
        </w:tc>
        <w:tc>
          <w:tcPr>
            <w:tcW w:w="1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420"/>
              </w:tabs>
              <w:spacing w:lineRule="auto" w:line="240" w:before="0" w:after="0"/>
              <w:ind w:left="0" w:right="0" w:hanging="0"/>
              <w:jc w:val="center"/>
              <w:rPr/>
            </w:pPr>
            <w:r>
              <w:rPr>
                <w:rFonts w:eastAsia="Times New Roman" w:cs="Times New Roman" w:ascii="Times New Roman" w:hAnsi="Times New Roman"/>
                <w:sz w:val="22"/>
              </w:rPr>
              <w:t>14,3</w:t>
            </w:r>
          </w:p>
        </w:tc>
      </w:tr>
      <w:tr>
        <w:trPr/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420"/>
              </w:tabs>
              <w:spacing w:lineRule="auto" w:line="360"/>
              <w:ind w:left="0" w:right="0" w:hanging="0"/>
              <w:rPr/>
            </w:pPr>
            <w:r>
              <w:rPr>
                <w:sz w:val="22"/>
              </w:rPr>
              <w:t>Ostatné stroje</w:t>
            </w:r>
          </w:p>
        </w:tc>
        <w:tc>
          <w:tcPr>
            <w:tcW w:w="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420"/>
              </w:tabs>
              <w:spacing w:lineRule="auto" w:line="240" w:before="0" w:after="0"/>
              <w:ind w:left="0" w:right="0" w:hanging="0"/>
              <w:jc w:val="center"/>
              <w:rPr/>
            </w:pPr>
            <w:r>
              <w:rPr>
                <w:rFonts w:eastAsia="Times New Roman" w:cs="Times New Roman" w:ascii="Times New Roman" w:hAnsi="Times New Roman"/>
                <w:sz w:val="22"/>
              </w:rPr>
              <w:t>022.A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420"/>
              </w:tabs>
              <w:spacing w:lineRule="auto" w:line="240" w:before="0" w:after="0"/>
              <w:ind w:left="0" w:right="0" w:hanging="0"/>
              <w:jc w:val="center"/>
              <w:rPr/>
            </w:pPr>
            <w:r>
              <w:rPr>
                <w:rFonts w:eastAsia="Times New Roman" w:cs="Times New Roman" w:ascii="Times New Roman" w:hAnsi="Times New Roman"/>
                <w:sz w:val="22"/>
              </w:rPr>
              <w:t>7</w:t>
            </w:r>
          </w:p>
        </w:tc>
        <w:tc>
          <w:tcPr>
            <w:tcW w:w="1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420"/>
              </w:tabs>
              <w:spacing w:lineRule="auto" w:line="240" w:before="0" w:after="0"/>
              <w:ind w:left="0" w:right="0" w:hanging="0"/>
              <w:jc w:val="center"/>
              <w:rPr/>
            </w:pPr>
            <w:r>
              <w:rPr>
                <w:rFonts w:eastAsia="Times New Roman" w:cs="Times New Roman" w:ascii="Times New Roman" w:hAnsi="Times New Roman"/>
                <w:sz w:val="22"/>
              </w:rPr>
              <w:t>14,3</w:t>
            </w:r>
          </w:p>
        </w:tc>
      </w:tr>
      <w:tr>
        <w:trPr/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420"/>
              </w:tabs>
              <w:spacing w:lineRule="auto" w:line="360"/>
              <w:ind w:left="0" w:right="0" w:hanging="0"/>
              <w:rPr/>
            </w:pPr>
            <w:r>
              <w:rPr>
                <w:sz w:val="22"/>
              </w:rPr>
              <w:t>Ostatný dlhodobý hmotný majetok</w:t>
            </w:r>
          </w:p>
        </w:tc>
        <w:tc>
          <w:tcPr>
            <w:tcW w:w="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420"/>
              </w:tabs>
              <w:spacing w:lineRule="auto" w:line="240" w:before="0" w:after="0"/>
              <w:ind w:left="0" w:right="0" w:hanging="0"/>
              <w:jc w:val="center"/>
              <w:rPr/>
            </w:pPr>
            <w:r>
              <w:rPr>
                <w:rFonts w:eastAsia="Times New Roman" w:cs="Times New Roman" w:ascii="Times New Roman" w:hAnsi="Times New Roman"/>
                <w:sz w:val="22"/>
              </w:rPr>
              <w:t>029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420"/>
              </w:tabs>
              <w:spacing w:lineRule="auto" w:line="240" w:before="0" w:after="0"/>
              <w:ind w:left="0" w:right="0" w:hanging="0"/>
              <w:jc w:val="center"/>
              <w:rPr/>
            </w:pPr>
            <w:r>
              <w:rPr>
                <w:rFonts w:eastAsia="Times New Roman" w:cs="Times New Roman" w:ascii="Times New Roman" w:hAnsi="Times New Roman"/>
                <w:sz w:val="22"/>
              </w:rPr>
              <w:t>5</w:t>
            </w:r>
          </w:p>
        </w:tc>
        <w:tc>
          <w:tcPr>
            <w:tcW w:w="1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420"/>
              </w:tabs>
              <w:spacing w:lineRule="auto" w:line="240" w:before="0" w:after="0"/>
              <w:ind w:left="0" w:right="0" w:hanging="0"/>
              <w:jc w:val="center"/>
              <w:rPr/>
            </w:pPr>
            <w:r>
              <w:rPr>
                <w:rFonts w:eastAsia="Times New Roman" w:cs="Times New Roman" w:ascii="Times New Roman" w:hAnsi="Times New Roman"/>
                <w:sz w:val="22"/>
              </w:rPr>
              <w:t>20</w:t>
            </w:r>
          </w:p>
        </w:tc>
      </w:tr>
    </w:tbl>
    <w:p>
      <w:pPr>
        <w:pStyle w:val="Normal"/>
        <w:spacing w:lineRule="auto" w:line="360" w:before="0" w:after="0"/>
        <w:ind w:left="567" w:right="0" w:hanging="0"/>
        <w:rPr>
          <w:sz w:val="22"/>
        </w:rPr>
      </w:pPr>
      <w:r>
        <w:rPr>
          <w:sz w:val="22"/>
        </w:rPr>
      </w:r>
    </w:p>
    <w:p>
      <w:pPr>
        <w:pStyle w:val="Normal"/>
        <w:spacing w:lineRule="auto" w:line="360" w:before="0" w:after="0"/>
        <w:ind w:left="0" w:right="0" w:hanging="0"/>
        <w:rPr/>
      </w:pPr>
      <w:r>
        <w:rPr>
          <w:sz w:val="22"/>
        </w:rPr>
        <w:t>(4) Zmeny účtovných zásad a zmeny účtovných metód s uvedením dôvodu týchto zmien a vyčíslením ich vplyvu na finančnú hodnotu majetku, záväzkov, základného imania a výsledku hospodárenia účtovnej jednotky. - Neboli</w:t>
      </w:r>
    </w:p>
    <w:p>
      <w:pPr>
        <w:pStyle w:val="Normal"/>
        <w:spacing w:lineRule="auto" w:line="360" w:before="0" w:after="0"/>
        <w:ind w:left="0" w:right="0" w:hanging="0"/>
        <w:rPr>
          <w:sz w:val="22"/>
        </w:rPr>
      </w:pPr>
      <w:r>
        <w:rPr>
          <w:sz w:val="22"/>
        </w:rPr>
      </w:r>
    </w:p>
    <w:p>
      <w:pPr>
        <w:pStyle w:val="Normal"/>
        <w:spacing w:lineRule="auto" w:line="360" w:before="0" w:after="0"/>
        <w:ind w:left="0" w:right="0" w:hanging="0"/>
        <w:rPr/>
      </w:pPr>
      <w:r>
        <w:rPr>
          <w:sz w:val="22"/>
        </w:rPr>
        <w:t>(5) Informácie o dotáciách a ich oceňovanie v účtovníctve. – Nie je plnenie</w:t>
      </w:r>
    </w:p>
    <w:p>
      <w:pPr>
        <w:pStyle w:val="Normal"/>
        <w:spacing w:lineRule="auto" w:line="360" w:before="0" w:after="0"/>
        <w:ind w:left="567" w:right="0" w:hanging="0"/>
        <w:rPr>
          <w:sz w:val="22"/>
        </w:rPr>
      </w:pPr>
      <w:r>
        <w:rPr>
          <w:sz w:val="22"/>
        </w:rPr>
      </w:r>
    </w:p>
    <w:p>
      <w:pPr>
        <w:pStyle w:val="Normal"/>
        <w:spacing w:lineRule="auto" w:line="360" w:before="0" w:after="0"/>
        <w:ind w:left="0" w:right="0" w:hanging="0"/>
        <w:rPr/>
      </w:pPr>
      <w:r>
        <w:rPr>
          <w:sz w:val="22"/>
        </w:rPr>
        <w:t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– Neboli.</w:t>
      </w:r>
    </w:p>
    <w:p>
      <w:pPr>
        <w:pStyle w:val="Normal"/>
        <w:spacing w:lineRule="auto" w:line="360" w:before="0" w:after="0"/>
        <w:ind w:left="0" w:right="0" w:hanging="0"/>
        <w:rPr/>
      </w:pPr>
      <w:r>
        <w:rPr/>
      </w:r>
    </w:p>
    <w:p>
      <w:pPr>
        <w:pStyle w:val="Normal"/>
        <w:spacing w:lineRule="auto" w:line="360" w:before="0" w:after="0"/>
        <w:ind w:left="0" w:right="0" w:hanging="0"/>
        <w:rPr/>
      </w:pPr>
      <w:r>
        <w:rPr>
          <w:b/>
        </w:rPr>
        <w:t>ČL. III  INFORMÁCIE, KTORÉ DOPĹŇAJÚ A VYSVETĽUJÚ SÚVAHU A VÝKAZ ZISKOV A STRÁT</w:t>
      </w:r>
    </w:p>
    <w:p>
      <w:pPr>
        <w:pStyle w:val="Normal"/>
        <w:spacing w:lineRule="auto" w:line="360" w:before="0" w:after="0"/>
        <w:ind w:left="0" w:right="0" w:hanging="0"/>
        <w:rPr/>
      </w:pPr>
      <w:r>
        <w:rPr>
          <w:sz w:val="22"/>
        </w:rPr>
        <w:t xml:space="preserve"> </w:t>
      </w:r>
      <w:r>
        <w:rPr>
          <w:sz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 - Neboli.</w:t>
      </w:r>
    </w:p>
    <w:p>
      <w:pPr>
        <w:pStyle w:val="Normal"/>
        <w:spacing w:lineRule="auto" w:line="360" w:before="0" w:after="0"/>
        <w:ind w:left="567" w:right="0" w:hanging="0"/>
        <w:rPr>
          <w:sz w:val="22"/>
        </w:rPr>
      </w:pPr>
      <w:r>
        <w:rPr>
          <w:sz w:val="22"/>
        </w:rPr>
      </w:r>
    </w:p>
    <w:p>
      <w:pPr>
        <w:pStyle w:val="Normal"/>
        <w:spacing w:lineRule="auto" w:line="360" w:before="0" w:after="0"/>
        <w:ind w:left="0" w:right="0" w:hanging="0"/>
        <w:rPr/>
      </w:pPr>
      <w:r>
        <w:rPr>
          <w:sz w:val="22"/>
        </w:rPr>
        <w:t xml:space="preserve"> </w:t>
      </w:r>
      <w:r>
        <w:rPr>
          <w:sz w:val="22"/>
        </w:rPr>
        <w:t>Informácie o obchodných záväzkoch, a to</w:t>
      </w:r>
    </w:p>
    <w:p>
      <w:pPr>
        <w:pStyle w:val="Normal"/>
        <w:spacing w:lineRule="auto" w:line="360"/>
        <w:ind w:left="284" w:right="0" w:hanging="0"/>
        <w:rPr/>
      </w:pPr>
      <w:r>
        <w:rPr>
          <w:sz w:val="22"/>
        </w:rPr>
        <w:t>a) celkovej sume obchodných záväzkov so zostatkovou dobou splatnosti dlhšou ako päť rokov,</w:t>
      </w:r>
    </w:p>
    <w:p>
      <w:pPr>
        <w:pStyle w:val="Normal"/>
        <w:spacing w:lineRule="auto" w:line="360"/>
        <w:ind w:left="284" w:right="0" w:hanging="0"/>
        <w:rPr/>
      </w:pPr>
      <w:r>
        <w:rPr>
          <w:sz w:val="22"/>
        </w:rPr>
        <w:t>b) celkovej sume zabezpečených záväzkov, opis a spôsoby zabezpečenia záväzkov.</w:t>
      </w:r>
    </w:p>
    <w:p>
      <w:pPr>
        <w:pStyle w:val="Normal"/>
        <w:spacing w:lineRule="auto" w:line="360" w:before="0" w:after="0"/>
        <w:ind w:left="142" w:right="0" w:hanging="0"/>
        <w:rPr/>
      </w:pPr>
      <w:r>
        <w:rPr>
          <w:b/>
          <w:sz w:val="22"/>
        </w:rPr>
        <w:t>Tabuľka k záväzkom</w:t>
      </w:r>
    </w:p>
    <w:tbl>
      <w:tblPr>
        <w:tblW w:w="10170" w:type="dxa"/>
        <w:jc w:val="left"/>
        <w:tblInd w:w="34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55"/>
        <w:gridCol w:w="2813"/>
        <w:gridCol w:w="3202"/>
      </w:tblGrid>
      <w:tr>
        <w:trPr/>
        <w:tc>
          <w:tcPr>
            <w:tcW w:w="4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420"/>
              </w:tabs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420"/>
              </w:tabs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18"/>
                <w:lang w:eastAsia="sk-SK"/>
              </w:rPr>
              <w:t>Bežné účtovné obdobie</w:t>
            </w:r>
          </w:p>
        </w:tc>
        <w:tc>
          <w:tcPr>
            <w:tcW w:w="3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420"/>
              </w:tabs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18"/>
                <w:lang w:eastAsia="sk-SK"/>
              </w:rPr>
              <w:t>Bezprostredne predchádzajúce</w:t>
            </w:r>
            <w:r>
              <w:rPr/>
              <w:br/>
            </w:r>
            <w:r>
              <w:rPr>
                <w:b/>
                <w:sz w:val="18"/>
                <w:lang w:eastAsia="sk-SK"/>
              </w:rPr>
              <w:t>účtovné obdobie</w:t>
            </w:r>
          </w:p>
        </w:tc>
      </w:tr>
      <w:tr>
        <w:trPr>
          <w:trHeight w:val="391" w:hRule="atLeast"/>
        </w:trPr>
        <w:tc>
          <w:tcPr>
            <w:tcW w:w="4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420"/>
              </w:tabs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sz w:val="18"/>
              </w:rPr>
              <w:t>Záväzky po lehote splatnosti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420"/>
              </w:tabs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sz w:val="18"/>
                <w:lang w:eastAsia="sk-SK"/>
              </w:rPr>
              <w:t>13 329</w:t>
            </w:r>
          </w:p>
        </w:tc>
        <w:tc>
          <w:tcPr>
            <w:tcW w:w="3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420"/>
              </w:tabs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sz w:val="18"/>
                <w:lang w:eastAsia="sk-SK"/>
              </w:rPr>
              <w:t>22 721</w:t>
            </w:r>
          </w:p>
        </w:tc>
      </w:tr>
      <w:tr>
        <w:trPr>
          <w:trHeight w:val="391" w:hRule="atLeast"/>
        </w:trPr>
        <w:tc>
          <w:tcPr>
            <w:tcW w:w="4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420"/>
              </w:tabs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sz w:val="18"/>
              </w:rPr>
              <w:t>Záväzky do lehoty splatnosti so zostatkovou dobou splatnosti do jedného  roka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420"/>
              </w:tabs>
              <w:spacing w:lineRule="auto" w:line="240"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Times New Roman" w:cs="Times New Roman" w:ascii="Times New Roman" w:hAnsi="Times New Roman"/>
                <w:sz w:val="18"/>
                <w:lang w:val="cs-CZ"/>
              </w:rPr>
              <w:t>27 213</w:t>
            </w:r>
          </w:p>
        </w:tc>
        <w:tc>
          <w:tcPr>
            <w:tcW w:w="3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420"/>
              </w:tabs>
              <w:spacing w:lineRule="auto" w:line="240" w:before="0" w:after="0"/>
              <w:ind w:left="0" w:right="0" w:hanging="0"/>
              <w:jc w:val="center"/>
              <w:rPr/>
            </w:pPr>
            <w:r>
              <w:rPr>
                <w:rFonts w:eastAsia="Times New Roman" w:cs="Times New Roman" w:ascii="Times New Roman" w:hAnsi="Times New Roman"/>
                <w:sz w:val="18"/>
              </w:rPr>
              <w:t>4 691</w:t>
            </w:r>
          </w:p>
        </w:tc>
      </w:tr>
      <w:tr>
        <w:trPr>
          <w:trHeight w:val="447" w:hRule="atLeast"/>
        </w:trPr>
        <w:tc>
          <w:tcPr>
            <w:tcW w:w="4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420"/>
              </w:tabs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b/>
                <w:sz w:val="18"/>
              </w:rPr>
              <w:t>Krátkodobé záväzky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420"/>
              </w:tabs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18"/>
              </w:rPr>
              <w:t>40 542</w:t>
            </w:r>
          </w:p>
        </w:tc>
        <w:tc>
          <w:tcPr>
            <w:tcW w:w="3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420"/>
              </w:tabs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18"/>
              </w:rPr>
              <w:t>27 412</w:t>
            </w:r>
          </w:p>
        </w:tc>
      </w:tr>
      <w:tr>
        <w:trPr/>
        <w:tc>
          <w:tcPr>
            <w:tcW w:w="4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420"/>
              </w:tabs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sz w:val="18"/>
              </w:rPr>
              <w:t xml:space="preserve">Záväzky so zostatkovou dobou splatnosti od jedného do piatich rokov vrátane 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420"/>
              </w:tabs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sz w:val="18"/>
              </w:rPr>
              <w:t>186 758</w:t>
            </w:r>
          </w:p>
        </w:tc>
        <w:tc>
          <w:tcPr>
            <w:tcW w:w="3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420"/>
              </w:tabs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sz w:val="18"/>
              </w:rPr>
              <w:t>159 058</w:t>
            </w:r>
          </w:p>
        </w:tc>
      </w:tr>
      <w:tr>
        <w:trPr>
          <w:trHeight w:val="478" w:hRule="atLeast"/>
        </w:trPr>
        <w:tc>
          <w:tcPr>
            <w:tcW w:w="4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420"/>
              </w:tabs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sz w:val="18"/>
              </w:rPr>
              <w:t xml:space="preserve">Záväzky so zostatkovou dobou splatnosti viac ako päť rokov 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420"/>
              </w:tabs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sz w:val="18"/>
              </w:rPr>
              <w:t>0</w:t>
            </w:r>
          </w:p>
        </w:tc>
        <w:tc>
          <w:tcPr>
            <w:tcW w:w="3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420"/>
              </w:tabs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sz w:val="18"/>
              </w:rPr>
              <w:t>0</w:t>
            </w:r>
          </w:p>
        </w:tc>
      </w:tr>
      <w:tr>
        <w:trPr>
          <w:trHeight w:val="409" w:hRule="atLeast"/>
        </w:trPr>
        <w:tc>
          <w:tcPr>
            <w:tcW w:w="4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420"/>
              </w:tabs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b/>
                <w:sz w:val="18"/>
              </w:rPr>
              <w:t>Dlhodobé záväzky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420"/>
              </w:tabs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18"/>
              </w:rPr>
              <w:t>186 758</w:t>
            </w:r>
          </w:p>
        </w:tc>
        <w:tc>
          <w:tcPr>
            <w:tcW w:w="3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420"/>
              </w:tabs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18"/>
              </w:rPr>
              <w:t>159 058</w:t>
            </w:r>
          </w:p>
        </w:tc>
      </w:tr>
      <w:tr>
        <w:trPr>
          <w:trHeight w:val="409" w:hRule="atLeast"/>
        </w:trPr>
        <w:tc>
          <w:tcPr>
            <w:tcW w:w="4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420"/>
              </w:tabs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b/>
                <w:sz w:val="18"/>
              </w:rPr>
              <w:t>Krátkodobé a dlhodobé záväzky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420"/>
              </w:tabs>
              <w:spacing w:lineRule="auto" w:line="240"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Times New Roman" w:cs="Times New Roman" w:ascii="Times New Roman" w:hAnsi="Times New Roman"/>
                <w:b/>
                <w:sz w:val="18"/>
                <w:lang w:val="cs-CZ"/>
              </w:rPr>
              <w:t>227 300</w:t>
            </w:r>
          </w:p>
        </w:tc>
        <w:tc>
          <w:tcPr>
            <w:tcW w:w="3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420"/>
              </w:tabs>
              <w:spacing w:lineRule="auto" w:line="240" w:before="0" w:after="0"/>
              <w:ind w:left="0" w:right="0" w:hanging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sz w:val="18"/>
              </w:rPr>
              <w:t>186 470</w:t>
            </w:r>
          </w:p>
        </w:tc>
      </w:tr>
    </w:tbl>
    <w:p>
      <w:pPr>
        <w:pStyle w:val="Normal"/>
        <w:spacing w:lineRule="auto" w:line="360"/>
        <w:ind w:left="567" w:right="0" w:hanging="0"/>
        <w:rPr>
          <w:sz w:val="22"/>
        </w:rPr>
      </w:pPr>
      <w:r>
        <w:rPr>
          <w:sz w:val="22"/>
        </w:rPr>
      </w:r>
    </w:p>
    <w:p>
      <w:pPr>
        <w:pStyle w:val="Normal"/>
        <w:spacing w:lineRule="auto" w:line="360"/>
        <w:ind w:left="180" w:right="0" w:hanging="180"/>
        <w:rPr/>
      </w:pPr>
      <w:r>
        <w:rPr>
          <w:sz w:val="22"/>
        </w:rPr>
        <w:t>(3) Informácie o vlastných akciách – spoločnosť nemá vlastné akcie</w:t>
      </w:r>
    </w:p>
    <w:p>
      <w:pPr>
        <w:pStyle w:val="Normal"/>
        <w:spacing w:lineRule="auto" w:line="360"/>
        <w:ind w:left="180" w:right="0" w:hanging="180"/>
        <w:rPr>
          <w:sz w:val="22"/>
        </w:rPr>
      </w:pPr>
      <w:r>
        <w:rPr>
          <w:sz w:val="22"/>
        </w:rPr>
      </w:r>
    </w:p>
    <w:p>
      <w:pPr>
        <w:pStyle w:val="Normal"/>
        <w:spacing w:lineRule="auto" w:line="360"/>
        <w:ind w:left="180" w:right="0" w:hanging="180"/>
        <w:rPr/>
      </w:pPr>
      <w:r>
        <w:rPr>
          <w:sz w:val="22"/>
        </w:rPr>
        <w:t xml:space="preserve"> </w:t>
      </w:r>
      <w:r>
        <w:rPr>
          <w:sz w:val="22"/>
        </w:rPr>
        <w:t>(4) Informácie o orgánoch účtovnej jednotky, a to</w:t>
      </w:r>
    </w:p>
    <w:p>
      <w:pPr>
        <w:pStyle w:val="Normal"/>
        <w:spacing w:lineRule="auto" w:line="360"/>
        <w:ind w:left="284" w:right="0" w:hanging="0"/>
        <w:rPr/>
      </w:pPr>
      <w:r>
        <w:rPr>
          <w:sz w:val="22"/>
        </w:rPr>
        <w:t>a) výške jednotlivých druhov záruk alebo iných zabezpečení poskytnutých pre členov štatutárneho orgánu, dozorného orgánu a iného orgánu účtovnej jednotky, a to v členení za jednotlivé orgány – nie je plnenie</w:t>
      </w:r>
    </w:p>
    <w:p>
      <w:pPr>
        <w:pStyle w:val="Normal"/>
        <w:spacing w:lineRule="auto" w:line="360"/>
        <w:ind w:left="567" w:right="0" w:hanging="0"/>
        <w:rPr>
          <w:sz w:val="22"/>
        </w:rPr>
      </w:pPr>
      <w:r>
        <w:rPr>
          <w:sz w:val="22"/>
        </w:rPr>
      </w:r>
    </w:p>
    <w:p>
      <w:pPr>
        <w:pStyle w:val="Normal"/>
        <w:spacing w:lineRule="auto" w:line="360"/>
        <w:ind w:left="284" w:right="0" w:hanging="0"/>
        <w:rPr/>
      </w:pPr>
      <w:r>
        <w:rPr>
          <w:sz w:val="22"/>
        </w:rPr>
        <w:t>b) pôžičkách poskytnutých členom štatutárneho orgánu, dozorného orgánu a iného orgánu účtovnej jednotky – nie je plnenie</w:t>
      </w:r>
    </w:p>
    <w:p>
      <w:pPr>
        <w:pStyle w:val="Normal"/>
        <w:spacing w:lineRule="auto" w:line="360"/>
        <w:ind w:left="567" w:right="0" w:hanging="0"/>
        <w:rPr>
          <w:sz w:val="22"/>
        </w:rPr>
      </w:pPr>
      <w:r>
        <w:rPr>
          <w:sz w:val="22"/>
        </w:rPr>
      </w:r>
    </w:p>
    <w:p>
      <w:pPr>
        <w:pStyle w:val="Normal"/>
        <w:spacing w:lineRule="auto" w:line="360"/>
        <w:ind w:left="284" w:right="0" w:hanging="0"/>
        <w:rPr/>
      </w:pPr>
      <w:r>
        <w:rPr>
          <w:sz w:val="22"/>
        </w:rPr>
        <w:t>c) hlavných podmienkach, na základe ktorých im boli záruky alebo iné zabezpečenie a pôžičky poskytnuté; pri pôžičkách sa uvádzajú úrokové sadzby – Nie je plnenie.</w:t>
      </w:r>
    </w:p>
    <w:p>
      <w:pPr>
        <w:pStyle w:val="Normal"/>
        <w:spacing w:lineRule="auto" w:line="360"/>
        <w:ind w:left="567" w:right="0" w:hanging="0"/>
        <w:rPr>
          <w:sz w:val="22"/>
        </w:rPr>
      </w:pPr>
      <w:r>
        <w:rPr>
          <w:sz w:val="22"/>
        </w:rPr>
      </w:r>
    </w:p>
    <w:p>
      <w:pPr>
        <w:pStyle w:val="Normal"/>
        <w:spacing w:lineRule="auto" w:line="360"/>
        <w:ind w:left="284" w:right="0" w:hanging="0"/>
        <w:rPr/>
      </w:pPr>
      <w:r>
        <w:rPr>
          <w:sz w:val="22"/>
        </w:rPr>
        <w:t>d) celkovej sume použitých finančných prostriedkov alebo iného plnenia na súkromné účely členmi štatutárneho orgánu, dozorného orgánu a iného orgánu účtovnej jednotky, ktoré je potrebné vyúčtovať - Neboli</w:t>
      </w:r>
    </w:p>
    <w:p>
      <w:pPr>
        <w:pStyle w:val="Normal"/>
        <w:spacing w:lineRule="auto" w:line="360"/>
        <w:ind w:left="567" w:right="0" w:hanging="0"/>
        <w:rPr>
          <w:sz w:val="22"/>
        </w:rPr>
      </w:pPr>
      <w:r>
        <w:rPr>
          <w:sz w:val="22"/>
        </w:rPr>
      </w:r>
    </w:p>
    <w:p>
      <w:pPr>
        <w:pStyle w:val="Normal"/>
        <w:spacing w:lineRule="auto" w:line="360"/>
        <w:ind w:left="0" w:right="0" w:hanging="0"/>
        <w:rPr/>
      </w:pPr>
      <w:r>
        <w:rPr>
          <w:sz w:val="22"/>
        </w:rPr>
        <w:t>(5) Informácie o povinnostiach účtovnej jednotky, a to</w:t>
      </w:r>
    </w:p>
    <w:p>
      <w:pPr>
        <w:pStyle w:val="Normal"/>
        <w:spacing w:lineRule="auto" w:line="360"/>
        <w:ind w:left="284" w:right="0" w:hanging="0"/>
        <w:rPr/>
      </w:pPr>
      <w:r>
        <w:rPr>
          <w:sz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 – Nie su.</w:t>
      </w:r>
    </w:p>
    <w:p>
      <w:pPr>
        <w:pStyle w:val="Normal"/>
        <w:spacing w:lineRule="auto" w:line="360"/>
        <w:ind w:left="567" w:right="0" w:hanging="0"/>
        <w:rPr>
          <w:sz w:val="22"/>
        </w:rPr>
      </w:pPr>
      <w:r>
        <w:rPr>
          <w:sz w:val="22"/>
        </w:rPr>
      </w:r>
    </w:p>
    <w:p>
      <w:pPr>
        <w:pStyle w:val="Normal"/>
        <w:spacing w:lineRule="auto" w:line="360"/>
        <w:ind w:left="284" w:right="0" w:hanging="0"/>
        <w:rPr/>
      </w:pPr>
      <w:r>
        <w:rPr>
          <w:sz w:val="22"/>
        </w:rPr>
        <w:t>b) celkovej sume významných podmienených záväzkov, ktorými sa rozumie</w:t>
      </w:r>
    </w:p>
    <w:p>
      <w:pPr>
        <w:pStyle w:val="Normal"/>
        <w:spacing w:lineRule="auto" w:line="360"/>
        <w:ind w:left="426" w:right="0" w:hanging="0"/>
        <w:rPr/>
      </w:pPr>
      <w:r>
        <w:rPr>
          <w:sz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>
      <w:pPr>
        <w:pStyle w:val="Normal"/>
        <w:spacing w:lineRule="auto" w:line="360"/>
        <w:ind w:left="426" w:right="0" w:hanging="0"/>
        <w:rPr/>
      </w:pPr>
      <w:r>
        <w:rPr>
          <w:sz w:val="22"/>
        </w:rPr>
        <w:t>2. existujúca povinnosť, ktorá vznikla ako dôsledok minulej udalosti, ale ktorá sa nevykazuje v súvahe, pretože</w:t>
      </w:r>
    </w:p>
    <w:p>
      <w:pPr>
        <w:pStyle w:val="Normal"/>
        <w:spacing w:lineRule="auto" w:line="360"/>
        <w:ind w:left="567" w:right="0" w:hanging="0"/>
        <w:rPr/>
      </w:pPr>
      <w:r>
        <w:rPr>
          <w:sz w:val="22"/>
        </w:rPr>
        <w:t>2a. nie je pravdepodobné, že na splnenie tejto povinnosti bude potrebný úbytok ekonomických úžitkov, alebo</w:t>
      </w:r>
    </w:p>
    <w:p>
      <w:pPr>
        <w:pStyle w:val="Normal"/>
        <w:spacing w:lineRule="auto" w:line="360"/>
        <w:ind w:left="567" w:right="0" w:hanging="0"/>
        <w:rPr/>
      </w:pPr>
      <w:r>
        <w:rPr>
          <w:sz w:val="22"/>
        </w:rPr>
        <w:t>2b. výška tejto povinnosti sa nedá spoľahlivo oceniť,</w:t>
      </w:r>
    </w:p>
    <w:p>
      <w:pPr>
        <w:pStyle w:val="Normal"/>
        <w:spacing w:lineRule="auto" w:line="360"/>
        <w:ind w:left="567" w:right="0" w:hanging="0"/>
        <w:rPr/>
      </w:pPr>
      <w:r>
        <w:rPr>
          <w:sz w:val="22"/>
        </w:rPr>
        <w:t>Nie je plnenie.</w:t>
      </w:r>
    </w:p>
    <w:p>
      <w:pPr>
        <w:pStyle w:val="Normal"/>
        <w:spacing w:lineRule="auto" w:line="360"/>
        <w:ind w:left="284" w:right="0" w:hanging="0"/>
        <w:rPr/>
      </w:pPr>
      <w:r>
        <w:rPr>
          <w:sz w:val="22"/>
        </w:rPr>
        <w:t>c) opise významných finančných povinností a významných podmienených záväzkov – Nie je plnenie.</w:t>
      </w:r>
    </w:p>
    <w:p>
      <w:pPr>
        <w:pStyle w:val="Normal"/>
        <w:spacing w:lineRule="auto" w:line="360"/>
        <w:ind w:left="567" w:right="0" w:hanging="0"/>
        <w:rPr>
          <w:sz w:val="22"/>
        </w:rPr>
      </w:pPr>
      <w:r>
        <w:rPr>
          <w:sz w:val="22"/>
        </w:rPr>
      </w:r>
    </w:p>
    <w:p>
      <w:pPr>
        <w:pStyle w:val="Normal"/>
        <w:spacing w:lineRule="auto" w:line="360"/>
        <w:ind w:left="284" w:right="0" w:hanging="0"/>
        <w:rPr/>
      </w:pPr>
      <w:r>
        <w:rPr>
          <w:sz w:val="22"/>
        </w:rPr>
        <w:t>d) celkovej sume významných finančných povinností a významných podmienených záväzkoch voči dcérskej účtovnej jednotke a účtovnej jednotke s podstatným vplyvom – Nie je plnenie.</w:t>
      </w:r>
    </w:p>
    <w:p>
      <w:pPr>
        <w:pStyle w:val="Normal"/>
        <w:spacing w:lineRule="auto" w:line="360"/>
        <w:ind w:left="567" w:right="0" w:hanging="0"/>
        <w:rPr>
          <w:sz w:val="22"/>
        </w:rPr>
      </w:pPr>
      <w:r>
        <w:rPr>
          <w:sz w:val="22"/>
        </w:rPr>
      </w:r>
    </w:p>
    <w:p>
      <w:pPr>
        <w:pStyle w:val="Normal"/>
        <w:spacing w:lineRule="auto" w:line="360"/>
        <w:ind w:left="284" w:right="0" w:hanging="0"/>
        <w:rPr/>
      </w:pPr>
      <w:r>
        <w:rPr>
          <w:sz w:val="22"/>
        </w:rPr>
        <w:t>e) opise významných povinností účtovnej jednotky vyplývajúcich z dôchodkových programov pre zamestnancov – Nie je plnenie.</w:t>
      </w:r>
    </w:p>
    <w:p>
      <w:pPr>
        <w:pStyle w:val="Normal"/>
        <w:spacing w:lineRule="auto" w:line="360"/>
        <w:ind w:left="567" w:right="0" w:hanging="0"/>
        <w:rPr>
          <w:sz w:val="22"/>
        </w:rPr>
      </w:pPr>
      <w:r>
        <w:rPr>
          <w:sz w:val="22"/>
        </w:rPr>
      </w:r>
    </w:p>
    <w:p>
      <w:pPr>
        <w:pStyle w:val="Normal"/>
        <w:spacing w:lineRule="auto" w:line="240" w:before="0" w:after="0"/>
        <w:ind w:left="0" w:right="0" w:hanging="0"/>
        <w:jc w:val="left"/>
        <w:rPr>
          <w:lang w:val="cs-CZ"/>
        </w:rPr>
      </w:pPr>
      <w:r>
        <w:rPr>
          <w:lang w:val="cs-CZ"/>
        </w:rPr>
      </w:r>
    </w:p>
    <w:p>
      <w:pPr>
        <w:pStyle w:val="Normal"/>
        <w:spacing w:lineRule="auto" w:line="360" w:before="120" w:after="120"/>
        <w:ind w:left="0" w:right="0" w:hanging="0"/>
        <w:jc w:val="both"/>
        <w:rPr>
          <w:lang w:val="ar-SA"/>
        </w:rPr>
      </w:pPr>
      <w:r>
        <w:rPr>
          <w:rFonts w:eastAsia="Arial" w:cs="Arial" w:ascii="Arial" w:hAnsi="Arial"/>
          <w:sz w:val="20"/>
          <w:lang w:val="ar-SA" w:eastAsia="ar-SA"/>
        </w:rPr>
        <w:t xml:space="preserve">DIČ: 2021998528 </w:t>
      </w:r>
    </w:p>
    <w:p>
      <w:pPr>
        <w:pStyle w:val="Normal"/>
        <w:spacing w:lineRule="auto" w:line="360" w:before="120" w:after="120"/>
        <w:ind w:left="0" w:right="0" w:firstLine="1"/>
        <w:jc w:val="left"/>
        <w:rPr>
          <w:lang w:val="ar-SA"/>
        </w:rPr>
      </w:pPr>
      <w:r>
        <w:rPr>
          <w:rFonts w:eastAsia="Arial" w:cs="Arial" w:ascii="Arial" w:hAnsi="Arial"/>
          <w:sz w:val="20"/>
          <w:lang w:val="ar-SA" w:eastAsia="ar-SA"/>
        </w:rPr>
        <w:t>Poznámky Úč MÚJ 3 – 01</w:t>
      </w:r>
    </w:p>
    <w:p>
      <w:pPr>
        <w:pStyle w:val="Normal"/>
        <w:spacing w:lineRule="auto" w:line="360" w:before="120" w:after="120"/>
        <w:ind w:left="0" w:right="0" w:hanging="0"/>
        <w:jc w:val="both"/>
        <w:rPr>
          <w:lang w:val="ar-SA"/>
        </w:rPr>
      </w:pPr>
      <w:r>
        <w:rPr>
          <w:rFonts w:eastAsia="Arial" w:cs="Arial" w:ascii="Arial" w:hAnsi="Arial"/>
          <w:sz w:val="20"/>
          <w:lang w:val="ar-SA" w:eastAsia="ar-SA"/>
        </w:rPr>
        <w:t>IČO:     35930411</w:t>
      </w:r>
    </w:p>
    <w:p>
      <w:pPr>
        <w:pStyle w:val="Header"/>
        <w:tabs>
          <w:tab w:val="center" w:pos="4536" w:leader="none"/>
          <w:tab w:val="right" w:pos="9072" w:leader="none"/>
        </w:tabs>
        <w:bidi w:val="0"/>
        <w:spacing w:lineRule="auto" w:line="360" w:before="0" w:after="120"/>
        <w:ind w:left="0" w:right="0" w:hanging="0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851" w:right="851" w:header="709" w:top="1560" w:footer="373" w:bottom="851" w:gutter="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swiss"/>
    <w:pitch w:val="variable"/>
  </w:font>
  <w:font w:name="Cambria">
    <w:charset w:val="ee"/>
    <w:family w:val="swiss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Tahoma">
    <w:charset w:val="ee"/>
    <w:family w:val="roman"/>
    <w:pitch w:val="variable"/>
  </w:font>
  <w:font w:name="Arial Narrow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Footer"/>
      <w:widowControl/>
      <w:tabs>
        <w:tab w:val="center" w:pos="4536" w:leader="none"/>
        <w:tab w:val="right" w:pos="9072" w:leader="none"/>
      </w:tabs>
      <w:bidi w:val="0"/>
      <w:spacing w:lineRule="auto" w:line="360" w:before="120" w:after="120"/>
      <w:ind w:left="0" w:right="0" w:hanging="0"/>
      <w:jc w:val="right"/>
      <w:textAlignment w:val="auto"/>
      <w:rPr/>
    </w:pPr>
    <w:r>
      <w:rPr>
        <w:rFonts w:eastAsia="Arial" w:cs="Arial" w:ascii="Arial" w:hAnsi="Arial"/>
        <w:sz w:val="20"/>
        <w:lang w:val="sk-SK" w:eastAsia="ar-SA"/>
      </w:rPr>
      <w:t xml:space="preserve">Strana </w:t>
    </w:r>
    <w:r>
      <w:rPr>
        <w:rFonts w:eastAsia="Arial" w:cs="Arial" w:ascii="Arial" w:hAnsi="Arial"/>
        <w:sz w:val="20"/>
        <w:lang w:val="cs-CZ" w:eastAsia="ar-SA"/>
      </w:rPr>
      <w:fldChar w:fldCharType="begin"/>
    </w:r>
    <w:r>
      <w:rPr>
        <w:sz w:val="20"/>
        <w:rFonts w:eastAsia="Arial" w:cs="Arial" w:ascii="Arial" w:hAnsi="Arial"/>
      </w:rPr>
      <w:instrText> PAGE </w:instrText>
    </w:r>
    <w:r>
      <w:rPr>
        <w:sz w:val="20"/>
        <w:rFonts w:eastAsia="Arial" w:cs="Arial" w:ascii="Arial" w:hAnsi="Arial"/>
      </w:rPr>
      <w:fldChar w:fldCharType="separate"/>
    </w:r>
    <w:r>
      <w:rPr>
        <w:sz w:val="20"/>
        <w:rFonts w:eastAsia="Arial" w:cs="Arial" w:ascii="Arial" w:hAnsi="Arial"/>
      </w:rPr>
      <w:t>4</w:t>
    </w:r>
    <w:r>
      <w:rPr>
        <w:sz w:val="20"/>
        <w:rFonts w:eastAsia="Arial" w:cs="Arial" w:ascii="Arial" w:hAnsi="Arial"/>
      </w:rPr>
      <w:fldChar w:fldCharType="end"/>
    </w:r>
    <w:r>
      <w:rPr>
        <w:rFonts w:eastAsia="Arial" w:cs="Arial" w:ascii="Arial" w:hAnsi="Arial"/>
        <w:sz w:val="20"/>
        <w:lang w:val="sk-SK" w:eastAsia="ar-SA"/>
      </w:rPr>
      <w:t xml:space="preserve"> z </w:t>
    </w:r>
    <w:r>
      <w:rPr>
        <w:rFonts w:eastAsia="Arial" w:cs="Arial" w:ascii="Arial" w:hAnsi="Arial"/>
        <w:sz w:val="20"/>
        <w:lang w:val="cs-CZ" w:eastAsia="ar-SA"/>
      </w:rPr>
      <w:fldChar w:fldCharType="begin"/>
    </w:r>
    <w:r>
      <w:rPr>
        <w:sz w:val="20"/>
        <w:rFonts w:eastAsia="Arial" w:cs="Arial" w:ascii="Arial" w:hAnsi="Arial"/>
      </w:rPr>
      <w:instrText> NUMPAGES </w:instrText>
    </w:r>
    <w:r>
      <w:rPr>
        <w:sz w:val="20"/>
        <w:rFonts w:eastAsia="Arial" w:cs="Arial" w:ascii="Arial" w:hAnsi="Arial"/>
      </w:rPr>
      <w:fldChar w:fldCharType="separate"/>
    </w:r>
    <w:r>
      <w:rPr>
        <w:sz w:val="20"/>
        <w:rFonts w:eastAsia="Arial" w:cs="Arial" w:ascii="Arial" w:hAnsi="Arial"/>
      </w:rPr>
      <w:t>4</w:t>
    </w:r>
    <w:r>
      <w:rPr>
        <w:sz w:val="20"/>
        <w:rFonts w:eastAsia="Arial" w:cs="Arial" w:ascii="Arial" w:hAnsi="Arial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eader"/>
      <w:widowControl/>
      <w:tabs>
        <w:tab w:val="center" w:pos="4536" w:leader="none"/>
        <w:tab w:val="right" w:pos="9072" w:leader="none"/>
      </w:tabs>
      <w:bidi w:val="0"/>
      <w:spacing w:lineRule="auto" w:line="360" w:before="120" w:after="120"/>
      <w:ind w:left="0" w:right="360" w:hanging="0"/>
      <w:jc w:val="both"/>
      <w:textAlignment w:val="auto"/>
      <w:rPr>
        <w:rFonts w:ascii="Arial Narrow" w:hAnsi="Arial Narrow" w:eastAsia="Arial"/>
        <w:sz w:val="20"/>
        <w:lang w:val="sk-SK" w:eastAsia="ar-SA"/>
      </w:rPr>
    </w:pPr>
    <w:r>
      <w:rPr>
        <w:rFonts w:eastAsia="Arial"/>
        <w:sz w:val="20"/>
        <w:lang w:val="sk-SK" w:eastAsia="ar-SA"/>
      </w:rPr>
    </w:r>
    <w:r>
      <mc:AlternateContent>
        <mc:Choice Requires="wps">
          <w:drawing>
            <wp:anchor behindDoc="0" distT="72390" distB="72390" distL="72390" distR="72390" simplePos="0" locked="0" layoutInCell="1" allowOverlap="1" relativeHeight="5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0" t="0" r="0" b="0"/>
              <wp:wrapNone/>
              <wp:docPr id="1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645920" cy="24701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Normalpodnadpis"/>
                            <w:widowControl/>
                            <w:suppressAutoHyphens w:val="true"/>
                            <w:bidi w:val="0"/>
                            <w:spacing w:lineRule="auto" w:line="360" w:before="120" w:after="120"/>
                            <w:ind w:left="0" w:right="0" w:hanging="0"/>
                            <w:jc w:val="both"/>
                            <w:textAlignment w:val="auto"/>
                            <w:rPr>
                              <w:lang w:val="cs-CZ"/>
                            </w:rPr>
                          </w:pPr>
                          <w:r>
                            <w:rPr>
                              <w:rFonts w:eastAsia="Arial" w:cs="Arial" w:ascii="Arial" w:hAnsi="Arial"/>
                              <w:color w:val="auto"/>
                              <w:kern w:val="2"/>
                              <w:sz w:val="20"/>
                              <w:lang w:val="cs-CZ" w:eastAsia="ar-SA"/>
                            </w:rPr>
                            <w:t xml:space="preserve">DIČ: </w:t>
                          </w:r>
                          <w:bookmarkStart w:id="0" w:name="DICHLAV"/>
                          <w:bookmarkEnd w:id="0"/>
                          <w:r>
                            <w:rPr>
                              <w:rFonts w:eastAsia="Arial" w:cs="Arial" w:ascii="Arial" w:hAnsi="Arial"/>
                              <w:color w:val="auto"/>
                              <w:kern w:val="2"/>
                              <w:sz w:val="20"/>
                              <w:lang w:val="cs-CZ" w:eastAsia="ar-SA"/>
                            </w:rPr>
                            <w:t>2021998528</w:t>
                          </w:r>
                          <w:bookmarkStart w:id="1" w:name="DICHLAV_END"/>
                          <w:bookmarkEnd w:id="1"/>
                          <w:r>
                            <w:rPr>
                              <w:rFonts w:eastAsia="Arial" w:cs="Arial" w:ascii="Arial" w:hAnsi="Arial"/>
                              <w:color w:val="auto"/>
                              <w:kern w:val="2"/>
                              <w:sz w:val="20"/>
                              <w:lang w:val="cs-CZ" w:eastAsia="ar-SA"/>
                            </w:rPr>
                            <w:t xml:space="preserve"> </w:t>
                          </w:r>
                        </w:p>
                      </w:txbxContent>
                    </wps:txbx>
                    <wps:bodyPr anchor="t" lIns="36195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rotation:0;width:129.6pt;height:19.45pt;mso-wrap-distance-left:5.7pt;mso-wrap-distance-right:5.7pt;mso-wrap-distance-top:5.7pt;mso-wrap-distance-bottom:5.7pt;margin-top:1.8pt;mso-position-vertical-relative:text;margin-left:382.55pt;mso-position-horizontal-relative:text">
              <v:textbox inset="0.0395833333333333in,0in,0in,0in">
                <w:txbxContent>
                  <w:p>
                    <w:pPr>
                      <w:pStyle w:val="Normalpodnadpis"/>
                      <w:widowControl/>
                      <w:suppressAutoHyphens w:val="true"/>
                      <w:bidi w:val="0"/>
                      <w:spacing w:lineRule="auto" w:line="360" w:before="120" w:after="120"/>
                      <w:ind w:left="0" w:right="0" w:hanging="0"/>
                      <w:jc w:val="both"/>
                      <w:textAlignment w:val="auto"/>
                      <w:rPr>
                        <w:lang w:val="cs-CZ"/>
                      </w:rPr>
                    </w:pPr>
                    <w:r>
                      <w:rPr>
                        <w:rFonts w:eastAsia="Arial" w:cs="Arial" w:ascii="Arial" w:hAnsi="Arial"/>
                        <w:color w:val="auto"/>
                        <w:kern w:val="2"/>
                        <w:sz w:val="20"/>
                        <w:lang w:val="cs-CZ" w:eastAsia="ar-SA"/>
                      </w:rPr>
                      <w:t xml:space="preserve">DIČ: </w:t>
                    </w:r>
                    <w:bookmarkStart w:id="2" w:name="DICHLAV"/>
                    <w:bookmarkEnd w:id="2"/>
                    <w:r>
                      <w:rPr>
                        <w:rFonts w:eastAsia="Arial" w:cs="Arial" w:ascii="Arial" w:hAnsi="Arial"/>
                        <w:color w:val="auto"/>
                        <w:kern w:val="2"/>
                        <w:sz w:val="20"/>
                        <w:lang w:val="cs-CZ" w:eastAsia="ar-SA"/>
                      </w:rPr>
                      <w:t>2021998528</w:t>
                    </w:r>
                    <w:bookmarkStart w:id="3" w:name="DICHLAV_END"/>
                    <w:bookmarkEnd w:id="3"/>
                    <w:r>
                      <w:rPr>
                        <w:rFonts w:eastAsia="Arial" w:cs="Arial" w:ascii="Arial" w:hAnsi="Arial"/>
                        <w:color w:val="auto"/>
                        <w:kern w:val="2"/>
                        <w:sz w:val="20"/>
                        <w:lang w:val="cs-CZ" w:eastAsia="ar-SA"/>
                      </w:rPr>
                      <w:t xml:space="preserve"> 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0" distT="72390" distB="72390" distL="72390" distR="72390" simplePos="0" locked="0" layoutInCell="1" allowOverlap="1" relativeHeight="9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0" t="0" r="0" b="0"/>
              <wp:wrapNone/>
              <wp:docPr id="2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50415" cy="24701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Normalpodnadpis"/>
                            <w:widowControl/>
                            <w:suppressAutoHyphens w:val="true"/>
                            <w:bidi w:val="0"/>
                            <w:spacing w:lineRule="auto" w:line="360" w:before="120" w:after="120"/>
                            <w:ind w:left="0" w:right="0" w:firstLine="1"/>
                            <w:jc w:val="left"/>
                            <w:textAlignment w:val="auto"/>
                            <w:rPr>
                              <w:lang w:val="cs-CZ"/>
                            </w:rPr>
                          </w:pPr>
                          <w:r>
                            <w:rPr>
                              <w:rFonts w:eastAsia="Arial" w:cs="Arial" w:ascii="Arial" w:hAnsi="Arial"/>
                              <w:color w:val="auto"/>
                              <w:kern w:val="2"/>
                              <w:sz w:val="20"/>
                              <w:lang w:val="cs-CZ" w:eastAsia="ar-SA"/>
                            </w:rPr>
                            <w:t>Poznámky Úč MÚJ 3 – 01</w:t>
                          </w:r>
                        </w:p>
                      </w:txbxContent>
                    </wps:txbx>
                    <wps:bodyPr anchor="t" lIns="36195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rotation:0;width:161.45pt;height:19.45pt;mso-wrap-distance-left:5.7pt;mso-wrap-distance-right:5.7pt;mso-wrap-distance-top:5.7pt;mso-wrap-distance-bottom:5.7pt;margin-top:1.8pt;mso-position-vertical-relative:text;margin-left:2.2pt;mso-position-horizontal-relative:text">
              <v:textbox inset="0.0395833333333333in,0in,0in,0in">
                <w:txbxContent>
                  <w:p>
                    <w:pPr>
                      <w:pStyle w:val="Normalpodnadpis"/>
                      <w:widowControl/>
                      <w:suppressAutoHyphens w:val="true"/>
                      <w:bidi w:val="0"/>
                      <w:spacing w:lineRule="auto" w:line="360" w:before="120" w:after="120"/>
                      <w:ind w:left="0" w:right="0" w:firstLine="1"/>
                      <w:jc w:val="left"/>
                      <w:textAlignment w:val="auto"/>
                      <w:rPr>
                        <w:lang w:val="cs-CZ"/>
                      </w:rPr>
                    </w:pPr>
                    <w:r>
                      <w:rPr>
                        <w:rFonts w:eastAsia="Arial" w:cs="Arial" w:ascii="Arial" w:hAnsi="Arial"/>
                        <w:color w:val="auto"/>
                        <w:kern w:val="2"/>
                        <w:sz w:val="20"/>
                        <w:lang w:val="cs-CZ" w:eastAsia="ar-SA"/>
                      </w:rPr>
                      <w:t>Poznámky Úč MÚJ 3 – 01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0" distT="72390" distB="72390" distL="72390" distR="72390" simplePos="0" locked="0" layoutInCell="1" allowOverlap="1" relativeHeight="13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0" t="0" r="0" b="0"/>
              <wp:wrapNone/>
              <wp:docPr id="3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645920" cy="24701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Normalpodnadpis"/>
                            <w:widowControl/>
                            <w:suppressAutoHyphens w:val="true"/>
                            <w:bidi w:val="0"/>
                            <w:spacing w:lineRule="auto" w:line="360" w:before="120" w:after="120"/>
                            <w:ind w:left="0" w:right="0" w:hanging="0"/>
                            <w:jc w:val="both"/>
                            <w:textAlignment w:val="auto"/>
                            <w:rPr>
                              <w:lang w:val="cs-CZ"/>
                            </w:rPr>
                          </w:pPr>
                          <w:r>
                            <w:rPr>
                              <w:rFonts w:eastAsia="Arial" w:cs="Arial" w:ascii="Arial" w:hAnsi="Arial"/>
                              <w:color w:val="auto"/>
                              <w:kern w:val="2"/>
                              <w:sz w:val="20"/>
                              <w:lang w:val="cs-CZ" w:eastAsia="ar-SA"/>
                            </w:rPr>
                            <w:t xml:space="preserve">IČO:     </w:t>
                          </w:r>
                          <w:bookmarkStart w:id="4" w:name="ICOHLAV_END"/>
                          <w:bookmarkStart w:id="5" w:name="ICOHLAV"/>
                          <w:bookmarkEnd w:id="4"/>
                          <w:bookmarkEnd w:id="5"/>
                          <w:r>
                            <w:rPr>
                              <w:rFonts w:eastAsia="Arial" w:cs="Arial" w:ascii="Arial" w:hAnsi="Arial"/>
                              <w:color w:val="auto"/>
                              <w:kern w:val="2"/>
                              <w:sz w:val="20"/>
                              <w:lang w:val="cs-CZ" w:eastAsia="ar-SA"/>
                            </w:rPr>
                            <w:t>35930411</w:t>
                          </w:r>
                        </w:p>
                      </w:txbxContent>
                    </wps:txbx>
                    <wps:bodyPr anchor="t" lIns="36195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rotation:0;width:129.6pt;height:19.45pt;mso-wrap-distance-left:5.7pt;mso-wrap-distance-right:5.7pt;mso-wrap-distance-top:5.7pt;mso-wrap-distance-bottom:5.7pt;margin-top:1.8pt;mso-position-vertical-relative:text;margin-left:201.05pt;mso-position-horizontal-relative:text">
              <v:textbox inset="0.0395833333333333in,0in,0in,0in">
                <w:txbxContent>
                  <w:p>
                    <w:pPr>
                      <w:pStyle w:val="Normalpodnadpis"/>
                      <w:widowControl/>
                      <w:suppressAutoHyphens w:val="true"/>
                      <w:bidi w:val="0"/>
                      <w:spacing w:lineRule="auto" w:line="360" w:before="120" w:after="120"/>
                      <w:ind w:left="0" w:right="0" w:hanging="0"/>
                      <w:jc w:val="both"/>
                      <w:textAlignment w:val="auto"/>
                      <w:rPr>
                        <w:lang w:val="cs-CZ"/>
                      </w:rPr>
                    </w:pPr>
                    <w:r>
                      <w:rPr>
                        <w:rFonts w:eastAsia="Arial" w:cs="Arial" w:ascii="Arial" w:hAnsi="Arial"/>
                        <w:color w:val="auto"/>
                        <w:kern w:val="2"/>
                        <w:sz w:val="20"/>
                        <w:lang w:val="cs-CZ" w:eastAsia="ar-SA"/>
                      </w:rPr>
                      <w:t xml:space="preserve">IČO:     </w:t>
                    </w:r>
                    <w:bookmarkStart w:id="6" w:name="ICOHLAV_END"/>
                    <w:bookmarkStart w:id="7" w:name="ICOHLAV"/>
                    <w:bookmarkEnd w:id="6"/>
                    <w:bookmarkEnd w:id="7"/>
                    <w:r>
                      <w:rPr>
                        <w:rFonts w:eastAsia="Arial" w:cs="Arial" w:ascii="Arial" w:hAnsi="Arial"/>
                        <w:color w:val="auto"/>
                        <w:kern w:val="2"/>
                        <w:sz w:val="20"/>
                        <w:lang w:val="cs-CZ" w:eastAsia="ar-SA"/>
                      </w:rPr>
                      <w:t>35930411</w:t>
                    </w:r>
                  </w:p>
                </w:txbxContent>
              </v:textbox>
            </v:rect>
          </w:pict>
        </mc:Fallback>
      </mc:AlternateContent>
    </w:r>
  </w:p>
</w:hdr>
</file>

<file path=word/settings.xml><?xml version="1.0" encoding="utf-8"?>
<w:settings xmlns:w="http://schemas.openxmlformats.org/wordprocessingml/2006/main">
  <w:zoom w:percent="100"/>
  <w:defaultTabStop w:val="420"/>
  <w:autoHyphenation w:val="false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Cs w:val="24"/>
        <w:lang w:val="cs-CZ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  <w:suppressAutoHyphens w:val="true"/>
    </w:pPr>
    <w:rPr>
      <w:rFonts w:ascii="Liberation Serif" w:hAnsi="Liberation Serif" w:eastAsia="Lucida Sans" w:cs="Liberation Serif"/>
      <w:color w:val="auto"/>
      <w:kern w:val="2"/>
      <w:sz w:val="24"/>
      <w:szCs w:val="24"/>
      <w:lang w:eastAsia="hi-IN" w:bidi="cs-CZ" w:val="cs-CZ"/>
    </w:rPr>
  </w:style>
  <w:style w:type="paragraph" w:styleId="Heading2">
    <w:name w:val="Heading 2"/>
    <w:basedOn w:val="Heading"/>
    <w:qFormat/>
    <w:pPr>
      <w:keepNext w:val="true"/>
      <w:widowControl/>
      <w:spacing w:lineRule="auto" w:line="360" w:before="240" w:after="60"/>
      <w:jc w:val="both"/>
      <w:textAlignment w:val="auto"/>
    </w:pPr>
    <w:rPr>
      <w:rFonts w:ascii="Arial Narrow" w:hAnsi="Arial Narrow" w:eastAsia="Arial"/>
      <w:b/>
      <w:i/>
      <w:sz w:val="28"/>
      <w:lang w:val="sk-SK" w:eastAsia="ar-SA"/>
    </w:rPr>
  </w:style>
  <w:style w:type="paragraph" w:styleId="Heading3">
    <w:name w:val="Heading 3"/>
    <w:basedOn w:val="Heading"/>
    <w:qFormat/>
    <w:pPr>
      <w:keepNext w:val="true"/>
      <w:widowControl/>
      <w:spacing w:lineRule="auto" w:line="360" w:before="240" w:after="60"/>
      <w:jc w:val="both"/>
      <w:textAlignment w:val="auto"/>
    </w:pPr>
    <w:rPr>
      <w:rFonts w:ascii="Cambria" w:hAnsi="Cambria" w:eastAsia="Cambria"/>
      <w:b/>
      <w:sz w:val="26"/>
      <w:lang w:val="sk-SK" w:eastAsia="ar-SA"/>
    </w:rPr>
  </w:style>
  <w:style w:type="character" w:styleId="DefaultParagraphFont">
    <w:name w:val="Default Paragraph Font"/>
    <w:qFormat/>
    <w:rPr/>
  </w:style>
  <w:style w:type="character" w:styleId="Nadpis1CharNadpisopatrenia1Char">
    <w:name w:val="Nadpis 1 Char,Nadpis opatrenia  1 Char"/>
    <w:basedOn w:val="DefaultParagraphFont"/>
    <w:qFormat/>
    <w:rPr>
      <w:rFonts w:ascii="Cambria" w:hAnsi="Cambria" w:eastAsia="Cambria"/>
      <w:b/>
      <w:kern w:val="2"/>
      <w:sz w:val="32"/>
      <w:lang w:val="cs-CZ" w:eastAsia="cs-CZ"/>
    </w:rPr>
  </w:style>
  <w:style w:type="character" w:styleId="Nadpis2Char">
    <w:name w:val="Nadpis 2 Char"/>
    <w:basedOn w:val="DefaultParagraphFont"/>
    <w:qFormat/>
    <w:rPr>
      <w:rFonts w:ascii="Cambria" w:hAnsi="Cambria" w:eastAsia="Cambria"/>
      <w:b/>
      <w:i/>
      <w:sz w:val="28"/>
      <w:lang w:val="cs-CZ" w:eastAsia="cs-CZ"/>
    </w:rPr>
  </w:style>
  <w:style w:type="character" w:styleId="Nadpis3Char">
    <w:name w:val="Nadpis 3 Char"/>
    <w:basedOn w:val="DefaultParagraphFont"/>
    <w:qFormat/>
    <w:rPr>
      <w:rFonts w:ascii="Cambria" w:hAnsi="Cambria" w:eastAsia="Cambria"/>
      <w:b/>
      <w:sz w:val="26"/>
      <w:lang w:val="cs-CZ" w:eastAsia="cs-CZ"/>
    </w:rPr>
  </w:style>
  <w:style w:type="character" w:styleId="TltlnzovChar115ptAntiqueOliveNiejeTun">
    <w:name w:val="Štýl Štýl § názov Char + 115 pt + Antique Olive Nie je Tučné"/>
    <w:basedOn w:val="DefaultParagraphFont"/>
    <w:qFormat/>
    <w:rPr>
      <w:rFonts w:ascii="Arial" w:hAnsi="Arial" w:eastAsia="Arial"/>
      <w:b/>
      <w:sz w:val="20"/>
      <w:lang w:val="sk-SK" w:eastAsia="sk-SK"/>
    </w:rPr>
  </w:style>
  <w:style w:type="character" w:styleId="ZpatChar">
    <w:name w:val="Zápatí Char"/>
    <w:basedOn w:val="DefaultParagraphFont"/>
    <w:qFormat/>
    <w:rPr>
      <w:rFonts w:ascii="Arial" w:hAnsi="Arial" w:eastAsia="Arial"/>
      <w:sz w:val="24"/>
      <w:lang w:val="cs-CZ" w:eastAsia="cs-CZ"/>
    </w:rPr>
  </w:style>
  <w:style w:type="character" w:styleId="Pagenumber">
    <w:name w:val="page number"/>
    <w:basedOn w:val="DefaultParagraphFont"/>
    <w:qFormat/>
    <w:rPr>
      <w:rFonts w:eastAsia="Times New Roman"/>
    </w:rPr>
  </w:style>
  <w:style w:type="character" w:styleId="Strong">
    <w:name w:val="Strong"/>
    <w:basedOn w:val="DefaultParagraphFont"/>
    <w:qFormat/>
    <w:rPr>
      <w:rFonts w:eastAsia="Times New Roman"/>
      <w:b/>
    </w:rPr>
  </w:style>
  <w:style w:type="character" w:styleId="TextbublinyChar">
    <w:name w:val="Text bubliny Char"/>
    <w:basedOn w:val="DefaultParagraphFont"/>
    <w:qFormat/>
    <w:rPr>
      <w:rFonts w:ascii="Tahoma" w:hAnsi="Tahoma" w:eastAsia="Tahoma"/>
      <w:sz w:val="16"/>
      <w:lang w:val="cs-CZ" w:eastAsia="cs-CZ"/>
    </w:rPr>
  </w:style>
  <w:style w:type="character" w:styleId="ZhlavChar">
    <w:name w:val="Záhlaví Char"/>
    <w:basedOn w:val="DefaultParagraphFont"/>
    <w:qFormat/>
    <w:rPr>
      <w:rFonts w:ascii="Arial Narrow" w:hAnsi="Arial Narrow" w:eastAsia="Arial"/>
      <w:sz w:val="24"/>
      <w:lang w:val="cs-CZ" w:eastAsia="cs-CZ"/>
    </w:rPr>
  </w:style>
  <w:style w:type="character" w:styleId="ListLabel1">
    <w:name w:val="ListLabel 1"/>
    <w:qFormat/>
    <w:rPr>
      <w:rFonts w:eastAsia="Arial"/>
    </w:rPr>
  </w:style>
  <w:style w:type="character" w:styleId="ListLabel2">
    <w:name w:val="ListLabel 2"/>
    <w:qFormat/>
    <w:rPr>
      <w:rFonts w:eastAsia="Times New Roman"/>
    </w:rPr>
  </w:style>
  <w:style w:type="character" w:styleId="ListLabel3">
    <w:name w:val="ListLabel 3"/>
    <w:qFormat/>
    <w:rPr>
      <w:rFonts w:eastAsia="Times New Roman"/>
    </w:rPr>
  </w:style>
  <w:style w:type="character" w:styleId="ListLabel4">
    <w:name w:val="ListLabel 4"/>
    <w:qFormat/>
    <w:rPr>
      <w:rFonts w:eastAsia="Times New Roman"/>
    </w:rPr>
  </w:style>
  <w:style w:type="character" w:styleId="ListLabel5">
    <w:name w:val="ListLabel 5"/>
    <w:qFormat/>
    <w:rPr>
      <w:rFonts w:eastAsia="Times New Roman"/>
    </w:rPr>
  </w:style>
  <w:style w:type="character" w:styleId="ListLabel6">
    <w:name w:val="ListLabel 6"/>
    <w:qFormat/>
    <w:rPr>
      <w:rFonts w:eastAsia="Times New Roman"/>
    </w:rPr>
  </w:style>
  <w:style w:type="character" w:styleId="ListLabel7">
    <w:name w:val="ListLabel 7"/>
    <w:qFormat/>
    <w:rPr>
      <w:rFonts w:eastAsia="Times New Roman"/>
    </w:rPr>
  </w:style>
  <w:style w:type="character" w:styleId="ListLabel8">
    <w:name w:val="ListLabel 8"/>
    <w:qFormat/>
    <w:rPr>
      <w:rFonts w:eastAsia="Times New Roman"/>
    </w:rPr>
  </w:style>
  <w:style w:type="character" w:styleId="ListLabel9">
    <w:name w:val="ListLabel 9"/>
    <w:qFormat/>
    <w:rPr>
      <w:rFonts w:eastAsia="Times New Roman"/>
    </w:rPr>
  </w:style>
  <w:style w:type="character" w:styleId="ListLabel10">
    <w:name w:val="ListLabel 10"/>
    <w:qFormat/>
    <w:rPr>
      <w:rFonts w:eastAsia="Arial"/>
    </w:rPr>
  </w:style>
  <w:style w:type="character" w:styleId="ListLabel11">
    <w:name w:val="ListLabel 11"/>
    <w:qFormat/>
    <w:rPr>
      <w:rFonts w:eastAsia="Times New Roman"/>
    </w:rPr>
  </w:style>
  <w:style w:type="character" w:styleId="ListLabel12">
    <w:name w:val="ListLabel 12"/>
    <w:qFormat/>
    <w:rPr>
      <w:rFonts w:eastAsia="Times New Roman"/>
    </w:rPr>
  </w:style>
  <w:style w:type="character" w:styleId="ListLabel13">
    <w:name w:val="ListLabel 13"/>
    <w:qFormat/>
    <w:rPr>
      <w:rFonts w:eastAsia="Times New Roman"/>
    </w:rPr>
  </w:style>
  <w:style w:type="character" w:styleId="ListLabel14">
    <w:name w:val="ListLabel 14"/>
    <w:qFormat/>
    <w:rPr>
      <w:rFonts w:eastAsia="Times New Roman"/>
    </w:rPr>
  </w:style>
  <w:style w:type="character" w:styleId="ListLabel15">
    <w:name w:val="ListLabel 15"/>
    <w:qFormat/>
    <w:rPr>
      <w:rFonts w:eastAsia="Times New Roman"/>
    </w:rPr>
  </w:style>
  <w:style w:type="character" w:styleId="ListLabel16">
    <w:name w:val="ListLabel 16"/>
    <w:qFormat/>
    <w:rPr>
      <w:rFonts w:eastAsia="Times New Roman"/>
    </w:rPr>
  </w:style>
  <w:style w:type="character" w:styleId="ListLabel17">
    <w:name w:val="ListLabel 17"/>
    <w:qFormat/>
    <w:rPr>
      <w:rFonts w:eastAsia="Times New Roman"/>
    </w:rPr>
  </w:style>
  <w:style w:type="character" w:styleId="ListLabel18">
    <w:name w:val="ListLabel 18"/>
    <w:qFormat/>
    <w:rPr>
      <w:rFonts w:eastAsia="Times New Roman"/>
    </w:rPr>
  </w:style>
  <w:style w:type="character" w:styleId="ListLabel19">
    <w:name w:val="ListLabel 19"/>
    <w:qFormat/>
    <w:rPr>
      <w:rFonts w:eastAsia="Times New Roman"/>
    </w:rPr>
  </w:style>
  <w:style w:type="character" w:styleId="ListLabel20">
    <w:name w:val="ListLabel 20"/>
    <w:qFormat/>
    <w:rPr>
      <w:rFonts w:eastAsia="Times New Roman"/>
    </w:rPr>
  </w:style>
  <w:style w:type="character" w:styleId="ListLabel21">
    <w:name w:val="ListLabel 21"/>
    <w:qFormat/>
    <w:rPr>
      <w:rFonts w:eastAsia="Times New Roman"/>
    </w:rPr>
  </w:style>
  <w:style w:type="character" w:styleId="ListLabel22">
    <w:name w:val="ListLabel 22"/>
    <w:qFormat/>
    <w:rPr>
      <w:rFonts w:eastAsia="Times New Roman"/>
    </w:rPr>
  </w:style>
  <w:style w:type="character" w:styleId="ListLabel23">
    <w:name w:val="ListLabel 23"/>
    <w:qFormat/>
    <w:rPr>
      <w:rFonts w:eastAsia="Times New Roman"/>
    </w:rPr>
  </w:style>
  <w:style w:type="character" w:styleId="ListLabel24">
    <w:name w:val="ListLabel 24"/>
    <w:qFormat/>
    <w:rPr>
      <w:rFonts w:eastAsia="Times New Roman"/>
    </w:rPr>
  </w:style>
  <w:style w:type="character" w:styleId="ListLabel25">
    <w:name w:val="ListLabel 25"/>
    <w:qFormat/>
    <w:rPr>
      <w:rFonts w:eastAsia="Times New Roman"/>
    </w:rPr>
  </w:style>
  <w:style w:type="character" w:styleId="ListLabel26">
    <w:name w:val="ListLabel 26"/>
    <w:qFormat/>
    <w:rPr>
      <w:rFonts w:eastAsia="Times New Roman"/>
    </w:rPr>
  </w:style>
  <w:style w:type="character" w:styleId="ListLabel27">
    <w:name w:val="ListLabel 27"/>
    <w:qFormat/>
    <w:rPr>
      <w:rFonts w:eastAsia="Times New Roman"/>
    </w:rPr>
  </w:style>
  <w:style w:type="character" w:styleId="ListLabel28">
    <w:name w:val="ListLabel 28"/>
    <w:qFormat/>
    <w:rPr>
      <w:rFonts w:eastAsia="Times New Roman"/>
    </w:rPr>
  </w:style>
  <w:style w:type="character" w:styleId="ListLabel29">
    <w:name w:val="ListLabel 29"/>
    <w:qFormat/>
    <w:rPr>
      <w:rFonts w:eastAsia="Times New Roman"/>
    </w:rPr>
  </w:style>
  <w:style w:type="character" w:styleId="ListLabel30">
    <w:name w:val="ListLabel 30"/>
    <w:qFormat/>
    <w:rPr>
      <w:rFonts w:eastAsia="Times New Roman"/>
    </w:rPr>
  </w:style>
  <w:style w:type="character" w:styleId="ListLabel31">
    <w:name w:val="ListLabel 31"/>
    <w:qFormat/>
    <w:rPr>
      <w:rFonts w:eastAsia="Times New Roman"/>
    </w:rPr>
  </w:style>
  <w:style w:type="character" w:styleId="ListLabel32">
    <w:name w:val="ListLabel 32"/>
    <w:qFormat/>
    <w:rPr>
      <w:rFonts w:eastAsia="Times New Roman"/>
    </w:rPr>
  </w:style>
  <w:style w:type="character" w:styleId="ListLabel33">
    <w:name w:val="ListLabel 33"/>
    <w:qFormat/>
    <w:rPr>
      <w:rFonts w:eastAsia="Times New Roman"/>
    </w:rPr>
  </w:style>
  <w:style w:type="character" w:styleId="ListLabel34">
    <w:name w:val="ListLabel 34"/>
    <w:qFormat/>
    <w:rPr>
      <w:rFonts w:eastAsia="Times New Roman"/>
    </w:rPr>
  </w:style>
  <w:style w:type="character" w:styleId="ListLabel35">
    <w:name w:val="ListLabel 35"/>
    <w:qFormat/>
    <w:rPr>
      <w:rFonts w:eastAsia="Times New Roman"/>
    </w:rPr>
  </w:style>
  <w:style w:type="character" w:styleId="ListLabel36">
    <w:name w:val="ListLabel 36"/>
    <w:qFormat/>
    <w:rPr>
      <w:rFonts w:eastAsia="Times New Roman"/>
    </w:rPr>
  </w:style>
  <w:style w:type="character" w:styleId="ListLabel37">
    <w:name w:val="ListLabel 37"/>
    <w:qFormat/>
    <w:rPr>
      <w:rFonts w:eastAsia="Times New Roman"/>
    </w:rPr>
  </w:style>
  <w:style w:type="character" w:styleId="ListLabel38">
    <w:name w:val="ListLabel 38"/>
    <w:qFormat/>
    <w:rPr>
      <w:rFonts w:eastAsia="Times New Roman"/>
    </w:rPr>
  </w:style>
  <w:style w:type="character" w:styleId="ListLabel39">
    <w:name w:val="ListLabel 39"/>
    <w:qFormat/>
    <w:rPr>
      <w:rFonts w:eastAsia="Times New Roman"/>
    </w:rPr>
  </w:style>
  <w:style w:type="character" w:styleId="ListLabel40">
    <w:name w:val="ListLabel 40"/>
    <w:qFormat/>
    <w:rPr>
      <w:rFonts w:eastAsia="Times New Roman"/>
    </w:rPr>
  </w:style>
  <w:style w:type="character" w:styleId="ListLabel41">
    <w:name w:val="ListLabel 41"/>
    <w:qFormat/>
    <w:rPr>
      <w:rFonts w:eastAsia="Times New Roman"/>
    </w:rPr>
  </w:style>
  <w:style w:type="character" w:styleId="ListLabel42">
    <w:name w:val="ListLabel 42"/>
    <w:qFormat/>
    <w:rPr>
      <w:rFonts w:eastAsia="Times New Roman"/>
    </w:rPr>
  </w:style>
  <w:style w:type="character" w:styleId="ListLabel43">
    <w:name w:val="ListLabel 43"/>
    <w:qFormat/>
    <w:rPr>
      <w:rFonts w:eastAsia="Times New Roman"/>
    </w:rPr>
  </w:style>
  <w:style w:type="character" w:styleId="ListLabel44">
    <w:name w:val="ListLabel 44"/>
    <w:qFormat/>
    <w:rPr>
      <w:rFonts w:eastAsia="Times New Roman"/>
    </w:rPr>
  </w:style>
  <w:style w:type="character" w:styleId="ListLabel45">
    <w:name w:val="ListLabel 45"/>
    <w:qFormat/>
    <w:rPr>
      <w:rFonts w:eastAsia="Times New Roman"/>
    </w:rPr>
  </w:style>
  <w:style w:type="character" w:styleId="ListLabel46">
    <w:name w:val="ListLabel 46"/>
    <w:qFormat/>
    <w:rPr>
      <w:rFonts w:eastAsia="Times New Roman"/>
    </w:rPr>
  </w:style>
  <w:style w:type="character" w:styleId="ListLabel47">
    <w:name w:val="ListLabel 47"/>
    <w:qFormat/>
    <w:rPr>
      <w:rFonts w:eastAsia="Times New Roman"/>
    </w:rPr>
  </w:style>
  <w:style w:type="character" w:styleId="ListLabel48">
    <w:name w:val="ListLabel 48"/>
    <w:qFormat/>
    <w:rPr>
      <w:rFonts w:eastAsia="Times New Roman"/>
    </w:rPr>
  </w:style>
  <w:style w:type="character" w:styleId="ListLabel49">
    <w:name w:val="ListLabel 49"/>
    <w:qFormat/>
    <w:rPr>
      <w:rFonts w:eastAsia="Times New Roman"/>
    </w:rPr>
  </w:style>
  <w:style w:type="character" w:styleId="ListLabel50">
    <w:name w:val="ListLabel 50"/>
    <w:qFormat/>
    <w:rPr>
      <w:rFonts w:eastAsia="Times New Roman"/>
    </w:rPr>
  </w:style>
  <w:style w:type="character" w:styleId="ListLabel51">
    <w:name w:val="ListLabel 51"/>
    <w:qFormat/>
    <w:rPr>
      <w:rFonts w:eastAsia="Times New Roman"/>
    </w:rPr>
  </w:style>
  <w:style w:type="character" w:styleId="ListLabel52">
    <w:name w:val="ListLabel 52"/>
    <w:qFormat/>
    <w:rPr>
      <w:rFonts w:eastAsia="Times New Roman"/>
    </w:rPr>
  </w:style>
  <w:style w:type="character" w:styleId="ListLabel53">
    <w:name w:val="ListLabel 53"/>
    <w:qFormat/>
    <w:rPr>
      <w:rFonts w:eastAsia="Times New Roman"/>
    </w:rPr>
  </w:style>
  <w:style w:type="character" w:styleId="ListLabel54">
    <w:name w:val="ListLabel 54"/>
    <w:qFormat/>
    <w:rPr>
      <w:rFonts w:eastAsia="Times New Roman"/>
    </w:rPr>
  </w:style>
  <w:style w:type="character" w:styleId="ListLabel55">
    <w:name w:val="ListLabel 55"/>
    <w:qFormat/>
    <w:rPr>
      <w:rFonts w:eastAsia="Times New Roman"/>
    </w:rPr>
  </w:style>
  <w:style w:type="character" w:styleId="ListLabel56">
    <w:name w:val="ListLabel 56"/>
    <w:qFormat/>
    <w:rPr>
      <w:rFonts w:eastAsia="Times New Roman"/>
    </w:rPr>
  </w:style>
  <w:style w:type="character" w:styleId="ListLabel57">
    <w:name w:val="ListLabel 57"/>
    <w:qFormat/>
    <w:rPr>
      <w:rFonts w:eastAsia="Times New Roman"/>
    </w:rPr>
  </w:style>
  <w:style w:type="character" w:styleId="ListLabel58">
    <w:name w:val="ListLabel 58"/>
    <w:qFormat/>
    <w:rPr>
      <w:rFonts w:eastAsia="Times New Roman"/>
    </w:rPr>
  </w:style>
  <w:style w:type="character" w:styleId="ListLabel59">
    <w:name w:val="ListLabel 59"/>
    <w:qFormat/>
    <w:rPr>
      <w:rFonts w:eastAsia="Times New Roman"/>
    </w:rPr>
  </w:style>
  <w:style w:type="character" w:styleId="ListLabel60">
    <w:name w:val="ListLabel 60"/>
    <w:qFormat/>
    <w:rPr>
      <w:rFonts w:eastAsia="Times New Roman"/>
    </w:rPr>
  </w:style>
  <w:style w:type="character" w:styleId="ListLabel61">
    <w:name w:val="ListLabel 61"/>
    <w:qFormat/>
    <w:rPr>
      <w:rFonts w:eastAsia="Times New Roman"/>
    </w:rPr>
  </w:style>
  <w:style w:type="character" w:styleId="ListLabel62">
    <w:name w:val="ListLabel 62"/>
    <w:qFormat/>
    <w:rPr>
      <w:rFonts w:eastAsia="Times New Roman"/>
    </w:rPr>
  </w:style>
  <w:style w:type="character" w:styleId="ListLabel63">
    <w:name w:val="ListLabel 63"/>
    <w:qFormat/>
    <w:rPr>
      <w:rFonts w:eastAsia="Times New Roman"/>
    </w:rPr>
  </w:style>
  <w:style w:type="character" w:styleId="ListLabel64">
    <w:name w:val="ListLabel 64"/>
    <w:qFormat/>
    <w:rPr>
      <w:rFonts w:eastAsia="Times New Roman"/>
    </w:rPr>
  </w:style>
  <w:style w:type="character" w:styleId="ListLabel65">
    <w:name w:val="ListLabel 65"/>
    <w:qFormat/>
    <w:rPr>
      <w:rFonts w:eastAsia="Times New Roman"/>
    </w:rPr>
  </w:style>
  <w:style w:type="character" w:styleId="ListLabel66">
    <w:name w:val="ListLabel 66"/>
    <w:qFormat/>
    <w:rPr>
      <w:rFonts w:eastAsia="Times New Roman"/>
    </w:rPr>
  </w:style>
  <w:style w:type="character" w:styleId="ListLabel67">
    <w:name w:val="ListLabel 67"/>
    <w:qFormat/>
    <w:rPr>
      <w:rFonts w:eastAsia="Times New Roman"/>
    </w:rPr>
  </w:style>
  <w:style w:type="character" w:styleId="ListLabel68">
    <w:name w:val="ListLabel 68"/>
    <w:qFormat/>
    <w:rPr>
      <w:rFonts w:eastAsia="Times New Roman"/>
    </w:rPr>
  </w:style>
  <w:style w:type="character" w:styleId="ListLabel69">
    <w:name w:val="ListLabel 69"/>
    <w:qFormat/>
    <w:rPr>
      <w:rFonts w:eastAsia="Times New Roman"/>
    </w:rPr>
  </w:style>
  <w:style w:type="character" w:styleId="ListLabel70">
    <w:name w:val="ListLabel 70"/>
    <w:qFormat/>
    <w:rPr>
      <w:rFonts w:eastAsia="Times New Roman"/>
    </w:rPr>
  </w:style>
  <w:style w:type="character" w:styleId="ListLabel71">
    <w:name w:val="ListLabel 71"/>
    <w:qFormat/>
    <w:rPr>
      <w:rFonts w:eastAsia="Times New Roman"/>
    </w:rPr>
  </w:style>
  <w:style w:type="character" w:styleId="ListLabel72">
    <w:name w:val="ListLabel 72"/>
    <w:qFormat/>
    <w:rPr>
      <w:rFonts w:eastAsia="Times New Roman"/>
    </w:rPr>
  </w:style>
  <w:style w:type="character" w:styleId="ListLabel73">
    <w:name w:val="ListLabel 73"/>
    <w:qFormat/>
    <w:rPr>
      <w:rFonts w:eastAsia="Times New Roman"/>
    </w:rPr>
  </w:style>
  <w:style w:type="character" w:styleId="ListLabel74">
    <w:name w:val="ListLabel 74"/>
    <w:qFormat/>
    <w:rPr>
      <w:rFonts w:eastAsia="Times New Roman"/>
    </w:rPr>
  </w:style>
  <w:style w:type="character" w:styleId="ListLabel75">
    <w:name w:val="ListLabel 75"/>
    <w:qFormat/>
    <w:rPr>
      <w:rFonts w:eastAsia="Times New Roman"/>
    </w:rPr>
  </w:style>
  <w:style w:type="character" w:styleId="ListLabel76">
    <w:name w:val="ListLabel 76"/>
    <w:qFormat/>
    <w:rPr>
      <w:rFonts w:eastAsia="Times New Roman"/>
    </w:rPr>
  </w:style>
  <w:style w:type="character" w:styleId="ListLabel77">
    <w:name w:val="ListLabel 77"/>
    <w:qFormat/>
    <w:rPr>
      <w:rFonts w:eastAsia="Times New Roman"/>
    </w:rPr>
  </w:style>
  <w:style w:type="character" w:styleId="ListLabel78">
    <w:name w:val="ListLabel 78"/>
    <w:qFormat/>
    <w:rPr>
      <w:rFonts w:eastAsia="Times New Roman"/>
    </w:rPr>
  </w:style>
  <w:style w:type="character" w:styleId="ListLabel79">
    <w:name w:val="ListLabel 79"/>
    <w:qFormat/>
    <w:rPr>
      <w:rFonts w:eastAsia="Times New Roman"/>
    </w:rPr>
  </w:style>
  <w:style w:type="character" w:styleId="ListLabel80">
    <w:name w:val="ListLabel 80"/>
    <w:qFormat/>
    <w:rPr>
      <w:rFonts w:eastAsia="Times New Roman"/>
    </w:rPr>
  </w:style>
  <w:style w:type="character" w:styleId="ListLabel81">
    <w:name w:val="ListLabel 81"/>
    <w:qFormat/>
    <w:rPr>
      <w:rFonts w:eastAsia="Times New Roman"/>
    </w:rPr>
  </w:style>
  <w:style w:type="character" w:styleId="ListLabel82">
    <w:name w:val="ListLabel 82"/>
    <w:qFormat/>
    <w:rPr>
      <w:rFonts w:eastAsia="Times New Roman"/>
    </w:rPr>
  </w:style>
  <w:style w:type="character" w:styleId="ListLabel83">
    <w:name w:val="ListLabel 83"/>
    <w:qFormat/>
    <w:rPr>
      <w:rFonts w:eastAsia="Times New Roman"/>
    </w:rPr>
  </w:style>
  <w:style w:type="character" w:styleId="ListLabel84">
    <w:name w:val="ListLabel 84"/>
    <w:qFormat/>
    <w:rPr>
      <w:rFonts w:eastAsia="Times New Roman"/>
    </w:rPr>
  </w:style>
  <w:style w:type="character" w:styleId="ListLabel85">
    <w:name w:val="ListLabel 85"/>
    <w:qFormat/>
    <w:rPr>
      <w:rFonts w:eastAsia="Times New Roman"/>
    </w:rPr>
  </w:style>
  <w:style w:type="character" w:styleId="ListLabel86">
    <w:name w:val="ListLabel 86"/>
    <w:qFormat/>
    <w:rPr>
      <w:rFonts w:eastAsia="Times New Roman"/>
    </w:rPr>
  </w:style>
  <w:style w:type="character" w:styleId="ListLabel87">
    <w:name w:val="ListLabel 87"/>
    <w:qFormat/>
    <w:rPr>
      <w:rFonts w:eastAsia="Times New Roman"/>
    </w:rPr>
  </w:style>
  <w:style w:type="character" w:styleId="ListLabel88">
    <w:name w:val="ListLabel 88"/>
    <w:qFormat/>
    <w:rPr>
      <w:rFonts w:eastAsia="Times New Roman"/>
    </w:rPr>
  </w:style>
  <w:style w:type="character" w:styleId="ListLabel89">
    <w:name w:val="ListLabel 89"/>
    <w:qFormat/>
    <w:rPr>
      <w:rFonts w:eastAsia="Times New Roman"/>
    </w:rPr>
  </w:style>
  <w:style w:type="character" w:styleId="ListLabel90">
    <w:name w:val="ListLabel 90"/>
    <w:qFormat/>
    <w:rPr>
      <w:rFonts w:eastAsia="Times New Roman"/>
    </w:rPr>
  </w:style>
  <w:style w:type="character" w:styleId="ListLabel91">
    <w:name w:val="ListLabel 91"/>
    <w:qFormat/>
    <w:rPr>
      <w:rFonts w:eastAsia="Times New Roman"/>
      <w:sz w:val="22"/>
    </w:rPr>
  </w:style>
  <w:style w:type="character" w:styleId="ListLabel92">
    <w:name w:val="ListLabel 92"/>
    <w:qFormat/>
    <w:rPr>
      <w:rFonts w:eastAsia="Times New Roman"/>
    </w:rPr>
  </w:style>
  <w:style w:type="character" w:styleId="ListLabel93">
    <w:name w:val="ListLabel 93"/>
    <w:qFormat/>
    <w:rPr>
      <w:rFonts w:eastAsia="Times New Roman"/>
    </w:rPr>
  </w:style>
  <w:style w:type="character" w:styleId="ListLabel94">
    <w:name w:val="ListLabel 94"/>
    <w:qFormat/>
    <w:rPr>
      <w:rFonts w:eastAsia="Times New Roman"/>
    </w:rPr>
  </w:style>
  <w:style w:type="character" w:styleId="ListLabel95">
    <w:name w:val="ListLabel 95"/>
    <w:qFormat/>
    <w:rPr>
      <w:rFonts w:eastAsia="Times New Roman"/>
    </w:rPr>
  </w:style>
  <w:style w:type="character" w:styleId="ListLabel96">
    <w:name w:val="ListLabel 96"/>
    <w:qFormat/>
    <w:rPr>
      <w:rFonts w:eastAsia="Times New Roman"/>
    </w:rPr>
  </w:style>
  <w:style w:type="character" w:styleId="ListLabel97">
    <w:name w:val="ListLabel 97"/>
    <w:qFormat/>
    <w:rPr>
      <w:rFonts w:eastAsia="Times New Roman"/>
    </w:rPr>
  </w:style>
  <w:style w:type="character" w:styleId="ListLabel98">
    <w:name w:val="ListLabel 98"/>
    <w:qFormat/>
    <w:rPr>
      <w:rFonts w:eastAsia="Times New Roman"/>
    </w:rPr>
  </w:style>
  <w:style w:type="character" w:styleId="ListLabel99">
    <w:name w:val="ListLabel 99"/>
    <w:qFormat/>
    <w:rPr>
      <w:rFonts w:eastAsia="Times New Roman"/>
    </w:rPr>
  </w:style>
  <w:style w:type="character" w:styleId="ListLabel100">
    <w:name w:val="ListLabel 100"/>
    <w:qFormat/>
    <w:rPr>
      <w:rFonts w:eastAsia="Times New Roman"/>
    </w:rPr>
  </w:style>
  <w:style w:type="character" w:styleId="ListLabel101">
    <w:name w:val="ListLabel 101"/>
    <w:qFormat/>
    <w:rPr>
      <w:rFonts w:eastAsia="Times New Roman"/>
    </w:rPr>
  </w:style>
  <w:style w:type="character" w:styleId="ListLabel102">
    <w:name w:val="ListLabel 102"/>
    <w:qFormat/>
    <w:rPr>
      <w:rFonts w:eastAsia="Times New Roman"/>
    </w:rPr>
  </w:style>
  <w:style w:type="character" w:styleId="ListLabel103">
    <w:name w:val="ListLabel 103"/>
    <w:qFormat/>
    <w:rPr>
      <w:rFonts w:eastAsia="Times New Roman"/>
    </w:rPr>
  </w:style>
  <w:style w:type="character" w:styleId="ListLabel104">
    <w:name w:val="ListLabel 104"/>
    <w:qFormat/>
    <w:rPr>
      <w:rFonts w:eastAsia="Times New Roman"/>
    </w:rPr>
  </w:style>
  <w:style w:type="character" w:styleId="ListLabel105">
    <w:name w:val="ListLabel 105"/>
    <w:qFormat/>
    <w:rPr>
      <w:rFonts w:eastAsia="Times New Roman"/>
    </w:rPr>
  </w:style>
  <w:style w:type="character" w:styleId="ListLabel106">
    <w:name w:val="ListLabel 106"/>
    <w:qFormat/>
    <w:rPr>
      <w:rFonts w:eastAsia="Times New Roman"/>
    </w:rPr>
  </w:style>
  <w:style w:type="character" w:styleId="ListLabel107">
    <w:name w:val="ListLabel 107"/>
    <w:qFormat/>
    <w:rPr>
      <w:rFonts w:eastAsia="Times New Roman"/>
    </w:rPr>
  </w:style>
  <w:style w:type="character" w:styleId="ListLabel108">
    <w:name w:val="ListLabel 108"/>
    <w:qFormat/>
    <w:rPr>
      <w:rFonts w:eastAsia="Times New Roman"/>
      <w:b w:val="false"/>
      <w:sz w:val="22"/>
    </w:rPr>
  </w:style>
  <w:style w:type="character" w:styleId="ListLabel109">
    <w:name w:val="ListLabel 109"/>
    <w:qFormat/>
    <w:rPr>
      <w:rFonts w:eastAsia="Times New Roman"/>
    </w:rPr>
  </w:style>
  <w:style w:type="character" w:styleId="ListLabel110">
    <w:name w:val="ListLabel 110"/>
    <w:qFormat/>
    <w:rPr>
      <w:rFonts w:eastAsia="Times New Roman"/>
    </w:rPr>
  </w:style>
  <w:style w:type="character" w:styleId="ListLabel111">
    <w:name w:val="ListLabel 111"/>
    <w:qFormat/>
    <w:rPr>
      <w:rFonts w:eastAsia="Times New Roman"/>
    </w:rPr>
  </w:style>
  <w:style w:type="character" w:styleId="ListLabel112">
    <w:name w:val="ListLabel 112"/>
    <w:qFormat/>
    <w:rPr>
      <w:rFonts w:eastAsia="Times New Roman"/>
    </w:rPr>
  </w:style>
  <w:style w:type="character" w:styleId="ListLabel113">
    <w:name w:val="ListLabel 113"/>
    <w:qFormat/>
    <w:rPr>
      <w:rFonts w:eastAsia="Times New Roman"/>
    </w:rPr>
  </w:style>
  <w:style w:type="character" w:styleId="ListLabel114">
    <w:name w:val="ListLabel 114"/>
    <w:qFormat/>
    <w:rPr>
      <w:rFonts w:eastAsia="Times New Roman"/>
    </w:rPr>
  </w:style>
  <w:style w:type="character" w:styleId="ListLabel115">
    <w:name w:val="ListLabel 115"/>
    <w:qFormat/>
    <w:rPr>
      <w:rFonts w:eastAsia="Times New Roman"/>
    </w:rPr>
  </w:style>
  <w:style w:type="character" w:styleId="ListLabel116">
    <w:name w:val="ListLabel 116"/>
    <w:qFormat/>
    <w:rPr>
      <w:rFonts w:eastAsia="Times New Roman"/>
    </w:rPr>
  </w:style>
  <w:style w:type="paragraph" w:styleId="Heading">
    <w:name w:val="Heading"/>
    <w:basedOn w:val="Normal"/>
    <w:next w:val="TextBody"/>
    <w:qFormat/>
    <w:pPr>
      <w:keepNext w:val="true"/>
      <w:widowControl/>
      <w:spacing w:before="240" w:after="120"/>
    </w:pPr>
    <w:rPr>
      <w:rFonts w:ascii="Liberation Sans" w:hAnsi="Liberation Sans" w:eastAsia="Lucida Sans"/>
      <w:sz w:val="28"/>
    </w:rPr>
  </w:style>
  <w:style w:type="paragraph" w:styleId="TextBody">
    <w:name w:val="Body Text"/>
    <w:basedOn w:val="Normal"/>
    <w:pPr>
      <w:widowControl/>
      <w:spacing w:lineRule="auto" w:line="276" w:before="0" w:after="140"/>
    </w:pPr>
    <w:rPr/>
  </w:style>
  <w:style w:type="paragraph" w:styleId="List">
    <w:name w:val="List"/>
    <w:basedOn w:val="TextBody"/>
    <w:pPr>
      <w:widowControl/>
      <w:spacing w:lineRule="auto" w:line="276" w:before="0" w:after="140"/>
    </w:pPr>
    <w:rPr>
      <w:rFonts w:eastAsia="Lucida Sans"/>
    </w:rPr>
  </w:style>
  <w:style w:type="paragraph" w:styleId="Caption">
    <w:name w:val="Caption"/>
    <w:basedOn w:val="Normal"/>
    <w:qFormat/>
    <w:pPr>
      <w:widowControl/>
      <w:spacing w:before="120" w:after="120"/>
    </w:pPr>
    <w:rPr>
      <w:rFonts w:eastAsia="Lucida Sans"/>
      <w:i/>
      <w:sz w:val="24"/>
    </w:rPr>
  </w:style>
  <w:style w:type="paragraph" w:styleId="Index">
    <w:name w:val="Index"/>
    <w:basedOn w:val="Normal"/>
    <w:qFormat/>
    <w:pPr>
      <w:widowControl/>
    </w:pPr>
    <w:rPr>
      <w:rFonts w:eastAsia="Lucida Sans"/>
    </w:rPr>
  </w:style>
  <w:style w:type="paragraph" w:styleId="Normalpodnadpis">
    <w:name w:val="Normal,podnadpis"/>
    <w:qFormat/>
    <w:pPr>
      <w:widowControl/>
      <w:suppressAutoHyphens w:val="true"/>
      <w:spacing w:lineRule="auto" w:line="360" w:before="120" w:after="120"/>
      <w:jc w:val="both"/>
      <w:textAlignment w:val="auto"/>
    </w:pPr>
    <w:rPr>
      <w:rFonts w:ascii="Arial Narrow" w:hAnsi="Arial Narrow" w:eastAsia="Arial" w:cs="Liberation Serif"/>
      <w:color w:val="auto"/>
      <w:kern w:val="2"/>
      <w:sz w:val="20"/>
      <w:szCs w:val="24"/>
      <w:lang w:val="sk-SK" w:eastAsia="ar-SA" w:bidi="hi-IN"/>
    </w:rPr>
  </w:style>
  <w:style w:type="paragraph" w:styleId="Heading1Nadpisopatrenia1">
    <w:name w:val="heading 1,Nadpis opatrenia  1"/>
    <w:basedOn w:val="Normalpodnadpis"/>
    <w:qFormat/>
    <w:pPr>
      <w:keepNext w:val="true"/>
      <w:widowControl/>
      <w:spacing w:lineRule="auto" w:line="360" w:before="120" w:after="120"/>
      <w:jc w:val="center"/>
      <w:textAlignment w:val="auto"/>
    </w:pPr>
    <w:rPr>
      <w:rFonts w:ascii="Arial Narrow" w:hAnsi="Arial Narrow" w:eastAsia="Arial"/>
      <w:b/>
      <w:sz w:val="20"/>
      <w:lang w:val="sk-SK" w:eastAsia="ar-SA"/>
    </w:rPr>
  </w:style>
  <w:style w:type="paragraph" w:styleId="DocumentMap">
    <w:name w:val="DocumentMap"/>
    <w:qFormat/>
    <w:pPr>
      <w:widowControl/>
      <w:suppressAutoHyphens w:val="true"/>
      <w:jc w:val="left"/>
      <w:textAlignment w:val="auto"/>
    </w:pPr>
    <w:rPr>
      <w:rFonts w:ascii="Times New Roman" w:hAnsi="Times New Roman" w:eastAsia="Times New Roman" w:cs="Liberation Serif"/>
      <w:color w:val="auto"/>
      <w:kern w:val="2"/>
      <w:sz w:val="20"/>
      <w:szCs w:val="24"/>
      <w:lang w:val="cs-CZ" w:eastAsia="ar-SA" w:bidi="hi-IN"/>
    </w:rPr>
  </w:style>
  <w:style w:type="paragraph" w:styleId="Tl11ptTuniernaPodaokrajaVavo019cmRiadkova">
    <w:name w:val="Štýl 11 pt Tučné Čierna Podľa okraja Vľavo:  019 cm Riadkova..."/>
    <w:qFormat/>
    <w:pPr>
      <w:widowControl/>
      <w:suppressAutoHyphens w:val="true"/>
      <w:spacing w:lineRule="auto" w:line="360"/>
      <w:jc w:val="both"/>
      <w:textAlignment w:val="auto"/>
    </w:pPr>
    <w:rPr>
      <w:rFonts w:ascii="Arial" w:hAnsi="Arial" w:eastAsia="Arial" w:cs="Liberation Serif"/>
      <w:color w:val="000000"/>
      <w:kern w:val="2"/>
      <w:sz w:val="24"/>
      <w:szCs w:val="24"/>
      <w:lang w:val="sk-SK" w:eastAsia="ar-SA" w:bidi="hi-IN"/>
    </w:rPr>
  </w:style>
  <w:style w:type="paragraph" w:styleId="TlPodaokrajaVavo019cmRiadkovanie15riadka">
    <w:name w:val="Štýl Podľa okraja Vľavo:  019 cm Riadkovanie:  15 riadka"/>
    <w:basedOn w:val="Normalpodnadpis"/>
    <w:autoRedefine/>
    <w:qFormat/>
    <w:pPr>
      <w:widowControl/>
      <w:spacing w:lineRule="auto" w:line="360" w:before="120" w:after="120"/>
      <w:ind w:left="108" w:hanging="0"/>
      <w:jc w:val="both"/>
      <w:textAlignment w:val="auto"/>
    </w:pPr>
    <w:rPr>
      <w:rFonts w:ascii="Arial Narrow" w:hAnsi="Arial Narrow" w:eastAsia="Arial"/>
      <w:sz w:val="20"/>
      <w:lang w:val="sk-SK" w:eastAsia="ar-SA"/>
    </w:rPr>
  </w:style>
  <w:style w:type="paragraph" w:styleId="Bododvodnenie">
    <w:name w:val="Bod odôvodnenie"/>
    <w:qFormat/>
    <w:pPr>
      <w:widowControl/>
      <w:tabs>
        <w:tab w:val="clear" w:pos="420"/>
        <w:tab w:val="left" w:pos="0" w:leader="none"/>
      </w:tabs>
      <w:suppressAutoHyphens w:val="true"/>
      <w:spacing w:before="120" w:after="120"/>
      <w:jc w:val="left"/>
      <w:textAlignment w:val="auto"/>
    </w:pPr>
    <w:rPr>
      <w:rFonts w:ascii="Arial" w:hAnsi="Arial" w:eastAsia="Arial" w:cs="Liberation Serif"/>
      <w:b/>
      <w:color w:val="auto"/>
      <w:kern w:val="2"/>
      <w:sz w:val="24"/>
      <w:szCs w:val="24"/>
      <w:lang w:val="sk-SK" w:eastAsia="ar-SA" w:bidi="hi-IN"/>
    </w:rPr>
  </w:style>
  <w:style w:type="paragraph" w:styleId="TlArialPodaokraja">
    <w:name w:val="Štýl Arial Podľa okraja"/>
    <w:autoRedefine/>
    <w:qFormat/>
    <w:pPr>
      <w:widowControl/>
      <w:suppressAutoHyphens w:val="true"/>
      <w:jc w:val="both"/>
      <w:textAlignment w:val="auto"/>
    </w:pPr>
    <w:rPr>
      <w:rFonts w:ascii="Arial" w:hAnsi="Arial" w:eastAsia="Arial" w:cs="Liberation Serif"/>
      <w:color w:val="auto"/>
      <w:kern w:val="2"/>
      <w:sz w:val="16"/>
      <w:szCs w:val="24"/>
      <w:lang w:val="sk-SK" w:eastAsia="ar-SA" w:bidi="hi-IN"/>
    </w:rPr>
  </w:style>
  <w:style w:type="paragraph" w:styleId="Textpoznmky">
    <w:name w:val="Text poznámky"/>
    <w:basedOn w:val="Normalpodnadpis"/>
    <w:autoRedefine/>
    <w:qFormat/>
    <w:pPr>
      <w:widowControl/>
      <w:tabs>
        <w:tab w:val="clear" w:pos="420"/>
        <w:tab w:val="left" w:pos="0" w:leader="none"/>
      </w:tabs>
      <w:spacing w:lineRule="auto" w:line="360" w:before="120" w:after="120"/>
      <w:jc w:val="both"/>
      <w:textAlignment w:val="auto"/>
    </w:pPr>
    <w:rPr>
      <w:rFonts w:ascii="Arial Narrow" w:hAnsi="Arial Narrow" w:eastAsia="Arial"/>
      <w:sz w:val="20"/>
      <w:lang w:val="sk-SK" w:eastAsia="ar-SA"/>
    </w:rPr>
  </w:style>
  <w:style w:type="paragraph" w:styleId="TableGrid">
    <w:name w:val="Table Grid"/>
    <w:basedOn w:val="DocumentMap"/>
    <w:qFormat/>
    <w:pPr>
      <w:widowControl/>
      <w:jc w:val="left"/>
      <w:textAlignment w:val="auto"/>
    </w:pPr>
    <w:rPr>
      <w:rFonts w:ascii="Arial" w:hAnsi="Arial" w:eastAsia="Arial"/>
      <w:sz w:val="20"/>
      <w:lang w:val="sk-SK" w:eastAsia="ar-SA"/>
    </w:rPr>
  </w:style>
  <w:style w:type="paragraph" w:styleId="Footer">
    <w:name w:val="Footer"/>
    <w:basedOn w:val="Normalpodnadpis"/>
    <w:pPr>
      <w:widowControl/>
      <w:tabs>
        <w:tab w:val="clear" w:pos="420"/>
        <w:tab w:val="center" w:pos="4536" w:leader="none"/>
        <w:tab w:val="right" w:pos="9072" w:leader="none"/>
      </w:tabs>
      <w:spacing w:lineRule="auto" w:line="360" w:before="120" w:after="120"/>
      <w:jc w:val="both"/>
      <w:textAlignment w:val="auto"/>
    </w:pPr>
    <w:rPr>
      <w:rFonts w:ascii="Arial Narrow" w:hAnsi="Arial Narrow" w:eastAsia="Arial"/>
      <w:sz w:val="20"/>
      <w:lang w:val="sk-SK" w:eastAsia="ar-SA"/>
    </w:rPr>
  </w:style>
  <w:style w:type="paragraph" w:styleId="Normlny1">
    <w:name w:val="Normálny1"/>
    <w:qFormat/>
    <w:pPr>
      <w:widowControl/>
      <w:suppressAutoHyphens w:val="true"/>
      <w:spacing w:lineRule="auto" w:line="360" w:before="120" w:after="120"/>
      <w:ind w:firstLine="709"/>
      <w:jc w:val="both"/>
      <w:textAlignment w:val="auto"/>
    </w:pPr>
    <w:rPr>
      <w:rFonts w:ascii="Arial" w:hAnsi="Arial" w:eastAsia="Arial" w:cs="Liberation Serif"/>
      <w:color w:val="auto"/>
      <w:kern w:val="2"/>
      <w:sz w:val="24"/>
      <w:szCs w:val="24"/>
      <w:lang w:val="sk-SK" w:eastAsia="ar-SA" w:bidi="hi-IN"/>
    </w:rPr>
  </w:style>
  <w:style w:type="paragraph" w:styleId="Textopatrenia">
    <w:name w:val="Text opatrenia"/>
    <w:qFormat/>
    <w:pPr>
      <w:widowControl/>
      <w:tabs>
        <w:tab w:val="clear" w:pos="420"/>
        <w:tab w:val="left" w:pos="1440" w:leader="none"/>
      </w:tabs>
      <w:suppressAutoHyphens w:val="true"/>
      <w:spacing w:before="120" w:after="120"/>
      <w:ind w:left="1440" w:hanging="360"/>
      <w:jc w:val="both"/>
      <w:textAlignment w:val="auto"/>
    </w:pPr>
    <w:rPr>
      <w:rFonts w:ascii="Arial Narrow" w:hAnsi="Arial Narrow" w:eastAsia="Arial" w:cs="Liberation Serif"/>
      <w:color w:val="auto"/>
      <w:kern w:val="2"/>
      <w:sz w:val="22"/>
      <w:szCs w:val="24"/>
      <w:lang w:val="sk-SK" w:eastAsia="ar-SA" w:bidi="hi-IN"/>
    </w:rPr>
  </w:style>
  <w:style w:type="paragraph" w:styleId="TopHeader">
    <w:name w:val="Top Header"/>
    <w:basedOn w:val="Normalpodnadpis"/>
    <w:qFormat/>
    <w:pPr>
      <w:widowControl/>
      <w:spacing w:lineRule="auto" w:line="360" w:before="120" w:after="120"/>
      <w:jc w:val="center"/>
      <w:textAlignment w:val="auto"/>
    </w:pPr>
    <w:rPr>
      <w:rFonts w:ascii="Arial Narrow" w:hAnsi="Arial Narrow" w:eastAsia="Times New Roman"/>
      <w:b/>
      <w:sz w:val="22"/>
      <w:lang w:val="sk-SK" w:eastAsia="ar-SA"/>
    </w:rPr>
  </w:style>
  <w:style w:type="paragraph" w:styleId="BalloonText">
    <w:name w:val="Balloon Text"/>
    <w:basedOn w:val="Normalpodnadpis"/>
    <w:qFormat/>
    <w:pPr>
      <w:widowControl/>
      <w:spacing w:lineRule="auto" w:line="360" w:before="120" w:after="120"/>
      <w:jc w:val="both"/>
      <w:textAlignment w:val="auto"/>
    </w:pPr>
    <w:rPr>
      <w:rFonts w:ascii="Tahoma" w:hAnsi="Tahoma" w:eastAsia="Tahoma"/>
      <w:sz w:val="16"/>
      <w:lang w:val="sk-SK" w:eastAsia="ar-SA"/>
    </w:rPr>
  </w:style>
  <w:style w:type="paragraph" w:styleId="Header">
    <w:name w:val="Header"/>
    <w:basedOn w:val="Normalpodnadpis"/>
    <w:pPr>
      <w:widowControl/>
      <w:tabs>
        <w:tab w:val="clear" w:pos="420"/>
        <w:tab w:val="center" w:pos="4536" w:leader="none"/>
        <w:tab w:val="right" w:pos="9072" w:leader="none"/>
      </w:tabs>
      <w:spacing w:lineRule="auto" w:line="360" w:before="120" w:after="120"/>
      <w:jc w:val="both"/>
      <w:textAlignment w:val="auto"/>
    </w:pPr>
    <w:rPr>
      <w:rFonts w:ascii="Arial Narrow" w:hAnsi="Arial Narrow" w:eastAsia="Arial"/>
      <w:sz w:val="20"/>
      <w:lang w:val="sk-SK" w:eastAsia="ar-SA"/>
    </w:rPr>
  </w:style>
  <w:style w:type="paragraph" w:styleId="Styl1">
    <w:name w:val="Styl1"/>
    <w:basedOn w:val="Heading1Nadpisopatrenia1"/>
    <w:qFormat/>
    <w:pPr>
      <w:keepNext w:val="true"/>
      <w:widowControl/>
      <w:tabs>
        <w:tab w:val="clear" w:pos="420"/>
        <w:tab w:val="left" w:pos="720" w:leader="none"/>
        <w:tab w:val="left" w:pos="1429" w:leader="none"/>
        <w:tab w:val="left" w:pos="1713" w:leader="none"/>
      </w:tabs>
      <w:spacing w:lineRule="auto" w:line="360" w:before="120" w:after="120"/>
      <w:ind w:left="720" w:hanging="360"/>
      <w:jc w:val="left"/>
      <w:textAlignment w:val="auto"/>
    </w:pPr>
    <w:rPr>
      <w:rFonts w:ascii="Arial Narrow" w:hAnsi="Arial Narrow" w:eastAsia="Arial Narrow"/>
      <w:b/>
      <w:sz w:val="22"/>
      <w:lang w:val="sk-SK" w:eastAsia="ar-SA"/>
    </w:rPr>
  </w:style>
  <w:style w:type="paragraph" w:styleId="Default">
    <w:name w:val="Default"/>
    <w:qFormat/>
    <w:pPr>
      <w:widowControl/>
      <w:suppressAutoHyphens w:val="true"/>
      <w:jc w:val="left"/>
      <w:textAlignment w:val="auto"/>
    </w:pPr>
    <w:rPr>
      <w:rFonts w:ascii="Times New Roman" w:hAnsi="Times New Roman" w:eastAsia="Times New Roman" w:cs="Liberation Serif"/>
      <w:color w:val="000000"/>
      <w:kern w:val="2"/>
      <w:sz w:val="24"/>
      <w:szCs w:val="24"/>
      <w:lang w:val="sk-SK" w:eastAsia="ar-SA" w:bidi="hi-IN"/>
    </w:rPr>
  </w:style>
  <w:style w:type="paragraph" w:styleId="Styl2">
    <w:name w:val="Styl2"/>
    <w:basedOn w:val="Heading2"/>
    <w:qFormat/>
    <w:pPr>
      <w:keepNext w:val="true"/>
      <w:widowControl/>
      <w:tabs>
        <w:tab w:val="clear" w:pos="420"/>
        <w:tab w:val="left" w:pos="1440" w:leader="none"/>
        <w:tab w:val="left" w:pos="2149" w:leader="none"/>
        <w:tab w:val="left" w:pos="2433" w:leader="none"/>
      </w:tabs>
      <w:spacing w:lineRule="auto" w:line="360" w:before="240" w:after="60"/>
      <w:ind w:left="1440" w:hanging="360"/>
      <w:jc w:val="left"/>
      <w:textAlignment w:val="auto"/>
    </w:pPr>
    <w:rPr>
      <w:rFonts w:ascii="Arial Narrow" w:hAnsi="Arial Narrow" w:eastAsia="Arial Narrow"/>
      <w:b/>
      <w:i/>
      <w:sz w:val="20"/>
      <w:lang w:val="sk-SK" w:eastAsia="ar-SA"/>
    </w:rPr>
  </w:style>
  <w:style w:type="paragraph" w:styleId="Styl3">
    <w:name w:val="Styl3"/>
    <w:basedOn w:val="Heading3"/>
    <w:qFormat/>
    <w:pPr>
      <w:keepNext w:val="true"/>
      <w:widowControl/>
      <w:tabs>
        <w:tab w:val="clear" w:pos="420"/>
        <w:tab w:val="left" w:pos="2340" w:leader="none"/>
        <w:tab w:val="left" w:pos="3049" w:leader="none"/>
        <w:tab w:val="left" w:pos="3333" w:leader="none"/>
      </w:tabs>
      <w:spacing w:lineRule="auto" w:line="360" w:before="240" w:after="60"/>
      <w:ind w:left="2340" w:hanging="360"/>
      <w:jc w:val="center"/>
      <w:textAlignment w:val="auto"/>
    </w:pPr>
    <w:rPr>
      <w:rFonts w:ascii="Arial Narrow" w:hAnsi="Arial Narrow" w:eastAsia="Arial Narrow"/>
      <w:b/>
      <w:caps/>
      <w:sz w:val="18"/>
      <w:lang w:val="sk-SK" w:eastAsia="ar-SA"/>
    </w:rPr>
  </w:style>
  <w:style w:type="paragraph" w:styleId="ListParagraph">
    <w:name w:val="List Paragraph"/>
    <w:basedOn w:val="Normalpodnadpis"/>
    <w:qFormat/>
    <w:pPr>
      <w:widowControl/>
      <w:spacing w:lineRule="auto" w:line="360" w:before="120" w:after="120"/>
      <w:ind w:left="708" w:hanging="0"/>
      <w:jc w:val="both"/>
      <w:textAlignment w:val="auto"/>
    </w:pPr>
    <w:rPr>
      <w:rFonts w:ascii="Arial Narrow" w:hAnsi="Arial Narrow" w:eastAsia="Arial"/>
      <w:sz w:val="20"/>
      <w:lang w:val="sk-SK" w:eastAsia="ar-SA"/>
    </w:rPr>
  </w:style>
  <w:style w:type="paragraph" w:styleId="FrameContents">
    <w:name w:val="Frame Contents"/>
    <w:basedOn w:val="Normal"/>
    <w:qFormat/>
    <w:pPr>
      <w:widowControl/>
    </w:pPr>
    <w:rPr/>
  </w:style>
  <w:style w:type="paragraph" w:styleId="TableContents">
    <w:name w:val="Table Contents"/>
    <w:basedOn w:val="Normal"/>
    <w:qFormat/>
    <w:pPr>
      <w:widowControl/>
    </w:pPr>
    <w:rPr/>
  </w:style>
  <w:style w:type="paragraph" w:styleId="TableHeading">
    <w:name w:val="Table Heading"/>
    <w:basedOn w:val="TableContents"/>
    <w:qFormat/>
    <w:pPr>
      <w:widowControl/>
      <w:jc w:val="center"/>
    </w:pPr>
    <w:rPr>
      <w:b/>
    </w:rPr>
  </w:style>
</w:style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footer" Target="footer1.xml"/><Relationship Id="rId7" Type="http://schemas.openxmlformats.org/officeDocument/2006/relationships/customXml" Target="../customXml/item2.xml"/><Relationship Id="rId2" Type="http://schemas.openxmlformats.org/officeDocument/2006/relationships/header" Target="header1.xml"/><Relationship Id="rId1" Type="http://schemas.openxmlformats.org/officeDocument/2006/relationships/styles" Target="styles.xml"/><Relationship Id="rId6" Type="http://schemas.openxmlformats.org/officeDocument/2006/relationships/customXml" Target="../customXml/item1.xml"/><Relationship Id="rId5" Type="http://schemas.openxmlformats.org/officeDocument/2006/relationships/settings" Target="settings.xml"/><Relationship Id="rId4" Type="http://schemas.openxmlformats.org/officeDocument/2006/relationships/fontTable" Target="fontTable.xml"/></Relationships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07E8BDDAF1AB84ABF003215E6828D51" ma:contentTypeVersion="30" ma:contentTypeDescription="Vytvoří nový dokument" ma:contentTypeScope="" ma:versionID="3cc3fcf4024d180b41a615fb50eb8b20">
  <xsd:schema xmlns:xsd="http://www.w3.org/2001/XMLSchema" xmlns:xs="http://www.w3.org/2001/XMLSchema" xmlns:p="http://schemas.microsoft.com/office/2006/metadata/properties" xmlns:ns2="b9ce9ebe-e734-4dc8-9448-c0c87f9d5c3f" xmlns:ns3="606378dd-05e7-4f46-9a1a-3a8d36bce8e6" xmlns:ns4="f440dc8d-9227-42b9-8c2f-f76624327a77" targetNamespace="http://schemas.microsoft.com/office/2006/metadata/properties" ma:root="true" ma:fieldsID="7f2433838712dedb9fc1fbad2d8ffd1e" ns2:_="" ns3:_="" ns4:_="">
    <xsd:import namespace="b9ce9ebe-e734-4dc8-9448-c0c87f9d5c3f"/>
    <xsd:import namespace="606378dd-05e7-4f46-9a1a-3a8d36bce8e6"/>
    <xsd:import namespace="f440dc8d-9227-42b9-8c2f-f76624327a7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Adverti" minOccurs="0"/>
                <xsd:element ref="ns3:SharedWithUsers" minOccurs="0"/>
                <xsd:element ref="ns3:SharedWithDetails" minOccurs="0"/>
                <xsd:element ref="ns2:MediaServiceLocation" minOccurs="0"/>
                <xsd:element ref="ns2:Stav" minOccurs="0"/>
                <xsd:element ref="ns2:Pozn_x00e1_mka" minOccurs="0"/>
                <xsd:element ref="ns2:Pozn_x00e1_mka_x0020_2" minOccurs="0"/>
                <xsd:element ref="ns2:Analytika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Schv_x00e1_leno" minOccurs="0"/>
                <xsd:element ref="ns2:_x010c__x00e1_stkacelkem" minOccurs="0"/>
                <xsd:element ref="ns2:n5c4" minOccurs="0"/>
                <xsd:element ref="ns2:csui" minOccurs="0"/>
                <xsd:element ref="ns2:Variabiln_x00ed_symbol" minOccurs="0"/>
                <xsd:element ref="ns2:Obdob_x00ed_" minOccurs="0"/>
                <xsd:element ref="ns2:_x0032_021" minOccurs="0"/>
                <xsd:element ref="ns2:lcf76f155ced4ddcb4097134ff3c332f" minOccurs="0"/>
                <xsd:element ref="ns4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9ce9ebe-e734-4dc8-9448-c0c87f9d5c3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Adverti" ma:index="13" nillable="true" ma:displayName="Adverti" ma:description="17OZ003-17OZ006 s úhradou vyčkat na opravené faktury" ma:internalName="Adverti">
      <xsd:simpleType>
        <xsd:restriction base="dms:Text">
          <xsd:maxLength value="255"/>
        </xsd:restriction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Stav" ma:index="17" nillable="true" ma:displayName="Stav" ma:default="Zadáno" ma:format="RadioButtons" ma:internalName="Stav">
      <xsd:simpleType>
        <xsd:restriction base="dms:Choice">
          <xsd:enumeration value="Zadáno"/>
          <xsd:enumeration value="Schváleno"/>
          <xsd:enumeration value="Zaúčtováno"/>
          <xsd:enumeration value="Zaplaceno"/>
        </xsd:restriction>
      </xsd:simpleType>
    </xsd:element>
    <xsd:element name="Pozn_x00e1_mka" ma:index="18" nillable="true" ma:displayName="Poznámka" ma:internalName="Pozn_x00e1_mka">
      <xsd:simpleType>
        <xsd:restriction base="dms:Text">
          <xsd:maxLength value="255"/>
        </xsd:restriction>
      </xsd:simpleType>
    </xsd:element>
    <xsd:element name="Pozn_x00e1_mka_x0020_2" ma:index="19" nillable="true" ma:displayName="Dodavatel" ma:format="Dropdown" ma:internalName="Pozn_x00e1_mka_x0020_2">
      <xsd:simpleType>
        <xsd:restriction base="dms:Text">
          <xsd:maxLength value="255"/>
        </xsd:restriction>
      </xsd:simpleType>
    </xsd:element>
    <xsd:element name="Analytika" ma:index="20" nillable="true" ma:displayName="Analytika" ma:format="Dropdown" ma:internalName="Analytika">
      <xsd:simpleType>
        <xsd:restriction base="dms:Text">
          <xsd:maxLength value="255"/>
        </xsd:restriction>
      </xsd:simpleType>
    </xsd:element>
    <xsd:element name="MediaServiceGenerationTime" ma:index="2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Schv_x00e1_leno" ma:index="25" nillable="true" ma:displayName="Schváleno" ma:default="0" ma:format="Dropdown" ma:internalName="Schv_x00e1_leno">
      <xsd:simpleType>
        <xsd:restriction base="dms:Boolean"/>
      </xsd:simpleType>
    </xsd:element>
    <xsd:element name="_x010c__x00e1_stkacelkem" ma:index="26" nillable="true" ma:displayName="Částka" ma:format="Dropdown" ma:internalName="_x010c__x00e1_stkacelkem">
      <xsd:simpleType>
        <xsd:restriction base="dms:Text">
          <xsd:maxLength value="255"/>
        </xsd:restriction>
      </xsd:simpleType>
    </xsd:element>
    <xsd:element name="n5c4" ma:index="27" nillable="true" ma:displayName="Text" ma:internalName="n5c4">
      <xsd:simpleType>
        <xsd:restriction base="dms:Text"/>
      </xsd:simpleType>
    </xsd:element>
    <xsd:element name="csui" ma:index="28" nillable="true" ma:displayName="Text" ma:internalName="csui">
      <xsd:simpleType>
        <xsd:restriction base="dms:Text"/>
      </xsd:simpleType>
    </xsd:element>
    <xsd:element name="Variabiln_x00ed_symbol" ma:index="29" nillable="true" ma:displayName="Variabilní symbol" ma:format="Dropdown" ma:internalName="Variabiln_x00ed_symbol">
      <xsd:simpleType>
        <xsd:restriction base="dms:Text">
          <xsd:maxLength value="255"/>
        </xsd:restriction>
      </xsd:simpleType>
    </xsd:element>
    <xsd:element name="Obdob_x00ed_" ma:index="30" nillable="true" ma:displayName="Období" ma:format="Dropdown" ma:internalName="Obdob_x00ed_">
      <xsd:simpleType>
        <xsd:restriction base="dms:Text">
          <xsd:maxLength value="50"/>
        </xsd:restriction>
      </xsd:simpleType>
    </xsd:element>
    <xsd:element name="_x0032_021" ma:index="31" nillable="true" ma:displayName="2021" ma:internalName="_x0032_021">
      <xsd:simpleType>
        <xsd:restriction base="dms:Text">
          <xsd:maxLength value="255"/>
        </xsd:restriction>
      </xsd:simpleType>
    </xsd:element>
    <xsd:element name="lcf76f155ced4ddcb4097134ff3c332f" ma:index="33" nillable="true" ma:taxonomy="true" ma:internalName="lcf76f155ced4ddcb4097134ff3c332f" ma:taxonomyFieldName="MediaServiceImageTags" ma:displayName="Značky obrázků" ma:readOnly="false" ma:fieldId="{5cf76f15-5ced-4ddc-b409-7134ff3c332f}" ma:taxonomyMulti="true" ma:sspId="87d9c637-37c7-49ab-a997-e02f92fe8de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6378dd-05e7-4f46-9a1a-3a8d36bce8e6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440dc8d-9227-42b9-8c2f-f76624327a77" elementFormDefault="qualified">
    <xsd:import namespace="http://schemas.microsoft.com/office/2006/documentManagement/types"/>
    <xsd:import namespace="http://schemas.microsoft.com/office/infopath/2007/PartnerControls"/>
    <xsd:element name="TaxCatchAll" ma:index="34" nillable="true" ma:displayName="Taxonomy Catch All Column" ma:hidden="true" ma:list="{b05c7ce4-8dcb-474f-854f-e99ee17cdd62}" ma:internalName="TaxCatchAll" ma:showField="CatchAllData" ma:web="f440dc8d-9227-42b9-8c2f-f76624327a7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AE65D0C-8FB3-4939-BD1C-887242F3EB1D}"/>
</file>

<file path=customXml/itemProps2.xml><?xml version="1.0" encoding="utf-8"?>
<ds:datastoreItem xmlns:ds="http://schemas.openxmlformats.org/officeDocument/2006/customXml" ds:itemID="{2A4B3B58-3347-4E4B-BC61-02F9894ABBD2}"/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0</TotalTime>
  <Application>LibreOffice/6.2.3.2$Windows_X86_64 LibreOffice_project/aecc05fe267cc68dde00352a451aa867b3b546ac</Application>
  <Pages>6</Pages>
  <Words>990</Words>
  <Characters>5998</Characters>
  <CharactersWithSpaces>6931</CharactersWithSpaces>
  <Paragraphs>140</Paragraphs>
  <Company>CSW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2014-01-07T09:28:00Z</dcterms:created>
  <dc:creator>Rastislav.Burza@csw.sk</dc:creator>
  <dc:description>&lt;?template name="Účtovná záverka mikro ÚJ 2014" version="1.00"?&gt;</dc:description>
  <dc:language>cs-CZ</dc:language>
  <cp:lastModifiedBy/>
  <cp:lastPrinted>2014-01-07T09:24:00Z</cp:lastPrinted>
  <dcterms:modified xsi:type="dcterms:W3CDTF">2023-03-18T20:44:00Z</dcterms:modified>
  <cp:revision>0</cp:revision>
  <dc:subject/>
  <dc:title>Poznámky Úč MÚJ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CSW</vt:lpwstr>
  </property>
  <property fmtid="{D5CDD505-2E9C-101B-9397-08002B2CF9AE}" pid="3" name="Operator">
    <vt:lpwstr>Tomáš Kubala</vt:lpwstr>
  </property>
</Properties>
</file>