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B87364" w:rsidRDefault="00690DEC">
      <w:pPr>
        <w:spacing w:after="120" w:line="240" w:lineRule="auto"/>
        <w:jc w:val="center"/>
      </w:pPr>
      <w:r>
        <w:rPr>
          <w:rFonts w:ascii="Calibri" w:eastAsia="Calibri" w:hAnsi="Calibri" w:cs="Calibri"/>
          <w:b/>
          <w:sz w:val="24"/>
          <w:szCs w:val="24"/>
        </w:rPr>
        <w:t>POZNÁMKY K ÚČTOVNEJ ZÁVIERKE 20</w:t>
      </w:r>
      <w:r w:rsidR="00904BCD">
        <w:rPr>
          <w:rFonts w:ascii="Calibri" w:eastAsia="Calibri" w:hAnsi="Calibri" w:cs="Calibri"/>
          <w:b/>
          <w:sz w:val="24"/>
          <w:szCs w:val="24"/>
        </w:rPr>
        <w:t>2</w:t>
      </w:r>
      <w:r w:rsidR="004468CC">
        <w:rPr>
          <w:rFonts w:ascii="Calibri" w:eastAsia="Calibri" w:hAnsi="Calibri" w:cs="Calibri"/>
          <w:b/>
          <w:sz w:val="24"/>
          <w:szCs w:val="24"/>
        </w:rPr>
        <w:t>2</w:t>
      </w:r>
    </w:p>
    <w:p w:rsidR="00B87364" w:rsidRDefault="00690DEC">
      <w:pPr>
        <w:spacing w:line="240" w:lineRule="auto"/>
        <w:jc w:val="center"/>
      </w:pPr>
      <w:r>
        <w:rPr>
          <w:rFonts w:ascii="Calibri" w:eastAsia="Calibri" w:hAnsi="Calibri" w:cs="Calibri"/>
          <w:sz w:val="24"/>
          <w:szCs w:val="24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 w:rsidR="00B87364" w:rsidRDefault="00690DEC">
      <w:pPr>
        <w:spacing w:line="240" w:lineRule="auto"/>
        <w:jc w:val="center"/>
      </w:pPr>
      <w:r>
        <w:rPr>
          <w:rFonts w:ascii="Calibri" w:eastAsia="Calibri" w:hAnsi="Calibri" w:cs="Calibri"/>
          <w:b/>
          <w:sz w:val="24"/>
          <w:szCs w:val="24"/>
        </w:rPr>
        <w:t xml:space="preserve">pre </w:t>
      </w:r>
      <w:r w:rsidR="005419DB">
        <w:rPr>
          <w:rFonts w:ascii="Calibri" w:eastAsia="Calibri" w:hAnsi="Calibri" w:cs="Calibri"/>
          <w:b/>
          <w:sz w:val="24"/>
          <w:szCs w:val="24"/>
        </w:rPr>
        <w:t>mikro</w:t>
      </w:r>
      <w:r>
        <w:rPr>
          <w:rFonts w:ascii="Calibri" w:eastAsia="Calibri" w:hAnsi="Calibri" w:cs="Calibri"/>
          <w:b/>
          <w:sz w:val="24"/>
          <w:szCs w:val="24"/>
        </w:rPr>
        <w:t xml:space="preserve"> účtovné jednotky</w:t>
      </w: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B87364">
      <w:pPr>
        <w:spacing w:line="240" w:lineRule="auto"/>
      </w:pPr>
    </w:p>
    <w:p w:rsidR="00B87364" w:rsidRDefault="00690DEC">
      <w:pPr>
        <w:spacing w:line="240" w:lineRule="auto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 – VŠEOBECNÉ INFORMÁCIE</w:t>
      </w:r>
    </w:p>
    <w:p w:rsidR="00B87364" w:rsidRDefault="00B87364">
      <w:pPr>
        <w:spacing w:line="240" w:lineRule="auto"/>
      </w:pPr>
    </w:p>
    <w:p w:rsidR="00B87364" w:rsidRDefault="00690DEC">
      <w:pPr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>1) Základné informácie o účtovnej jednotke:</w:t>
      </w:r>
    </w:p>
    <w:p w:rsidR="00B87364" w:rsidRDefault="00B87364">
      <w:pPr>
        <w:spacing w:line="240" w:lineRule="auto"/>
      </w:pPr>
    </w:p>
    <w:tbl>
      <w:tblPr>
        <w:tblStyle w:val="a"/>
        <w:tblW w:w="9714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2835"/>
        <w:gridCol w:w="6879"/>
      </w:tblGrid>
      <w:tr w:rsidR="00B87364">
        <w:trPr>
          <w:trHeight w:val="34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Obchodné meno:</w:t>
            </w:r>
          </w:p>
        </w:tc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0F7B2F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VYŠINSÝ-DENT</w:t>
            </w:r>
            <w:r w:rsidR="00690DEC"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, s.r.o.</w:t>
            </w:r>
          </w:p>
        </w:tc>
      </w:tr>
      <w:tr w:rsidR="00B87364">
        <w:trPr>
          <w:trHeight w:val="38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Sídlo:</w:t>
            </w:r>
          </w:p>
        </w:tc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0F7B2F" w:rsidP="000F7B2F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023 54 Turzovka, Vyšný koniec 13</w:t>
            </w:r>
          </w:p>
        </w:tc>
      </w:tr>
      <w:tr w:rsidR="00B87364">
        <w:trPr>
          <w:trHeight w:val="18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Právna forma:</w:t>
            </w:r>
          </w:p>
        </w:tc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Spoločnosť s ručením obmedzeným</w:t>
            </w:r>
          </w:p>
        </w:tc>
      </w:tr>
      <w:tr w:rsidR="00B87364">
        <w:trPr>
          <w:trHeight w:val="22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87364" w:rsidRDefault="00690DEC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Dátum vzniku: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B87364" w:rsidRDefault="00690DEC" w:rsidP="000F7B2F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Zápis do obchodného registra: </w:t>
            </w:r>
            <w:r w:rsidR="000F7B2F">
              <w:rPr>
                <w:rFonts w:ascii="Calibri" w:eastAsia="Calibri" w:hAnsi="Calibri" w:cs="Calibri"/>
                <w:sz w:val="24"/>
                <w:szCs w:val="24"/>
              </w:rPr>
              <w:t>01.01.2006</w:t>
            </w:r>
          </w:p>
        </w:tc>
      </w:tr>
      <w:tr w:rsidR="00B87364">
        <w:trPr>
          <w:trHeight w:val="26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87364" w:rsidRDefault="00690DEC">
            <w:pPr>
              <w:spacing w:line="240" w:lineRule="auto"/>
              <w:ind w:right="1027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Hlavný predmet podnikania: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B87364" w:rsidRDefault="00B87364">
            <w:pPr>
              <w:spacing w:line="240" w:lineRule="auto"/>
              <w:jc w:val="both"/>
            </w:pPr>
          </w:p>
          <w:p w:rsidR="00B87364" w:rsidRDefault="00295662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Zubná lekárska prax</w:t>
            </w:r>
          </w:p>
        </w:tc>
      </w:tr>
      <w:tr w:rsidR="00B87364">
        <w:trPr>
          <w:trHeight w:val="52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87364" w:rsidRDefault="00690DEC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Subjekt verejného záujmu: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B87364" w:rsidRDefault="00690DEC" w:rsidP="000F7B2F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Spoločnosť </w:t>
            </w:r>
            <w:r w:rsidR="000F7B2F"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VYŠINSÝ-DENT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,</w:t>
            </w:r>
            <w:r w:rsidR="004B3C9A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s.r.o. nie je subjektom verejného záujmu (§ 2/14 ZoU).</w:t>
            </w:r>
          </w:p>
        </w:tc>
      </w:tr>
      <w:tr w:rsidR="00B87364">
        <w:trPr>
          <w:trHeight w:val="30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7364" w:rsidRDefault="00690DEC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Účtovné obdobie: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87364" w:rsidRDefault="00690DEC" w:rsidP="004468CC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Kalendárny rok 20</w:t>
            </w:r>
            <w:r w:rsidR="00904BCD">
              <w:rPr>
                <w:rFonts w:ascii="Calibri" w:eastAsia="Calibri" w:hAnsi="Calibri" w:cs="Calibri"/>
                <w:sz w:val="24"/>
                <w:szCs w:val="24"/>
              </w:rPr>
              <w:t>2</w:t>
            </w:r>
            <w:r w:rsidR="004468CC">
              <w:rPr>
                <w:rFonts w:ascii="Calibri" w:eastAsia="Calibri" w:hAnsi="Calibri" w:cs="Calibri"/>
                <w:sz w:val="24"/>
                <w:szCs w:val="24"/>
              </w:rPr>
              <w:t>2</w:t>
            </w:r>
          </w:p>
        </w:tc>
      </w:tr>
    </w:tbl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690DEC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UJ bola v účtovnom období roku 20</w:t>
      </w:r>
      <w:r w:rsidR="00904BCD">
        <w:rPr>
          <w:rFonts w:ascii="Calibri" w:eastAsia="Calibri" w:hAnsi="Calibri" w:cs="Calibri"/>
          <w:sz w:val="24"/>
          <w:szCs w:val="24"/>
        </w:rPr>
        <w:t>2</w:t>
      </w:r>
      <w:r w:rsidR="004468CC">
        <w:rPr>
          <w:rFonts w:ascii="Calibri" w:eastAsia="Calibri" w:hAnsi="Calibri" w:cs="Calibri"/>
          <w:sz w:val="24"/>
          <w:szCs w:val="24"/>
        </w:rPr>
        <w:t>2</w:t>
      </w:r>
      <w:r>
        <w:rPr>
          <w:rFonts w:ascii="Calibri" w:eastAsia="Calibri" w:hAnsi="Calibri" w:cs="Calibri"/>
          <w:sz w:val="24"/>
          <w:szCs w:val="24"/>
        </w:rPr>
        <w:t xml:space="preserve"> – </w:t>
      </w:r>
      <w:r w:rsidR="005419DB">
        <w:rPr>
          <w:rFonts w:ascii="Calibri" w:eastAsia="Calibri" w:hAnsi="Calibri" w:cs="Calibri"/>
          <w:sz w:val="24"/>
          <w:szCs w:val="24"/>
        </w:rPr>
        <w:t>mikro</w:t>
      </w:r>
      <w:r>
        <w:rPr>
          <w:rFonts w:ascii="Calibri" w:eastAsia="Calibri" w:hAnsi="Calibri" w:cs="Calibri"/>
          <w:sz w:val="24"/>
          <w:szCs w:val="24"/>
        </w:rPr>
        <w:t xml:space="preserve"> účtovná jednotka, preto zostavuje účtovnú závierku podľa metodiky pre túto veľkostnú skupinu (Opatrenie č.MF/23378/2014-74).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</w:pPr>
    </w:p>
    <w:p w:rsidR="00B87364" w:rsidRDefault="00690DEC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2) Dátum schválenia účtovnej závierky za bezprostredne predchádzajúce účtovné obdobie príslušným orgánom účtovnej jednotky:</w:t>
      </w:r>
      <w:r w:rsidR="00C82F96">
        <w:rPr>
          <w:rFonts w:ascii="Calibri" w:eastAsia="Calibri" w:hAnsi="Calibri" w:cs="Calibri"/>
          <w:sz w:val="24"/>
          <w:szCs w:val="24"/>
        </w:rPr>
        <w:t>2</w:t>
      </w:r>
      <w:r w:rsidR="004468CC">
        <w:rPr>
          <w:rFonts w:ascii="Calibri" w:eastAsia="Calibri" w:hAnsi="Calibri" w:cs="Calibri"/>
          <w:sz w:val="24"/>
          <w:szCs w:val="24"/>
        </w:rPr>
        <w:t>9</w:t>
      </w:r>
      <w:r w:rsidR="00C82F96">
        <w:rPr>
          <w:rFonts w:ascii="Calibri" w:eastAsia="Calibri" w:hAnsi="Calibri" w:cs="Calibri"/>
          <w:sz w:val="24"/>
          <w:szCs w:val="24"/>
        </w:rPr>
        <w:t>.0</w:t>
      </w:r>
      <w:r w:rsidR="004775B6">
        <w:rPr>
          <w:rFonts w:ascii="Calibri" w:eastAsia="Calibri" w:hAnsi="Calibri" w:cs="Calibri"/>
          <w:sz w:val="24"/>
          <w:szCs w:val="24"/>
        </w:rPr>
        <w:t>3</w:t>
      </w:r>
      <w:r w:rsidR="00C82F96">
        <w:rPr>
          <w:rFonts w:ascii="Calibri" w:eastAsia="Calibri" w:hAnsi="Calibri" w:cs="Calibri"/>
          <w:sz w:val="24"/>
          <w:szCs w:val="24"/>
        </w:rPr>
        <w:t>.20</w:t>
      </w:r>
      <w:r w:rsidR="00904BCD">
        <w:rPr>
          <w:rFonts w:ascii="Calibri" w:eastAsia="Calibri" w:hAnsi="Calibri" w:cs="Calibri"/>
          <w:sz w:val="24"/>
          <w:szCs w:val="24"/>
        </w:rPr>
        <w:t>2</w:t>
      </w:r>
      <w:r w:rsidR="004468CC">
        <w:rPr>
          <w:rFonts w:ascii="Calibri" w:eastAsia="Calibri" w:hAnsi="Calibri" w:cs="Calibri"/>
          <w:sz w:val="24"/>
          <w:szCs w:val="24"/>
        </w:rPr>
        <w:t>2</w:t>
      </w:r>
    </w:p>
    <w:p w:rsidR="00B87364" w:rsidRDefault="00690DEC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690DEC">
      <w:pPr>
        <w:widowControl w:val="0"/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>3) Právny dôvod na zostavenie účtovnej závierky: Účtovná závierka Spoločnosti k 31.12.20</w:t>
      </w:r>
      <w:r w:rsidR="00904BCD">
        <w:rPr>
          <w:rFonts w:ascii="Calibri" w:eastAsia="Calibri" w:hAnsi="Calibri" w:cs="Calibri"/>
          <w:sz w:val="24"/>
          <w:szCs w:val="24"/>
        </w:rPr>
        <w:t>2</w:t>
      </w:r>
      <w:r w:rsidR="004775B6">
        <w:rPr>
          <w:rFonts w:ascii="Calibri" w:eastAsia="Calibri" w:hAnsi="Calibri" w:cs="Calibri"/>
          <w:sz w:val="24"/>
          <w:szCs w:val="24"/>
        </w:rPr>
        <w:t>1</w:t>
      </w:r>
      <w:r>
        <w:rPr>
          <w:rFonts w:ascii="Calibri" w:eastAsia="Calibri" w:hAnsi="Calibri" w:cs="Calibri"/>
          <w:sz w:val="24"/>
          <w:szCs w:val="24"/>
        </w:rPr>
        <w:t xml:space="preserve"> je zostavená ako riadna účtovná závierka podľa §17 ods. 6 Zákona č. 431/2002 Z.z. o účtovníctve za účtovné obdobie od 01. januára 20</w:t>
      </w:r>
      <w:r w:rsidR="00904BCD">
        <w:rPr>
          <w:rFonts w:ascii="Calibri" w:eastAsia="Calibri" w:hAnsi="Calibri" w:cs="Calibri"/>
          <w:sz w:val="24"/>
          <w:szCs w:val="24"/>
        </w:rPr>
        <w:t>2</w:t>
      </w:r>
      <w:r w:rsidR="004468CC">
        <w:rPr>
          <w:rFonts w:ascii="Calibri" w:eastAsia="Calibri" w:hAnsi="Calibri" w:cs="Calibri"/>
          <w:sz w:val="24"/>
          <w:szCs w:val="24"/>
        </w:rPr>
        <w:t>2</w:t>
      </w:r>
      <w:r>
        <w:rPr>
          <w:rFonts w:ascii="Calibri" w:eastAsia="Calibri" w:hAnsi="Calibri" w:cs="Calibri"/>
          <w:sz w:val="24"/>
          <w:szCs w:val="24"/>
        </w:rPr>
        <w:t xml:space="preserve"> do 31. decembra 20</w:t>
      </w:r>
      <w:r w:rsidR="00904BCD">
        <w:rPr>
          <w:rFonts w:ascii="Calibri" w:eastAsia="Calibri" w:hAnsi="Calibri" w:cs="Calibri"/>
          <w:sz w:val="24"/>
          <w:szCs w:val="24"/>
        </w:rPr>
        <w:t>2</w:t>
      </w:r>
      <w:r w:rsidR="004468CC">
        <w:rPr>
          <w:rFonts w:ascii="Calibri" w:eastAsia="Calibri" w:hAnsi="Calibri" w:cs="Calibri"/>
          <w:sz w:val="24"/>
          <w:szCs w:val="24"/>
        </w:rPr>
        <w:t>2</w:t>
      </w: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690DEC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4) ÚJ nie je v skupine účtovných jednotiek</w:t>
      </w:r>
    </w:p>
    <w:p w:rsidR="00B87364" w:rsidRDefault="00B87364">
      <w:pPr>
        <w:spacing w:line="240" w:lineRule="auto"/>
        <w:jc w:val="both"/>
      </w:pPr>
    </w:p>
    <w:p w:rsidR="00B87364" w:rsidRDefault="00690DEC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5) Priemerný prepočítaný počet zamestnancov účtovnej jednotky:</w:t>
      </w:r>
    </w:p>
    <w:tbl>
      <w:tblPr>
        <w:tblStyle w:val="a0"/>
        <w:tblW w:w="974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367"/>
      </w:tblGrid>
      <w:tr w:rsidR="00B87364">
        <w:trPr>
          <w:trHeight w:val="520"/>
        </w:trPr>
        <w:tc>
          <w:tcPr>
            <w:tcW w:w="4857" w:type="dxa"/>
            <w:vAlign w:val="center"/>
          </w:tcPr>
          <w:p w:rsidR="00B87364" w:rsidRDefault="00690DEC">
            <w:pPr>
              <w:spacing w:line="240" w:lineRule="auto"/>
              <w:ind w:right="459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Názov položky</w:t>
            </w:r>
          </w:p>
        </w:tc>
        <w:tc>
          <w:tcPr>
            <w:tcW w:w="2523" w:type="dxa"/>
            <w:vAlign w:val="center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67" w:type="dxa"/>
            <w:vAlign w:val="center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B87364">
        <w:trPr>
          <w:trHeight w:val="160"/>
        </w:trPr>
        <w:tc>
          <w:tcPr>
            <w:tcW w:w="4857" w:type="dxa"/>
          </w:tcPr>
          <w:p w:rsidR="00B87364" w:rsidRDefault="00690DEC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Priemerný prepočítaný počet počas účtovného obdobia</w:t>
            </w:r>
          </w:p>
        </w:tc>
        <w:tc>
          <w:tcPr>
            <w:tcW w:w="2523" w:type="dxa"/>
          </w:tcPr>
          <w:p w:rsidR="00B87364" w:rsidRDefault="004775B6" w:rsidP="004775B6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8</w:t>
            </w:r>
          </w:p>
        </w:tc>
        <w:tc>
          <w:tcPr>
            <w:tcW w:w="2367" w:type="dxa"/>
          </w:tcPr>
          <w:p w:rsidR="00B87364" w:rsidRDefault="00904BCD" w:rsidP="00904BCD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8</w:t>
            </w:r>
          </w:p>
        </w:tc>
      </w:tr>
    </w:tbl>
    <w:p w:rsidR="00B87364" w:rsidRDefault="00B87364">
      <w:pPr>
        <w:spacing w:line="240" w:lineRule="auto"/>
        <w:ind w:left="928"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690DEC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II – INFORMÁCIE O ORGÁNOCH SPOLOČNOSTI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690DEC">
      <w:pPr>
        <w:spacing w:after="120" w:line="240" w:lineRule="auto"/>
        <w:jc w:val="both"/>
      </w:pPr>
      <w:r>
        <w:rPr>
          <w:rFonts w:ascii="Calibri" w:eastAsia="Calibri" w:hAnsi="Calibri" w:cs="Calibri"/>
          <w:b/>
          <w:sz w:val="24"/>
          <w:szCs w:val="24"/>
        </w:rPr>
        <w:t>Informácie o orgánoch účtovnej jednotky</w:t>
      </w:r>
      <w:r>
        <w:rPr>
          <w:rFonts w:ascii="Calibri" w:eastAsia="Calibri" w:hAnsi="Calibri" w:cs="Calibri"/>
          <w:sz w:val="24"/>
          <w:szCs w:val="24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</w:t>
      </w:r>
    </w:p>
    <w:tbl>
      <w:tblPr>
        <w:tblStyle w:val="a1"/>
        <w:tblW w:w="9817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69"/>
        <w:gridCol w:w="2488"/>
        <w:gridCol w:w="2360"/>
      </w:tblGrid>
      <w:tr w:rsidR="00B87364">
        <w:trPr>
          <w:trHeight w:val="860"/>
          <w:jc w:val="center"/>
        </w:trPr>
        <w:tc>
          <w:tcPr>
            <w:tcW w:w="4969" w:type="dxa"/>
            <w:vAlign w:val="center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Orgány účtovnej jednotky</w:t>
            </w:r>
          </w:p>
        </w:tc>
        <w:tc>
          <w:tcPr>
            <w:tcW w:w="2488" w:type="dxa"/>
            <w:vAlign w:val="center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60" w:type="dxa"/>
            <w:vAlign w:val="center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B87364">
        <w:trPr>
          <w:trHeight w:val="240"/>
          <w:jc w:val="center"/>
        </w:trPr>
        <w:tc>
          <w:tcPr>
            <w:tcW w:w="4969" w:type="dxa"/>
            <w:vAlign w:val="center"/>
          </w:tcPr>
          <w:p w:rsidR="00B87364" w:rsidRDefault="00690DEC">
            <w:pPr>
              <w:spacing w:line="240" w:lineRule="auto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Štatutárny orgán/Spoločník</w:t>
            </w:r>
          </w:p>
        </w:tc>
        <w:tc>
          <w:tcPr>
            <w:tcW w:w="2488" w:type="dxa"/>
            <w:vAlign w:val="center"/>
          </w:tcPr>
          <w:p w:rsidR="00B87364" w:rsidRDefault="00690DEC" w:rsidP="000F7B2F">
            <w:pPr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MUDr.</w:t>
            </w:r>
            <w:r w:rsidR="000F7B2F">
              <w:rPr>
                <w:rFonts w:ascii="Calibri" w:eastAsia="Calibri" w:hAnsi="Calibri" w:cs="Calibri"/>
                <w:sz w:val="24"/>
                <w:szCs w:val="24"/>
              </w:rPr>
              <w:t>Vyšinský Pavol</w:t>
            </w:r>
          </w:p>
        </w:tc>
        <w:tc>
          <w:tcPr>
            <w:tcW w:w="2360" w:type="dxa"/>
            <w:vAlign w:val="center"/>
          </w:tcPr>
          <w:p w:rsidR="00B87364" w:rsidRDefault="000F7B2F" w:rsidP="000F7B2F">
            <w:pPr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MUDr.Vyšinský Pavol </w:t>
            </w:r>
          </w:p>
        </w:tc>
      </w:tr>
      <w:tr w:rsidR="00B87364">
        <w:trPr>
          <w:trHeight w:val="240"/>
          <w:jc w:val="center"/>
        </w:trPr>
        <w:tc>
          <w:tcPr>
            <w:tcW w:w="4969" w:type="dxa"/>
            <w:vAlign w:val="center"/>
          </w:tcPr>
          <w:p w:rsidR="00B87364" w:rsidRDefault="00690DEC">
            <w:pPr>
              <w:numPr>
                <w:ilvl w:val="0"/>
                <w:numId w:val="3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pôžička celkovo</w:t>
            </w:r>
          </w:p>
        </w:tc>
        <w:tc>
          <w:tcPr>
            <w:tcW w:w="2488" w:type="dxa"/>
            <w:vAlign w:val="center"/>
          </w:tcPr>
          <w:p w:rsidR="00B87364" w:rsidRDefault="000F7B2F">
            <w:pPr>
              <w:spacing w:line="240" w:lineRule="auto"/>
            </w:pPr>
            <w:r>
              <w:t>Anna Vyšinská</w:t>
            </w:r>
          </w:p>
        </w:tc>
        <w:tc>
          <w:tcPr>
            <w:tcW w:w="2360" w:type="dxa"/>
            <w:vAlign w:val="center"/>
          </w:tcPr>
          <w:p w:rsidR="00B87364" w:rsidRDefault="000F7B2F">
            <w:pPr>
              <w:spacing w:line="240" w:lineRule="auto"/>
            </w:pPr>
            <w:r>
              <w:t>Anna Vyšinská</w:t>
            </w:r>
          </w:p>
        </w:tc>
      </w:tr>
      <w:tr w:rsidR="00B87364">
        <w:trPr>
          <w:trHeight w:val="140"/>
          <w:jc w:val="center"/>
        </w:trPr>
        <w:tc>
          <w:tcPr>
            <w:tcW w:w="4969" w:type="dxa"/>
            <w:vAlign w:val="center"/>
          </w:tcPr>
          <w:p w:rsidR="00B87364" w:rsidRDefault="00690DEC">
            <w:pPr>
              <w:numPr>
                <w:ilvl w:val="0"/>
                <w:numId w:val="1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druh príjmu (výhody):</w:t>
            </w: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690DEC">
            <w:pPr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t> </w:t>
            </w:r>
          </w:p>
        </w:tc>
      </w:tr>
      <w:tr w:rsidR="00B87364">
        <w:trPr>
          <w:trHeight w:val="160"/>
          <w:jc w:val="center"/>
        </w:trPr>
        <w:tc>
          <w:tcPr>
            <w:tcW w:w="4969" w:type="dxa"/>
            <w:vAlign w:val="center"/>
          </w:tcPr>
          <w:p w:rsidR="00B87364" w:rsidRDefault="00690DEC">
            <w:pPr>
              <w:spacing w:line="240" w:lineRule="auto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Spoločník</w:t>
            </w: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</w:p>
        </w:tc>
      </w:tr>
      <w:tr w:rsidR="00B87364">
        <w:trPr>
          <w:trHeight w:val="160"/>
          <w:jc w:val="center"/>
        </w:trPr>
        <w:tc>
          <w:tcPr>
            <w:tcW w:w="4969" w:type="dxa"/>
            <w:vAlign w:val="center"/>
          </w:tcPr>
          <w:p w:rsidR="00B87364" w:rsidRDefault="00690DEC">
            <w:pPr>
              <w:numPr>
                <w:ilvl w:val="0"/>
                <w:numId w:val="1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pôžička celkovo</w:t>
            </w: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</w:p>
        </w:tc>
      </w:tr>
      <w:tr w:rsidR="00B87364">
        <w:trPr>
          <w:trHeight w:val="160"/>
          <w:jc w:val="center"/>
        </w:trPr>
        <w:tc>
          <w:tcPr>
            <w:tcW w:w="4969" w:type="dxa"/>
            <w:vAlign w:val="center"/>
          </w:tcPr>
          <w:p w:rsidR="00B87364" w:rsidRDefault="00690DEC">
            <w:pPr>
              <w:numPr>
                <w:ilvl w:val="0"/>
                <w:numId w:val="1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druh príjmu (výhody):</w:t>
            </w: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</w:p>
        </w:tc>
      </w:tr>
      <w:tr w:rsidR="00B87364">
        <w:trPr>
          <w:trHeight w:val="160"/>
          <w:jc w:val="center"/>
        </w:trPr>
        <w:tc>
          <w:tcPr>
            <w:tcW w:w="4969" w:type="dxa"/>
            <w:vAlign w:val="center"/>
          </w:tcPr>
          <w:p w:rsidR="00B87364" w:rsidRDefault="00B87364">
            <w:pPr>
              <w:spacing w:line="240" w:lineRule="auto"/>
              <w:ind w:left="720"/>
            </w:pP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</w:p>
        </w:tc>
      </w:tr>
    </w:tbl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690DEC">
      <w:pPr>
        <w:spacing w:line="240" w:lineRule="auto"/>
        <w:ind w:right="-141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III – INFORMÁCIE O PRIJATÝCH POSTUPOCH</w:t>
      </w:r>
    </w:p>
    <w:p w:rsidR="00B87364" w:rsidRDefault="00B87364">
      <w:pPr>
        <w:spacing w:line="240" w:lineRule="auto"/>
        <w:ind w:right="-141"/>
        <w:jc w:val="both"/>
      </w:pPr>
    </w:p>
    <w:p w:rsidR="00B87364" w:rsidRDefault="00690DEC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1) Účtovná závierka je zostavená za splnenia predpokladu, že ÚJ bude nepretržite pokračovať vo svojej činnosti minimálne 12 mesiacov po závierkovom dni v zmysle § 7 ods. 4 zákona o účtovníctve.</w:t>
      </w:r>
    </w:p>
    <w:p w:rsidR="00B87364" w:rsidRDefault="00690DEC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690DEC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2) Účtovné metódy vychádzajúce z interných smerníc spoločnosti a všeobecné účtovné zásady boli účtovnou jednotkou konzistentne aplikované</w:t>
      </w:r>
    </w:p>
    <w:p w:rsidR="00B87364" w:rsidRDefault="00B87364">
      <w:pPr>
        <w:spacing w:line="240" w:lineRule="auto"/>
        <w:ind w:right="-141"/>
        <w:jc w:val="both"/>
      </w:pPr>
    </w:p>
    <w:p w:rsidR="00B87364" w:rsidRDefault="00690DEC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3) ÚJ neeviduje žiadne transakcie, ktoré sa neuvádzajú v súvahe.</w:t>
      </w:r>
    </w:p>
    <w:p w:rsidR="00B87364" w:rsidRDefault="00690DEC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p w:rsidR="00B87364" w:rsidRDefault="00690DEC">
      <w:pPr>
        <w:spacing w:after="120"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4) Spôsob a určenie oceňovania majetku a záväzkov (vrátane rozhodujúcich odhadov):</w:t>
      </w:r>
    </w:p>
    <w:p w:rsidR="00B87364" w:rsidRDefault="00690DEC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a) Spôsob oceňovania majetku a záväzkov (§ 25 ZoU):</w:t>
      </w:r>
    </w:p>
    <w:p w:rsidR="00B87364" w:rsidRDefault="00B87364">
      <w:pPr>
        <w:widowControl w:val="0"/>
        <w:tabs>
          <w:tab w:val="left" w:pos="808"/>
        </w:tabs>
        <w:spacing w:line="240" w:lineRule="auto"/>
        <w:jc w:val="both"/>
      </w:pPr>
    </w:p>
    <w:tbl>
      <w:tblPr>
        <w:tblStyle w:val="a2"/>
        <w:tblW w:w="960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6"/>
        <w:gridCol w:w="5300"/>
        <w:gridCol w:w="3600"/>
      </w:tblGrid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Spôsob oceňovania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externe kúpený: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interne vytvorený: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náklady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obstaraný inak (darom):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Reprodukčná 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hmotný majetok interne vytvorený: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náklady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obstaraný inak (darom):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Reprodukčná 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lastRenderedPageBreak/>
              <w:t>8.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Zásoby obstarané kúpou: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9.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Zásoby vytvorené vlastnou činnosťou: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náklady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Zásoby obstarané inak (darom):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Reprodukčná 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pohľadávky: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Kúpené pohľadávky: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Krátkodobý finančný majetok: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Deriváty: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18.</w:t>
            </w:r>
          </w:p>
        </w:tc>
        <w:tc>
          <w:tcPr>
            <w:tcW w:w="5300" w:type="dxa"/>
          </w:tcPr>
          <w:p w:rsidR="00B87364" w:rsidRDefault="00690DEC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Majetok a záväzky zabezpečené derivátmi: </w:t>
            </w:r>
          </w:p>
        </w:tc>
        <w:tc>
          <w:tcPr>
            <w:tcW w:w="3600" w:type="dxa"/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19.</w:t>
            </w:r>
          </w:p>
        </w:tc>
        <w:tc>
          <w:tcPr>
            <w:tcW w:w="5300" w:type="dxa"/>
          </w:tcPr>
          <w:p w:rsidR="00B87364" w:rsidRDefault="00690DEC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Prenajatý majetok a majetok obstaraný na základe zmluvy o kúpe prenajatej veci:</w:t>
            </w:r>
          </w:p>
        </w:tc>
        <w:tc>
          <w:tcPr>
            <w:tcW w:w="3600" w:type="dxa"/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20.</w:t>
            </w:r>
          </w:p>
        </w:tc>
        <w:tc>
          <w:tcPr>
            <w:tcW w:w="5300" w:type="dxa"/>
          </w:tcPr>
          <w:p w:rsidR="00B87364" w:rsidRDefault="00690DEC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Splatná daň z príjmov a odložená daň z príjmov:</w:t>
            </w:r>
          </w:p>
        </w:tc>
        <w:tc>
          <w:tcPr>
            <w:tcW w:w="3600" w:type="dxa"/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</w:tbl>
    <w:p w:rsidR="00B87364" w:rsidRDefault="00B87364">
      <w:pPr>
        <w:spacing w:line="240" w:lineRule="auto"/>
        <w:jc w:val="both"/>
      </w:pPr>
    </w:p>
    <w:p w:rsidR="00B87364" w:rsidRDefault="00690DEC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b) Trvalé zníženie hodnoty majetku nebolo účtované. </w:t>
      </w:r>
    </w:p>
    <w:p w:rsidR="00B87364" w:rsidRDefault="00B87364">
      <w:pPr>
        <w:spacing w:after="120" w:line="240" w:lineRule="auto"/>
        <w:jc w:val="both"/>
      </w:pPr>
    </w:p>
    <w:p w:rsidR="00B87364" w:rsidRDefault="00690DEC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c) Záväzky účtovná jednotka ocenila menovitou hodnotou záväzkov. </w:t>
      </w:r>
    </w:p>
    <w:p w:rsidR="00B87364" w:rsidRDefault="00B87364">
      <w:pPr>
        <w:spacing w:after="120" w:line="240" w:lineRule="auto"/>
        <w:jc w:val="both"/>
      </w:pPr>
    </w:p>
    <w:p w:rsidR="00B87364" w:rsidRDefault="00690DEC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d) Účtovná jednotka nepoužila dobrovoľné oceňovanie obchodných podielov metódou vlastného imania (§ 27/9 ZoU).</w:t>
      </w:r>
    </w:p>
    <w:p w:rsidR="00B87364" w:rsidRDefault="00B87364">
      <w:pPr>
        <w:keepNext/>
        <w:tabs>
          <w:tab w:val="left" w:pos="1005"/>
        </w:tabs>
        <w:spacing w:after="120" w:line="240" w:lineRule="auto"/>
        <w:jc w:val="both"/>
      </w:pPr>
    </w:p>
    <w:p w:rsidR="00B87364" w:rsidRDefault="00690DEC">
      <w:pPr>
        <w:keepNext/>
        <w:tabs>
          <w:tab w:val="left" w:pos="1005"/>
        </w:tabs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f) Tvorba odpisového plánu pre dlhodobý majetok, pričom sa uvádza doba odpisovania, sadzby odpisov a odpisové metódy pre účtovné odpisy:</w:t>
      </w:r>
    </w:p>
    <w:tbl>
      <w:tblPr>
        <w:tblStyle w:val="a3"/>
        <w:tblW w:w="960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268"/>
      </w:tblGrid>
      <w:tr w:rsidR="00B87364">
        <w:tc>
          <w:tcPr>
            <w:tcW w:w="4218" w:type="dxa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Dlhodobý hmotný a nehmotný</w:t>
            </w:r>
          </w:p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odpisovaný majetok</w:t>
            </w:r>
          </w:p>
        </w:tc>
        <w:tc>
          <w:tcPr>
            <w:tcW w:w="1013" w:type="dxa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číslo</w:t>
            </w:r>
          </w:p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účtu</w:t>
            </w:r>
          </w:p>
        </w:tc>
        <w:tc>
          <w:tcPr>
            <w:tcW w:w="2107" w:type="dxa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doba odpisovania</w:t>
            </w:r>
          </w:p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(počet rokov)</w:t>
            </w:r>
          </w:p>
        </w:tc>
        <w:tc>
          <w:tcPr>
            <w:tcW w:w="2268" w:type="dxa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odpisová sadzba </w:t>
            </w:r>
          </w:p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(%)</w:t>
            </w:r>
          </w:p>
        </w:tc>
      </w:tr>
      <w:tr w:rsidR="00B87364">
        <w:tc>
          <w:tcPr>
            <w:tcW w:w="4218" w:type="dxa"/>
          </w:tcPr>
          <w:p w:rsidR="00B87364" w:rsidRDefault="00690DEC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Software</w:t>
            </w:r>
          </w:p>
        </w:tc>
        <w:tc>
          <w:tcPr>
            <w:tcW w:w="1013" w:type="dxa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013</w:t>
            </w:r>
          </w:p>
        </w:tc>
        <w:tc>
          <w:tcPr>
            <w:tcW w:w="2107" w:type="dxa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690DEC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Ostatný DNM </w:t>
            </w:r>
          </w:p>
        </w:tc>
        <w:tc>
          <w:tcPr>
            <w:tcW w:w="1013" w:type="dxa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019</w:t>
            </w:r>
          </w:p>
        </w:tc>
        <w:tc>
          <w:tcPr>
            <w:tcW w:w="2107" w:type="dxa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690DEC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Stavby</w:t>
            </w:r>
          </w:p>
        </w:tc>
        <w:tc>
          <w:tcPr>
            <w:tcW w:w="1013" w:type="dxa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021</w:t>
            </w:r>
          </w:p>
        </w:tc>
        <w:tc>
          <w:tcPr>
            <w:tcW w:w="2107" w:type="dxa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20</w:t>
            </w:r>
          </w:p>
        </w:tc>
        <w:tc>
          <w:tcPr>
            <w:tcW w:w="2268" w:type="dxa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5</w:t>
            </w:r>
          </w:p>
        </w:tc>
      </w:tr>
      <w:tr w:rsidR="00B87364">
        <w:tc>
          <w:tcPr>
            <w:tcW w:w="4218" w:type="dxa"/>
          </w:tcPr>
          <w:p w:rsidR="00B87364" w:rsidRDefault="00690DEC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Počítače s príslušenstvom</w:t>
            </w:r>
          </w:p>
        </w:tc>
        <w:tc>
          <w:tcPr>
            <w:tcW w:w="1013" w:type="dxa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022.A</w:t>
            </w:r>
          </w:p>
        </w:tc>
        <w:tc>
          <w:tcPr>
            <w:tcW w:w="2107" w:type="dxa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690DEC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Dopravné prostriedky</w:t>
            </w:r>
          </w:p>
        </w:tc>
        <w:tc>
          <w:tcPr>
            <w:tcW w:w="1013" w:type="dxa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</w:t>
            </w:r>
          </w:p>
        </w:tc>
        <w:tc>
          <w:tcPr>
            <w:tcW w:w="2107" w:type="dxa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690DEC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Ostatné stroje</w:t>
            </w:r>
          </w:p>
        </w:tc>
        <w:tc>
          <w:tcPr>
            <w:tcW w:w="1013" w:type="dxa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022.A</w:t>
            </w:r>
          </w:p>
        </w:tc>
        <w:tc>
          <w:tcPr>
            <w:tcW w:w="2107" w:type="dxa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690DEC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Ostatný dlhodobý hmotný majetok</w:t>
            </w:r>
          </w:p>
        </w:tc>
        <w:tc>
          <w:tcPr>
            <w:tcW w:w="1013" w:type="dxa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</w:t>
            </w:r>
          </w:p>
        </w:tc>
        <w:tc>
          <w:tcPr>
            <w:tcW w:w="2107" w:type="dxa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</w:tbl>
    <w:p w:rsidR="00B87364" w:rsidRDefault="00690DEC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690DEC">
      <w:pPr>
        <w:spacing w:after="120" w:line="240" w:lineRule="auto"/>
      </w:pPr>
      <w:r>
        <w:rPr>
          <w:rFonts w:ascii="Calibri" w:eastAsia="Calibri" w:hAnsi="Calibri" w:cs="Calibri"/>
          <w:sz w:val="24"/>
          <w:szCs w:val="24"/>
        </w:rPr>
        <w:t xml:space="preserve">Komentár k odpisovému plánu: </w:t>
      </w:r>
    </w:p>
    <w:p w:rsidR="00B87364" w:rsidRDefault="00690DEC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UJ používa účtovné odpisy nezávisle na daňových odpisoch. Majetok sa začína odpisovať v mesiaci, kedy bol zaradený do užívania. Účtovné odpisy vychádzajú z predpokladanej doby používania majetku. Dlhodobý nehmotný majetok sa odpisuje počas 4 rokov od jeho obstarania.</w:t>
      </w:r>
    </w:p>
    <w:p w:rsidR="00B87364" w:rsidRDefault="00690DEC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lastRenderedPageBreak/>
        <w:t>UJ používa rovnomerné odpisovanie dlhodobého hmotného majetku a dlhodobého nehmotného majetku. Podrobný účtovný odpisový plán po položkách sa vedie v podsystéme Majetok (taktiež daňové odpisy podľa zákona o dani z príjmov).</w:t>
      </w:r>
    </w:p>
    <w:p w:rsidR="00B87364" w:rsidRDefault="00690DEC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UJ odpisuje jednotlivé veci alebo relevantné súbory hnuteľných vecí (napr. počítačová sieť, nábytková zostava). UJ nepoužíva komponentné odpisovanie (odpisovanie častí majetku - komponentov).</w:t>
      </w:r>
    </w:p>
    <w:p w:rsidR="00B87364" w:rsidRDefault="00690DEC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UJ nepoužila jednorazový odpis</w:t>
      </w:r>
      <w:r>
        <w:rPr>
          <w:rFonts w:ascii="Calibri" w:eastAsia="Calibri" w:hAnsi="Calibri" w:cs="Calibri"/>
          <w:b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dlhodobého majetku z dôvodu jednorazového trvalého zníženia hodnoty majetku (§ 21/5 PU).</w:t>
      </w:r>
    </w:p>
    <w:p w:rsidR="00B87364" w:rsidRDefault="00690DEC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kategóriu drobného dlhodobého nehmotného majetku - položky pod 2 400 eur jednotkovej ceny so životnosťou nad jeden rok (§ 13/2 PU).</w:t>
      </w:r>
    </w:p>
    <w:p w:rsidR="00B87364" w:rsidRDefault="00690DEC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kategóriu drobného dlhodobého hmotného majetku - položky pod 1 700 eur jednotkovej ceny so životnosťou nad jeden rok (§ 13/6 PU).</w:t>
      </w:r>
    </w:p>
    <w:p w:rsidR="00B87364" w:rsidRDefault="00690DEC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dobrovoľné účtovanie podlimitného technického zhodnotenia do odpisovaného dlhodobého majetku – technické zhodnotenie pod 1 700 eur za účtovné obdobie (§ 21/3 PU; § 29/2 ZDP).</w:t>
      </w:r>
    </w:p>
    <w:p w:rsidR="00B87364" w:rsidRDefault="00690DEC">
      <w:pPr>
        <w:numPr>
          <w:ilvl w:val="0"/>
          <w:numId w:val="2"/>
        </w:numPr>
        <w:spacing w:after="120" w:line="240" w:lineRule="auto"/>
        <w:ind w:hanging="360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dobrovoľnú kapitalizáciu úrokov do obstarávacej ceny odpisovaného dlhodobého hmotného majetku alebo dlhodobého nehmotného majetku (§ 34/1 PU; § 35/2/h PU).</w:t>
      </w:r>
    </w:p>
    <w:p w:rsidR="00B87364" w:rsidRDefault="00B87364">
      <w:pPr>
        <w:spacing w:after="120" w:line="240" w:lineRule="auto"/>
        <w:jc w:val="both"/>
      </w:pPr>
    </w:p>
    <w:p w:rsidR="00B87364" w:rsidRDefault="00690DEC">
      <w:pPr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 xml:space="preserve">g) ÚJ </w:t>
      </w:r>
      <w:r w:rsidR="004468CC">
        <w:rPr>
          <w:rFonts w:ascii="Calibri" w:eastAsia="Calibri" w:hAnsi="Calibri" w:cs="Calibri"/>
          <w:sz w:val="24"/>
          <w:szCs w:val="24"/>
        </w:rPr>
        <w:t>ne</w:t>
      </w:r>
      <w:r>
        <w:rPr>
          <w:rFonts w:ascii="Calibri" w:eastAsia="Calibri" w:hAnsi="Calibri" w:cs="Calibri"/>
          <w:sz w:val="24"/>
          <w:szCs w:val="24"/>
        </w:rPr>
        <w:t>boli v zdaňovacom období roku 20</w:t>
      </w:r>
      <w:r w:rsidR="00904BCD">
        <w:rPr>
          <w:rFonts w:ascii="Calibri" w:eastAsia="Calibri" w:hAnsi="Calibri" w:cs="Calibri"/>
          <w:sz w:val="24"/>
          <w:szCs w:val="24"/>
        </w:rPr>
        <w:t>2</w:t>
      </w:r>
      <w:r w:rsidR="004468CC">
        <w:rPr>
          <w:rFonts w:ascii="Calibri" w:eastAsia="Calibri" w:hAnsi="Calibri" w:cs="Calibri"/>
          <w:sz w:val="24"/>
          <w:szCs w:val="24"/>
        </w:rPr>
        <w:t>2</w:t>
      </w:r>
      <w:r>
        <w:rPr>
          <w:rFonts w:ascii="Calibri" w:eastAsia="Calibri" w:hAnsi="Calibri" w:cs="Calibri"/>
          <w:sz w:val="24"/>
          <w:szCs w:val="24"/>
        </w:rPr>
        <w:t xml:space="preserve"> poskytnuté dotácie</w:t>
      </w:r>
      <w:r w:rsidR="004468CC">
        <w:rPr>
          <w:rFonts w:ascii="Calibri" w:eastAsia="Calibri" w:hAnsi="Calibri" w:cs="Calibri"/>
          <w:sz w:val="24"/>
          <w:szCs w:val="24"/>
        </w:rPr>
        <w:t>.</w:t>
      </w:r>
      <w:r w:rsidR="004775B6"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B87364">
      <w:pPr>
        <w:keepNext/>
        <w:spacing w:after="120" w:line="240" w:lineRule="auto"/>
        <w:jc w:val="both"/>
      </w:pPr>
    </w:p>
    <w:p w:rsidR="00B87364" w:rsidRDefault="00690DEC">
      <w:pPr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>5) ÚJ v zdaňovacom období roku 20</w:t>
      </w:r>
      <w:r w:rsidR="00904BCD">
        <w:rPr>
          <w:rFonts w:ascii="Calibri" w:eastAsia="Calibri" w:hAnsi="Calibri" w:cs="Calibri"/>
          <w:sz w:val="24"/>
          <w:szCs w:val="24"/>
        </w:rPr>
        <w:t>2</w:t>
      </w:r>
      <w:r w:rsidR="004468CC">
        <w:rPr>
          <w:rFonts w:ascii="Calibri" w:eastAsia="Calibri" w:hAnsi="Calibri" w:cs="Calibri"/>
          <w:sz w:val="24"/>
          <w:szCs w:val="24"/>
        </w:rPr>
        <w:t>2</w:t>
      </w:r>
      <w:bookmarkStart w:id="0" w:name="_GoBack"/>
      <w:bookmarkEnd w:id="0"/>
      <w:r>
        <w:rPr>
          <w:rFonts w:ascii="Calibri" w:eastAsia="Calibri" w:hAnsi="Calibri" w:cs="Calibri"/>
          <w:sz w:val="24"/>
          <w:szCs w:val="24"/>
        </w:rPr>
        <w:t xml:space="preserve"> nevykonala žiadne opravy významných chýb.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690DEC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IV – INFORMÁCIE, KTORÉ VYSVETĽUJÚ A DOPĹŇAJÚ SÚVAHU A VÝKAZ ZISKOV A STRÁT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690DEC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1) ÚJ neeviduje žiadne položky nehmotného majetku.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690DEC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2) ÚJ neeviduje žiadne položky významných derivátov, majetku a záväzkoch zabezpečených derivátmi.</w:t>
      </w:r>
    </w:p>
    <w:p w:rsidR="00B87364" w:rsidRDefault="00B87364">
      <w:pPr>
        <w:spacing w:after="120" w:line="240" w:lineRule="auto"/>
        <w:jc w:val="both"/>
      </w:pPr>
    </w:p>
    <w:p w:rsidR="00B87364" w:rsidRDefault="00690DEC">
      <w:pPr>
        <w:spacing w:after="120"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3a) ÚJ neeviduje žiadne položky zabezpečených záväzkov so zostatkovou dobou splatnosti dlhšou </w:t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  <w:t xml:space="preserve"> ako 5 rokov:  </w:t>
      </w:r>
    </w:p>
    <w:p w:rsidR="00B87364" w:rsidRDefault="00B87364">
      <w:pPr>
        <w:spacing w:after="120" w:line="240" w:lineRule="auto"/>
        <w:ind w:right="-141"/>
        <w:jc w:val="both"/>
      </w:pPr>
    </w:p>
    <w:tbl>
      <w:tblPr>
        <w:tblStyle w:val="a4"/>
        <w:tblW w:w="971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376"/>
      </w:tblGrid>
      <w:tr w:rsidR="00B87364">
        <w:trPr>
          <w:trHeight w:val="680"/>
          <w:jc w:val="center"/>
        </w:trPr>
        <w:tc>
          <w:tcPr>
            <w:tcW w:w="4785" w:type="dxa"/>
            <w:vAlign w:val="center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Názov položky</w:t>
            </w:r>
          </w:p>
        </w:tc>
        <w:tc>
          <w:tcPr>
            <w:tcW w:w="2553" w:type="dxa"/>
            <w:vAlign w:val="center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76" w:type="dxa"/>
            <w:vAlign w:val="center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B87364">
        <w:trPr>
          <w:trHeight w:val="200"/>
          <w:jc w:val="center"/>
        </w:trPr>
        <w:tc>
          <w:tcPr>
            <w:tcW w:w="4785" w:type="dxa"/>
            <w:vAlign w:val="center"/>
          </w:tcPr>
          <w:p w:rsidR="00B87364" w:rsidRDefault="00690DEC">
            <w:pPr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Záväzky so zostatkovou dobou splatnosti nad 5 rokov</w:t>
            </w:r>
          </w:p>
        </w:tc>
        <w:tc>
          <w:tcPr>
            <w:tcW w:w="2553" w:type="dxa"/>
            <w:vAlign w:val="center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</w:t>
            </w:r>
          </w:p>
        </w:tc>
        <w:tc>
          <w:tcPr>
            <w:tcW w:w="2376" w:type="dxa"/>
            <w:vAlign w:val="center"/>
          </w:tcPr>
          <w:p w:rsidR="00B87364" w:rsidRDefault="00690DEC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</w:t>
            </w:r>
          </w:p>
        </w:tc>
      </w:tr>
    </w:tbl>
    <w:p w:rsidR="00B87364" w:rsidRDefault="00B87364">
      <w:pPr>
        <w:spacing w:before="120" w:line="240" w:lineRule="auto"/>
        <w:ind w:right="-471"/>
        <w:jc w:val="both"/>
      </w:pPr>
    </w:p>
    <w:p w:rsidR="00B87364" w:rsidRDefault="00690DEC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lastRenderedPageBreak/>
        <w:t>3b) ÚJ neeviduje žiadne položky zabezpečených záväzkov.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690DEC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4) ÚJ neeviduje žiadne vlastné akcie.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690DEC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5) ÚJ neeviduje žiadne položky nákladov alebo výnosov, ktoré majú výnimočný rozsah alebo výskyt.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690DEC">
      <w:pPr>
        <w:spacing w:after="120" w:line="240" w:lineRule="auto"/>
        <w:ind w:right="-471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V – INFORMÁCIE O INÝCH AKTÍVACH A INÝCH PASÍVACH</w:t>
      </w:r>
    </w:p>
    <w:p w:rsidR="00B87364" w:rsidRDefault="00B87364">
      <w:pPr>
        <w:spacing w:after="120" w:line="240" w:lineRule="auto"/>
        <w:ind w:right="-471"/>
        <w:jc w:val="center"/>
      </w:pPr>
    </w:p>
    <w:p w:rsidR="00B87364" w:rsidRDefault="00690DEC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1a) ÚJ neeviduje žiadne položky podmieneného majetku.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690DEC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1b) ÚJ neeviduje žiadne položky podmienených záväzkov.</w:t>
      </w:r>
    </w:p>
    <w:p w:rsidR="00B87364" w:rsidRDefault="00B87364">
      <w:pPr>
        <w:spacing w:after="120"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690DEC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2) ÚJ neeviduje žiadne ostatné finančné povinnosti, ktoré a nevykazujú v účtovných výkazoch.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690DEC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3 V účtovníctve ÚJ sa nenachádzajú žiadne položky evidované na podsúvahových účtoch.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ind w:right="-468"/>
        <w:jc w:val="center"/>
      </w:pPr>
    </w:p>
    <w:p w:rsidR="00B87364" w:rsidRDefault="00690DEC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VI – UDALOSTI, KTORÉ NASTALI PO ZÁVIERKOVOM DNI</w:t>
      </w:r>
    </w:p>
    <w:p w:rsidR="00B87364" w:rsidRDefault="00690DEC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(Následné udalosti)</w:t>
      </w:r>
    </w:p>
    <w:p w:rsidR="00B87364" w:rsidRDefault="00B87364">
      <w:pPr>
        <w:spacing w:line="240" w:lineRule="auto"/>
        <w:ind w:right="-468"/>
        <w:jc w:val="center"/>
      </w:pPr>
    </w:p>
    <w:p w:rsidR="00B87364" w:rsidRDefault="00690DEC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ÚJ neeviduje žiadne udalosti, ktoré nastali po závierkovom dni.</w:t>
      </w:r>
    </w:p>
    <w:p w:rsidR="00B87364" w:rsidRDefault="00B87364">
      <w:pPr>
        <w:spacing w:line="240" w:lineRule="auto"/>
        <w:ind w:right="-468"/>
        <w:jc w:val="center"/>
      </w:pPr>
    </w:p>
    <w:p w:rsidR="00B87364" w:rsidRDefault="00B87364">
      <w:pPr>
        <w:spacing w:line="240" w:lineRule="auto"/>
        <w:ind w:right="-468"/>
        <w:jc w:val="center"/>
      </w:pPr>
    </w:p>
    <w:p w:rsidR="00B87364" w:rsidRDefault="00690DEC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VII – OSTATNÉ INFORMÁCIE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690DEC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1) ÚJ nemá žiadne právo poskytovať služby vo verejnom záujme.</w:t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690DEC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2) ÚJ nemá žiadnu priemyselnú výrobu. (§ 23d/6 ZoU)</w:t>
      </w:r>
    </w:p>
    <w:p w:rsidR="00B87364" w:rsidRDefault="00690DEC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p w:rsidR="00B87364" w:rsidRDefault="00690DEC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3) ÚJ nemá žiadne finančné vzťahy s orgánmi verejnej moci. (§ 23d/6 ZoU)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B87364">
      <w:pPr>
        <w:spacing w:after="120" w:line="240" w:lineRule="auto"/>
      </w:pPr>
    </w:p>
    <w:p w:rsidR="00B87364" w:rsidRDefault="00690DEC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sectPr w:rsidR="00B87364" w:rsidSect="00901AD7">
      <w:headerReference w:type="default" r:id="rId7"/>
      <w:footerReference w:type="default" r:id="rId8"/>
      <w:pgSz w:w="11907" w:h="16840"/>
      <w:pgMar w:top="1417" w:right="992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6448" w:rsidRDefault="006A6448">
      <w:pPr>
        <w:spacing w:line="240" w:lineRule="auto"/>
      </w:pPr>
      <w:r>
        <w:separator/>
      </w:r>
    </w:p>
  </w:endnote>
  <w:endnote w:type="continuationSeparator" w:id="0">
    <w:p w:rsidR="006A6448" w:rsidRDefault="006A644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7364" w:rsidRDefault="00901AD7">
    <w:pPr>
      <w:tabs>
        <w:tab w:val="center" w:pos="4536"/>
        <w:tab w:val="right" w:pos="9072"/>
      </w:tabs>
      <w:spacing w:line="240" w:lineRule="auto"/>
      <w:jc w:val="right"/>
    </w:pPr>
    <w:r>
      <w:fldChar w:fldCharType="begin"/>
    </w:r>
    <w:r w:rsidR="00690DEC">
      <w:instrText>PAGE</w:instrText>
    </w:r>
    <w:r>
      <w:fldChar w:fldCharType="separate"/>
    </w:r>
    <w:r w:rsidR="004468CC">
      <w:rPr>
        <w:noProof/>
      </w:rPr>
      <w:t>1</w:t>
    </w:r>
    <w:r>
      <w:fldChar w:fldCharType="end"/>
    </w:r>
  </w:p>
  <w:p w:rsidR="00B87364" w:rsidRDefault="00B87364">
    <w:pPr>
      <w:tabs>
        <w:tab w:val="center" w:pos="4536"/>
        <w:tab w:val="right" w:pos="9072"/>
      </w:tabs>
      <w:spacing w:after="567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6448" w:rsidRDefault="006A6448">
      <w:pPr>
        <w:spacing w:line="240" w:lineRule="auto"/>
      </w:pPr>
      <w:r>
        <w:separator/>
      </w:r>
    </w:p>
  </w:footnote>
  <w:footnote w:type="continuationSeparator" w:id="0">
    <w:p w:rsidR="006A6448" w:rsidRDefault="006A644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7364" w:rsidRDefault="00690DEC">
    <w:pPr>
      <w:widowControl w:val="0"/>
      <w:tabs>
        <w:tab w:val="left" w:pos="2990"/>
        <w:tab w:val="left" w:pos="6348"/>
      </w:tabs>
      <w:spacing w:before="567" w:line="240" w:lineRule="auto"/>
      <w:ind w:left="-397"/>
      <w:jc w:val="center"/>
    </w:pPr>
    <w:r>
      <w:t xml:space="preserve"> Poznámky Úč POD 3 – 01          </w:t>
    </w:r>
    <w:r>
      <w:rPr>
        <w:color w:val="707070"/>
        <w:sz w:val="18"/>
        <w:szCs w:val="18"/>
        <w:highlight w:val="white"/>
      </w:rPr>
      <w:tab/>
    </w:r>
    <w:r>
      <w:t xml:space="preserve">                 IČO: </w:t>
    </w:r>
    <w:r w:rsidR="003459F0">
      <w:t>364</w:t>
    </w:r>
    <w:r w:rsidR="000F7B2F">
      <w:t>36887</w:t>
    </w:r>
    <w:r>
      <w:t xml:space="preserve">         DIČ: 2022</w:t>
    </w:r>
    <w:r w:rsidR="000F7B2F">
      <w:t>101026</w:t>
    </w:r>
    <w:r>
      <w:t xml:space="preserve">  </w:t>
    </w:r>
  </w:p>
  <w:p w:rsidR="00B87364" w:rsidRDefault="00B87364">
    <w:pPr>
      <w:tabs>
        <w:tab w:val="center" w:pos="4703"/>
        <w:tab w:val="right" w:pos="9406"/>
      </w:tabs>
      <w:spacing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64C91"/>
    <w:multiLevelType w:val="multilevel"/>
    <w:tmpl w:val="1EECCF62"/>
    <w:lvl w:ilvl="0">
      <w:numFmt w:val="bullet"/>
      <w:lvlText w:val="-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1" w15:restartNumberingAfterBreak="0">
    <w:nsid w:val="286D243E"/>
    <w:multiLevelType w:val="multilevel"/>
    <w:tmpl w:val="5072A10A"/>
    <w:lvl w:ilvl="0">
      <w:start w:val="6"/>
      <w:numFmt w:val="bullet"/>
      <w:lvlText w:val="-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2" w15:restartNumberingAfterBreak="0">
    <w:nsid w:val="4CAE6D9F"/>
    <w:multiLevelType w:val="multilevel"/>
    <w:tmpl w:val="6D68A1C2"/>
    <w:lvl w:ilvl="0">
      <w:start w:val="1"/>
      <w:numFmt w:val="bullet"/>
      <w:lvlText w:val="➢"/>
      <w:lvlJc w:val="left"/>
      <w:pPr>
        <w:ind w:left="360" w:firstLine="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080" w:firstLine="72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1800" w:firstLine="144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520" w:firstLine="216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240" w:firstLine="288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3960" w:firstLine="360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4680" w:firstLine="432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400" w:firstLine="504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120" w:firstLine="5760"/>
      </w:pPr>
      <w:rPr>
        <w:rFonts w:ascii="Arial" w:eastAsia="Arial" w:hAnsi="Arial" w:cs="Arial"/>
        <w:vertAlign w:val="baseline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7364"/>
    <w:rsid w:val="000F7B2F"/>
    <w:rsid w:val="001044E0"/>
    <w:rsid w:val="00295662"/>
    <w:rsid w:val="003459F0"/>
    <w:rsid w:val="004468CC"/>
    <w:rsid w:val="0045327D"/>
    <w:rsid w:val="004775B6"/>
    <w:rsid w:val="004B3C9A"/>
    <w:rsid w:val="004C3B25"/>
    <w:rsid w:val="00524F54"/>
    <w:rsid w:val="005419DB"/>
    <w:rsid w:val="00690DEC"/>
    <w:rsid w:val="006A6448"/>
    <w:rsid w:val="00734C1C"/>
    <w:rsid w:val="00883297"/>
    <w:rsid w:val="00901AD7"/>
    <w:rsid w:val="00904BCD"/>
    <w:rsid w:val="009A3700"/>
    <w:rsid w:val="00B87364"/>
    <w:rsid w:val="00BD01BA"/>
    <w:rsid w:val="00BF307C"/>
    <w:rsid w:val="00C82F96"/>
    <w:rsid w:val="00C94DA1"/>
    <w:rsid w:val="00EC2695"/>
    <w:rsid w:val="00F67B20"/>
    <w:rsid w:val="00FF5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EDD75C"/>
  <w15:docId w15:val="{E99EB3B0-9D83-49A1-A962-87E575C3F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color w:val="000000"/>
        <w:sz w:val="22"/>
        <w:szCs w:val="22"/>
        <w:lang w:val="sk-SK" w:eastAsia="sk-SK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</w:style>
  <w:style w:type="paragraph" w:styleId="Nadpis1">
    <w:name w:val="heading 1"/>
    <w:basedOn w:val="Normlny"/>
    <w:next w:val="Normlny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Nadpis5">
    <w:name w:val="heading 5"/>
    <w:basedOn w:val="Normlny"/>
    <w:next w:val="Normlny"/>
    <w:pPr>
      <w:keepNext/>
      <w:keepLines/>
      <w:spacing w:before="220" w:after="40"/>
      <w:contextualSpacing/>
      <w:outlineLvl w:val="4"/>
    </w:pPr>
    <w:rPr>
      <w:b/>
    </w:rPr>
  </w:style>
  <w:style w:type="paragraph" w:styleId="Nadpis6">
    <w:name w:val="heading 6"/>
    <w:basedOn w:val="Normlny"/>
    <w:next w:val="Normlny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Podtitul">
    <w:name w:val="Subtitle"/>
    <w:basedOn w:val="Normlny"/>
    <w:next w:val="Normlny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3459F0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459F0"/>
  </w:style>
  <w:style w:type="paragraph" w:styleId="Pta">
    <w:name w:val="footer"/>
    <w:basedOn w:val="Normlny"/>
    <w:link w:val="PtaChar"/>
    <w:uiPriority w:val="99"/>
    <w:unhideWhenUsed/>
    <w:rsid w:val="003459F0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459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1206</Words>
  <Characters>6880</Characters>
  <Application>Microsoft Office Word</Application>
  <DocSecurity>0</DocSecurity>
  <Lines>57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Katka</dc:creator>
  <cp:lastModifiedBy>kata.mihalikova@gmail.com</cp:lastModifiedBy>
  <cp:revision>2</cp:revision>
  <dcterms:created xsi:type="dcterms:W3CDTF">2023-03-29T13:14:00Z</dcterms:created>
  <dcterms:modified xsi:type="dcterms:W3CDTF">2023-03-29T13:14:00Z</dcterms:modified>
</cp:coreProperties>
</file>