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87364" w:rsidRDefault="00270653">
      <w:pPr>
        <w:spacing w:after="120"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POZNÁMKY K ÚČTOVNEJ ZÁVIERKE 20</w:t>
      </w:r>
      <w:r w:rsidR="006C0C6B">
        <w:rPr>
          <w:rFonts w:ascii="Calibri" w:eastAsia="Calibri" w:hAnsi="Calibri" w:cs="Calibri"/>
          <w:b/>
          <w:sz w:val="24"/>
          <w:szCs w:val="24"/>
        </w:rPr>
        <w:t>2</w:t>
      </w:r>
      <w:r w:rsidR="000056E9">
        <w:rPr>
          <w:rFonts w:ascii="Calibri" w:eastAsia="Calibri" w:hAnsi="Calibri" w:cs="Calibri"/>
          <w:b/>
          <w:sz w:val="24"/>
          <w:szCs w:val="24"/>
        </w:rPr>
        <w:t>2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 xml:space="preserve">pre </w:t>
      </w:r>
      <w:r w:rsidR="006A7AB8">
        <w:rPr>
          <w:rFonts w:ascii="Calibri" w:eastAsia="Calibri" w:hAnsi="Calibri" w:cs="Calibri"/>
          <w:b/>
          <w:sz w:val="24"/>
          <w:szCs w:val="24"/>
        </w:rPr>
        <w:t>mikro</w:t>
      </w:r>
      <w:r>
        <w:rPr>
          <w:rFonts w:ascii="Calibri" w:eastAsia="Calibri" w:hAnsi="Calibri" w:cs="Calibri"/>
          <w:b/>
          <w:sz w:val="24"/>
          <w:szCs w:val="24"/>
        </w:rPr>
        <w:t xml:space="preserve"> účtovné jednotky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 – VŠEOBECNÉ INFORMÁCIE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1) Základné informácie o účtovnej jednotke:</w:t>
      </w:r>
    </w:p>
    <w:p w:rsidR="00B87364" w:rsidRDefault="00B87364">
      <w:pPr>
        <w:spacing w:line="240" w:lineRule="auto"/>
      </w:pPr>
    </w:p>
    <w:tbl>
      <w:tblPr>
        <w:tblStyle w:val="a"/>
        <w:tblW w:w="97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835"/>
        <w:gridCol w:w="6879"/>
      </w:tblGrid>
      <w:tr w:rsidR="00B87364">
        <w:trPr>
          <w:trHeight w:val="3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Obchodné meno: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STOMA PRAKTIK, s.r.o.</w:t>
            </w:r>
          </w:p>
        </w:tc>
      </w:tr>
      <w:tr w:rsidR="00B87364">
        <w:trPr>
          <w:trHeight w:val="3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Sídlo: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 01 Čadca, ul. SNP 739/10</w:t>
            </w:r>
          </w:p>
        </w:tc>
      </w:tr>
      <w:tr w:rsidR="00B87364">
        <w:trPr>
          <w:trHeight w:val="1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Právna forma: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 s ručením obmedzeným</w:t>
            </w:r>
          </w:p>
        </w:tc>
      </w:tr>
      <w:tr w:rsidR="00B87364">
        <w:trPr>
          <w:trHeight w:val="2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Dátum vzniku: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Zápis do obchodného registra: 01.01.2007</w:t>
            </w:r>
          </w:p>
        </w:tc>
      </w:tr>
      <w:tr w:rsidR="00B87364">
        <w:trPr>
          <w:trHeight w:val="26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ind w:right="1027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Hlavný predmet podnikania: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B87364">
            <w:pPr>
              <w:spacing w:line="240" w:lineRule="auto"/>
              <w:jc w:val="both"/>
            </w:pPr>
          </w:p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Zubná lekárska prax</w:t>
            </w:r>
          </w:p>
        </w:tc>
      </w:tr>
      <w:tr w:rsidR="00B87364">
        <w:trPr>
          <w:trHeight w:val="5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Subjekt verejného záujmu: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</w:t>
            </w:r>
            <w:r w:rsidR="00752F7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STOMA PRAKTIK,</w:t>
            </w:r>
            <w:r w:rsidR="006A7AB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s.r.o. nie je subjektom verejného záujmu (§ 2/14 ZoU).</w:t>
            </w:r>
          </w:p>
        </w:tc>
      </w:tr>
      <w:tr w:rsidR="00B87364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Účtovné obdobie: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7364" w:rsidRDefault="00270653" w:rsidP="000056E9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Kalendárny rok 20</w:t>
            </w:r>
            <w:r w:rsidR="006C0C6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="000056E9"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UJ bola v účtovnom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0056E9"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 xml:space="preserve"> – </w:t>
      </w:r>
      <w:r w:rsidR="006A7AB8">
        <w:rPr>
          <w:rFonts w:ascii="Calibri" w:eastAsia="Calibri" w:hAnsi="Calibri" w:cs="Calibri"/>
          <w:sz w:val="24"/>
          <w:szCs w:val="24"/>
        </w:rPr>
        <w:t>mikro</w:t>
      </w:r>
      <w:r>
        <w:rPr>
          <w:rFonts w:ascii="Calibri" w:eastAsia="Calibri" w:hAnsi="Calibri" w:cs="Calibri"/>
          <w:sz w:val="24"/>
          <w:szCs w:val="24"/>
        </w:rPr>
        <w:t xml:space="preserve"> účtovná jednotka, preto zostavuje účtovnú závierku podľa metodiky pre túto veľkostnú skupinu (Opatrenie č.MF/23378/2014-74).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</w:pPr>
    </w:p>
    <w:p w:rsidR="006A7AB8" w:rsidRDefault="00270653" w:rsidP="006A7AB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2) Dátum schválenia účtovnej závierky za bezprostredne predchádzajúce účtovné obdobie príslušným orgánom účtovnej jednotky:</w:t>
      </w:r>
      <w:r w:rsidR="00421F73">
        <w:rPr>
          <w:rFonts w:ascii="Calibri" w:eastAsia="Calibri" w:hAnsi="Calibri" w:cs="Calibri"/>
          <w:sz w:val="24"/>
          <w:szCs w:val="24"/>
        </w:rPr>
        <w:t xml:space="preserve"> </w:t>
      </w:r>
      <w:r w:rsidR="00FB12BF">
        <w:rPr>
          <w:rFonts w:ascii="Calibri" w:eastAsia="Calibri" w:hAnsi="Calibri" w:cs="Calibri"/>
          <w:sz w:val="24"/>
          <w:szCs w:val="24"/>
        </w:rPr>
        <w:t>30</w:t>
      </w:r>
      <w:r w:rsidR="00421F73">
        <w:rPr>
          <w:rFonts w:ascii="Calibri" w:eastAsia="Calibri" w:hAnsi="Calibri" w:cs="Calibri"/>
          <w:sz w:val="24"/>
          <w:szCs w:val="24"/>
        </w:rPr>
        <w:t>.0</w:t>
      </w:r>
      <w:r w:rsidR="00FB12BF">
        <w:rPr>
          <w:rFonts w:ascii="Calibri" w:eastAsia="Calibri" w:hAnsi="Calibri" w:cs="Calibri"/>
          <w:sz w:val="24"/>
          <w:szCs w:val="24"/>
        </w:rPr>
        <w:t>3</w:t>
      </w:r>
      <w:r w:rsidR="00421F73">
        <w:rPr>
          <w:rFonts w:ascii="Calibri" w:eastAsia="Calibri" w:hAnsi="Calibri" w:cs="Calibri"/>
          <w:sz w:val="24"/>
          <w:szCs w:val="24"/>
        </w:rPr>
        <w:t>.20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0056E9">
        <w:rPr>
          <w:rFonts w:ascii="Calibri" w:eastAsia="Calibri" w:hAnsi="Calibri" w:cs="Calibri"/>
          <w:sz w:val="24"/>
          <w:szCs w:val="24"/>
        </w:rPr>
        <w:t>2</w:t>
      </w:r>
    </w:p>
    <w:p w:rsidR="00B87364" w:rsidRDefault="00270653" w:rsidP="006A7AB8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widowControl w:val="0"/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3) Právny dôvod na zostavenie účtovnej závierky: Účtovná závierka Spoločnosti k 31.12.20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FB12BF"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 xml:space="preserve"> je zostavená ako riadna účtovná závierka podľa §17 ods. 6 Zákona č. 431/2002 Z.z. o účtovníctve za účtovné obdobie od 01. januára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0056E9"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 xml:space="preserve"> do 31. decembra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0056E9"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4) ÚJ nie je v skupine účtovných jednotiek</w:t>
      </w: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Priemerný prepočítaný počet zamestnancov účtovnej jednotky:</w:t>
      </w:r>
    </w:p>
    <w:tbl>
      <w:tblPr>
        <w:tblStyle w:val="a0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67"/>
      </w:tblGrid>
      <w:tr w:rsidR="00B87364">
        <w:trPr>
          <w:trHeight w:val="520"/>
        </w:trPr>
        <w:tc>
          <w:tcPr>
            <w:tcW w:w="4857" w:type="dxa"/>
            <w:vAlign w:val="center"/>
          </w:tcPr>
          <w:p w:rsidR="00B87364" w:rsidRDefault="00270653">
            <w:pPr>
              <w:spacing w:line="240" w:lineRule="auto"/>
              <w:ind w:right="459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252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7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160"/>
        </w:trPr>
        <w:tc>
          <w:tcPr>
            <w:tcW w:w="4857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Priemerný prepočítaný počet počas účtovného obdobia</w:t>
            </w:r>
          </w:p>
        </w:tc>
        <w:tc>
          <w:tcPr>
            <w:tcW w:w="2523" w:type="dxa"/>
          </w:tcPr>
          <w:p w:rsidR="00B87364" w:rsidRDefault="002C3272" w:rsidP="002C3272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2367" w:type="dxa"/>
          </w:tcPr>
          <w:p w:rsidR="00B87364" w:rsidRDefault="00521956" w:rsidP="00521956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</w:tr>
    </w:tbl>
    <w:p w:rsidR="00B87364" w:rsidRDefault="00B87364">
      <w:pPr>
        <w:spacing w:line="240" w:lineRule="auto"/>
        <w:ind w:left="928"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 – INFORMÁCIE O ORGÁNOCH SPOLOČNOSTI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b/>
          <w:sz w:val="24"/>
          <w:szCs w:val="24"/>
        </w:rPr>
        <w:t>Informácie o orgánoch účtovnej jednotky</w:t>
      </w:r>
      <w:r>
        <w:rPr>
          <w:rFonts w:ascii="Calibri" w:eastAsia="Calibri" w:hAnsi="Calibri" w:cs="Calibri"/>
          <w:sz w:val="24"/>
          <w:szCs w:val="24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Style w:val="a1"/>
        <w:tblW w:w="98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9"/>
        <w:gridCol w:w="2488"/>
        <w:gridCol w:w="2360"/>
      </w:tblGrid>
      <w:tr w:rsidR="00B87364">
        <w:trPr>
          <w:trHeight w:val="8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Orgány účtovnej jednotky</w:t>
            </w:r>
          </w:p>
        </w:tc>
        <w:tc>
          <w:tcPr>
            <w:tcW w:w="2488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Štatutárny orgán/Spoločník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MUDr.Bartschová Emília</w:t>
            </w:r>
          </w:p>
        </w:tc>
        <w:tc>
          <w:tcPr>
            <w:tcW w:w="2360" w:type="dxa"/>
            <w:vAlign w:val="center"/>
          </w:tcPr>
          <w:p w:rsidR="00B87364" w:rsidRDefault="000F7B2F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</w:t>
            </w:r>
            <w:r w:rsidR="00270653">
              <w:rPr>
                <w:rFonts w:ascii="Calibri" w:eastAsia="Calibri" w:hAnsi="Calibri" w:cs="Calibri"/>
                <w:sz w:val="24"/>
                <w:szCs w:val="24"/>
              </w:rPr>
              <w:t>Bartschová Emília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3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t>MUDr.Bartsch Pavol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t>MUDr.Bartsch Pavol</w:t>
            </w:r>
          </w:p>
        </w:tc>
      </w:tr>
      <w:tr w:rsidR="00B87364">
        <w:trPr>
          <w:trHeight w:val="1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Spoločník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B87364">
            <w:pPr>
              <w:spacing w:line="240" w:lineRule="auto"/>
              <w:ind w:left="720"/>
            </w:pP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</w:tbl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14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III – INFORMÁCIE O PRIJATÝCH POSTUPOCH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1) Účtovná závierka je zostavená za splnenia predpokladu, že ÚJ bude nepretržite pokračovať vo svojej činnosti minimálne 12 mesiacov po závierkovom dni v zmysle § 7 ods. 4 zákona o účtovníctve.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2) Účtovné metódy vychádzajúce z interných smerníc spoločnosti a všeobecné účtovné zásady boli účtovnou jednotkou konzistentne aplikované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3) ÚJ neeviduje žiadne transakcie, ktoré sa neuvádzajú v súvahe.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4) Spôsob a určenie oceňovania majetku a záväzkov (vrátane rozhodujúcich odhadov):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a) Spôsob oceňovania majetku a záväzkov (§ 25 ZoU):</w:t>
      </w:r>
    </w:p>
    <w:p w:rsidR="00B87364" w:rsidRDefault="00B87364">
      <w:pPr>
        <w:widowControl w:val="0"/>
        <w:tabs>
          <w:tab w:val="left" w:pos="808"/>
        </w:tabs>
        <w:spacing w:line="240" w:lineRule="auto"/>
        <w:jc w:val="both"/>
      </w:pPr>
    </w:p>
    <w:tbl>
      <w:tblPr>
        <w:tblStyle w:val="a2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00"/>
      </w:tblGrid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Spôsob oceňovania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externe kúpený: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kúpou: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vytvorené vlastnou činnosťou: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Kúpené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Krátkodobý finančný majetok: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Deriváty: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18.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Majetok a záväzky zabezpečené derivátmi: 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19.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Prenajatý majetok a majetok obstaraný na základe zmluvy o kúpe prenajatej veci: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Splatná daň z príjmov a odložená daň z príjmov: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b) Trvalé zníženie hodnoty majetku nebolo účtované.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c) Záväzky účtovná jednotka ocenila menovitou hodnotou záväzkov.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d) Účtovná jednotka nepoužila dobrovoľné oceňovanie obchodných podielov metódou vlastného imania (§ 27/9 ZoU).</w:t>
      </w:r>
    </w:p>
    <w:p w:rsidR="00B87364" w:rsidRDefault="00B87364">
      <w:pPr>
        <w:keepNext/>
        <w:tabs>
          <w:tab w:val="left" w:pos="1005"/>
        </w:tabs>
        <w:spacing w:after="120" w:line="240" w:lineRule="auto"/>
        <w:jc w:val="both"/>
      </w:pPr>
    </w:p>
    <w:p w:rsidR="00B87364" w:rsidRDefault="00270653">
      <w:pPr>
        <w:keepNext/>
        <w:tabs>
          <w:tab w:val="left" w:pos="1005"/>
        </w:tabs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f) Tvorba odpisového plánu pre dlhodobý majetok, pričom sa uvádza doba odpisovania, sadzby odpisov a odpisové metódy pre účtovné odpisy:</w:t>
      </w:r>
    </w:p>
    <w:tbl>
      <w:tblPr>
        <w:tblStyle w:val="a3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68"/>
      </w:tblGrid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Dlhodobý hmotný a nehmotný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odpisovaný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číslo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účtu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doba odpisovania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(počet rokov)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odpisová sadzba 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(%)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Software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013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Ostatný DNM 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019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Stavby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021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Počítače s príslušenstvom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Dopravné prostriedky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Ostatné stroje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Ostatný dlhodobý hmotný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</w:tbl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after="120"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Komentár k odpisovému plánu: 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UJ používa účtovné odpisy nezávisle na daňových odpisoch.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používa rovnomerné odpisovanie dlhodobého hmotného majetku a dlhodobého nehmotného majetku. Podrobný účtovný odpisový plán po položkách sa vedie v podsystéme Majetok (taktiež daňové odpisy podľa zákona o dani z príjmov).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odpisuje jednotlivé veci alebo relevantné súbory hnuteľných vecí (napr. počítačová sieť, nábytková zostava). UJ nepoužíva komponentné odpisovanie (odpisovanie častí majetku - komponentov).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nepoužila jednorazový odpis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dlhodobého majetku z dôvodu jednorazového trvalého zníženia hodnoty majetku (§ 21/5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nehmotného majetku - položky pod 2 400 eur jednotkovej ceny so životnosťou nad jeden rok (§ 13/2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hmotného majetku - položky pod 1 700 eur jednotkovej ceny so životnosťou nad jeden rok (§ 13/6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dobrovoľné účtovanie podlimitného technického zhodnotenia do odpisovaného dlhodobého majetku – technické zhodnotenie pod 1 700 eur za účtovné obdobie (§ 21/3 PU; § 29/2 ZDP).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hanging="36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dobrovoľnú kapitalizáciu úrokov do obstarávacej ceny odpisovaného dlhodobého hmotného majetku alebo dlhodobého nehmotného majetku (§ 34/1 PU; § 35/2/h PU).</w:t>
      </w:r>
    </w:p>
    <w:p w:rsidR="00B87364" w:rsidRDefault="00B87364">
      <w:pPr>
        <w:spacing w:after="120" w:line="240" w:lineRule="auto"/>
        <w:jc w:val="both"/>
      </w:pPr>
    </w:p>
    <w:p w:rsidR="00421F73" w:rsidRDefault="00270653" w:rsidP="00421F7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g) </w:t>
      </w:r>
      <w:r w:rsidR="00421F73">
        <w:rPr>
          <w:rFonts w:ascii="Calibri" w:eastAsia="Calibri" w:hAnsi="Calibri" w:cs="Calibri"/>
          <w:sz w:val="24"/>
          <w:szCs w:val="24"/>
        </w:rPr>
        <w:t>ÚJ neboli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0056E9">
        <w:rPr>
          <w:rFonts w:ascii="Calibri" w:eastAsia="Calibri" w:hAnsi="Calibri" w:cs="Calibri"/>
          <w:sz w:val="24"/>
          <w:szCs w:val="24"/>
        </w:rPr>
        <w:t>2</w:t>
      </w:r>
      <w:r w:rsidR="00421F73">
        <w:rPr>
          <w:rFonts w:ascii="Calibri" w:eastAsia="Calibri" w:hAnsi="Calibri" w:cs="Calibri"/>
          <w:sz w:val="24"/>
          <w:szCs w:val="24"/>
        </w:rPr>
        <w:t xml:space="preserve"> poskytnuté žiadne dotácie</w:t>
      </w:r>
    </w:p>
    <w:p w:rsidR="00421F73" w:rsidRDefault="00421F73" w:rsidP="00421F73">
      <w:pPr>
        <w:keepNext/>
        <w:spacing w:after="120" w:line="240" w:lineRule="auto"/>
        <w:jc w:val="both"/>
      </w:pPr>
    </w:p>
    <w:p w:rsidR="00270653" w:rsidRDefault="00270653">
      <w:pPr>
        <w:spacing w:line="240" w:lineRule="auto"/>
      </w:pPr>
    </w:p>
    <w:p w:rsidR="00B87364" w:rsidRDefault="00B87364">
      <w:pPr>
        <w:keepNext/>
        <w:spacing w:after="120" w:line="240" w:lineRule="auto"/>
        <w:jc w:val="both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5) ÚJ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0056E9">
        <w:rPr>
          <w:rFonts w:ascii="Calibri" w:eastAsia="Calibri" w:hAnsi="Calibri" w:cs="Calibri"/>
          <w:sz w:val="24"/>
          <w:szCs w:val="24"/>
        </w:rPr>
        <w:t>2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 xml:space="preserve"> nevykonala žiadne opravy významných chýb.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IV – INFORMÁCIE, KTORÉ VYSVETĽUJÚ A DOPĹŇAJÚ SÚVAHU A VÝKAZ ZISKOV A STRÁT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neeviduje žiadne položky nehmotného majetku.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položky významných derivátov, majetku a záväzkoch zabezpečených derivátmi.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3a) ÚJ neeviduje žiadne položky zabezpečených záväzkov so zostatkovou dobou splatnosti dlhšou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ako 5 rokov:  </w:t>
      </w:r>
    </w:p>
    <w:p w:rsidR="00B87364" w:rsidRDefault="00B87364">
      <w:pPr>
        <w:spacing w:after="120" w:line="240" w:lineRule="auto"/>
        <w:ind w:right="-141"/>
        <w:jc w:val="both"/>
      </w:pPr>
    </w:p>
    <w:tbl>
      <w:tblPr>
        <w:tblStyle w:val="a4"/>
        <w:tblW w:w="97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76"/>
      </w:tblGrid>
      <w:tr w:rsidR="00B87364">
        <w:trPr>
          <w:trHeight w:val="68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Názov položky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0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 so zostatkovou dobou splatnosti nad 5 rokov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:rsidR="00B87364" w:rsidRDefault="00B87364">
      <w:pPr>
        <w:spacing w:before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3b) ÚJ neeviduje žiadne položky zabezpečených záväzkov.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4) ÚJ neeviduje žiadne vlastné akcie.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ÚJ neeviduje žiadne položky nákladov alebo výnosov, ktoré majú výnimočný rozsah alebo výskyt.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 – INFORMÁCIE O INÝCH AKTÍVACH A INÝCH PASÍVACH</w:t>
      </w:r>
    </w:p>
    <w:p w:rsidR="00B87364" w:rsidRDefault="00B87364">
      <w:pPr>
        <w:spacing w:after="120" w:line="240" w:lineRule="auto"/>
        <w:ind w:right="-471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1a) ÚJ neeviduje žiadne položky podmieneného majetku.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1b) ÚJ neeviduje žiadne položky podmienených záväzkov.</w:t>
      </w:r>
    </w:p>
    <w:p w:rsidR="00B87364" w:rsidRDefault="00B87364">
      <w:pPr>
        <w:spacing w:after="120"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ostatné finančné povinnosti, ktoré a nevykazujú v účtovných výkazoch.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3 V účtovníctve ÚJ sa nenachádzajú žiadne položky evidované na podsúvahových účtoch.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 – UDALOSTI, KTORÉ NASTALI PO ZÁVIERKOVOM DNI</w:t>
      </w: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(Následné udalosti)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ÚJ neeviduje žiadne udalosti, ktoré nastali po závierkovom dni.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VII – OSTATNÉ INFORMÁCIE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nemá žiadne právo poskytovať služby vo verejnom záujme.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nemá žiadnu priemyselnú výrobu. (§ 23d/6 ZoU)</w:t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3) ÚJ nemá žiadne finančné vzťahy s orgánmi verejnej moci. (§ 23d/6 ZoU)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B87364">
      <w:pPr>
        <w:spacing w:after="120" w:line="240" w:lineRule="auto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sectPr w:rsidR="00B87364" w:rsidSect="00C80E22">
      <w:headerReference w:type="default" r:id="rId7"/>
      <w:footerReference w:type="default" r:id="rId8"/>
      <w:pgSz w:w="11907" w:h="16840"/>
      <w:pgMar w:top="1417" w:right="992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A1A" w:rsidRDefault="005F6A1A">
      <w:pPr>
        <w:spacing w:line="240" w:lineRule="auto"/>
      </w:pPr>
      <w:r>
        <w:separator/>
      </w:r>
    </w:p>
  </w:endnote>
  <w:endnote w:type="continuationSeparator" w:id="0">
    <w:p w:rsidR="005F6A1A" w:rsidRDefault="005F6A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C80E22">
    <w:pPr>
      <w:tabs>
        <w:tab w:val="center" w:pos="4536"/>
        <w:tab w:val="right" w:pos="9072"/>
      </w:tabs>
      <w:spacing w:line="240" w:lineRule="auto"/>
      <w:jc w:val="right"/>
    </w:pPr>
    <w:r>
      <w:fldChar w:fldCharType="begin"/>
    </w:r>
    <w:r w:rsidR="00270653">
      <w:instrText>PAGE</w:instrText>
    </w:r>
    <w:r>
      <w:fldChar w:fldCharType="separate"/>
    </w:r>
    <w:r w:rsidR="000056E9">
      <w:rPr>
        <w:noProof/>
      </w:rPr>
      <w:t>1</w:t>
    </w:r>
    <w:r>
      <w:fldChar w:fldCharType="end"/>
    </w:r>
  </w:p>
  <w:p w:rsidR="00B87364" w:rsidRDefault="00B87364">
    <w:pPr>
      <w:tabs>
        <w:tab w:val="center" w:pos="4536"/>
        <w:tab w:val="right" w:pos="9072"/>
      </w:tabs>
      <w:spacing w:after="567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A1A" w:rsidRDefault="005F6A1A">
      <w:pPr>
        <w:spacing w:line="240" w:lineRule="auto"/>
      </w:pPr>
      <w:r>
        <w:separator/>
      </w:r>
    </w:p>
  </w:footnote>
  <w:footnote w:type="continuationSeparator" w:id="0">
    <w:p w:rsidR="005F6A1A" w:rsidRDefault="005F6A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270653">
    <w:pPr>
      <w:widowControl w:val="0"/>
      <w:tabs>
        <w:tab w:val="left" w:pos="2990"/>
        <w:tab w:val="left" w:pos="6348"/>
      </w:tabs>
      <w:spacing w:before="567" w:line="240" w:lineRule="auto"/>
      <w:ind w:left="-397"/>
      <w:jc w:val="center"/>
    </w:pPr>
    <w:r>
      <w:t xml:space="preserve"> Poznámky Úč POD 3 – 01          </w:t>
    </w:r>
    <w:r>
      <w:rPr>
        <w:color w:val="707070"/>
        <w:sz w:val="18"/>
        <w:szCs w:val="18"/>
        <w:highlight w:val="white"/>
      </w:rPr>
      <w:tab/>
    </w:r>
    <w:r>
      <w:t xml:space="preserve">                 IČO: </w:t>
    </w:r>
    <w:r w:rsidR="003459F0">
      <w:t>36</w:t>
    </w:r>
    <w:r>
      <w:t xml:space="preserve">689564         DIČ: 2022276355  </w:t>
    </w:r>
  </w:p>
  <w:p w:rsidR="00B87364" w:rsidRDefault="00B87364">
    <w:pPr>
      <w:tabs>
        <w:tab w:val="center" w:pos="4703"/>
        <w:tab w:val="right" w:pos="9406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C91"/>
    <w:multiLevelType w:val="multilevel"/>
    <w:tmpl w:val="1EECCF62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286D243E"/>
    <w:multiLevelType w:val="multilevel"/>
    <w:tmpl w:val="5072A10A"/>
    <w:lvl w:ilvl="0">
      <w:start w:val="6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CAE6D9F"/>
    <w:multiLevelType w:val="multilevel"/>
    <w:tmpl w:val="6D68A1C2"/>
    <w:lvl w:ilvl="0">
      <w:start w:val="1"/>
      <w:numFmt w:val="bullet"/>
      <w:lvlText w:val="➢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64"/>
    <w:rsid w:val="000056E9"/>
    <w:rsid w:val="000F7B2F"/>
    <w:rsid w:val="001044E0"/>
    <w:rsid w:val="00270653"/>
    <w:rsid w:val="002863BB"/>
    <w:rsid w:val="002C3272"/>
    <w:rsid w:val="003459F0"/>
    <w:rsid w:val="0037362E"/>
    <w:rsid w:val="00421F73"/>
    <w:rsid w:val="004C3B25"/>
    <w:rsid w:val="00521956"/>
    <w:rsid w:val="005F6A1A"/>
    <w:rsid w:val="00607814"/>
    <w:rsid w:val="00690DEC"/>
    <w:rsid w:val="006A7AB8"/>
    <w:rsid w:val="006C0C6B"/>
    <w:rsid w:val="00752F78"/>
    <w:rsid w:val="00955995"/>
    <w:rsid w:val="00B55F74"/>
    <w:rsid w:val="00B87364"/>
    <w:rsid w:val="00C80E22"/>
    <w:rsid w:val="00EB41F8"/>
    <w:rsid w:val="00EC2695"/>
    <w:rsid w:val="00FB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1E05"/>
  <w15:docId w15:val="{9406B103-E309-4150-831C-038327CC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9F0"/>
  </w:style>
  <w:style w:type="paragraph" w:styleId="Pta">
    <w:name w:val="footer"/>
    <w:basedOn w:val="Normlny"/>
    <w:link w:val="Pt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Katka</dc:creator>
  <cp:lastModifiedBy>kata.mihalikova@gmail.com</cp:lastModifiedBy>
  <cp:revision>2</cp:revision>
  <dcterms:created xsi:type="dcterms:W3CDTF">2023-03-29T16:47:00Z</dcterms:created>
  <dcterms:modified xsi:type="dcterms:W3CDTF">2023-03-29T16:47:00Z</dcterms:modified>
</cp:coreProperties>
</file>