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6DBB" w:rsidRPr="00006DBB" w:rsidRDefault="00006DBB" w:rsidP="00006DBB">
      <w:pPr>
        <w:spacing w:after="0" w:line="240" w:lineRule="auto"/>
        <w:rPr>
          <w:rFonts w:ascii="Arial Narrow" w:eastAsia="Times New Roman" w:hAnsi="Arial Narrow" w:cs="Times New Roman"/>
          <w:szCs w:val="36"/>
        </w:rPr>
      </w:pPr>
    </w:p>
    <w:p w:rsidR="00006DBB" w:rsidRPr="00006DBB" w:rsidRDefault="00006DBB" w:rsidP="00006DBB">
      <w:pPr>
        <w:spacing w:after="0" w:line="240" w:lineRule="auto"/>
        <w:rPr>
          <w:rFonts w:ascii="Arial Narrow" w:eastAsia="Times New Roman" w:hAnsi="Arial Narrow" w:cs="Times New Roman"/>
          <w:szCs w:val="36"/>
        </w:rPr>
      </w:pPr>
      <w:r w:rsidRPr="00006DBB">
        <w:rPr>
          <w:rFonts w:ascii="Arial Narrow" w:eastAsia="Times New Roman" w:hAnsi="Arial Narrow" w:cs="Times New Roman"/>
          <w:szCs w:val="36"/>
        </w:rPr>
        <w:t xml:space="preserve">Čl.I - Všeobecné informácie </w:t>
      </w:r>
    </w:p>
    <w:p w:rsidR="00006DBB" w:rsidRPr="00006DBB" w:rsidRDefault="00006DBB" w:rsidP="00006DBB">
      <w:pPr>
        <w:keepNext/>
        <w:numPr>
          <w:ilvl w:val="0"/>
          <w:numId w:val="1"/>
        </w:numPr>
        <w:spacing w:after="0" w:line="240" w:lineRule="auto"/>
        <w:ind w:left="357" w:hanging="357"/>
        <w:contextualSpacing/>
        <w:jc w:val="both"/>
        <w:outlineLvl w:val="1"/>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006DBB" w:rsidRPr="00006DBB" w:rsidTr="006D3F34">
        <w:trPr>
          <w:trHeight w:val="1327"/>
        </w:trPr>
        <w:tc>
          <w:tcPr>
            <w:tcW w:w="1096" w:type="pct"/>
            <w:vAlign w:val="center"/>
          </w:tcPr>
          <w:p w:rsidR="00006DBB" w:rsidRPr="00006DBB" w:rsidRDefault="00006DBB" w:rsidP="00006DBB">
            <w:pPr>
              <w:spacing w:after="200" w:line="276" w:lineRule="auto"/>
              <w:rPr>
                <w:rFonts w:ascii="Arial Narrow" w:eastAsia="Times New Roman" w:hAnsi="Arial Narrow" w:cs="Arial Narrow"/>
              </w:rPr>
            </w:pPr>
          </w:p>
          <w:p w:rsidR="00006DBB" w:rsidRPr="00006DBB" w:rsidRDefault="00006DBB" w:rsidP="00006DBB">
            <w:pPr>
              <w:spacing w:after="200" w:line="276" w:lineRule="auto"/>
              <w:rPr>
                <w:rFonts w:ascii="Arial Narrow" w:eastAsia="Times New Roman" w:hAnsi="Arial Narrow" w:cs="Arial Narrow"/>
              </w:rPr>
            </w:pPr>
            <w:r w:rsidRPr="00006DBB">
              <w:rPr>
                <w:rFonts w:ascii="Arial Narrow" w:eastAsia="Times New Roman" w:hAnsi="Arial Narrow" w:cs="Arial Narrow"/>
              </w:rPr>
              <w:t>Obchodné meno:</w:t>
            </w:r>
          </w:p>
        </w:tc>
        <w:tc>
          <w:tcPr>
            <w:tcW w:w="3904" w:type="pct"/>
            <w:vAlign w:val="center"/>
          </w:tcPr>
          <w:p w:rsidR="00006DBB" w:rsidRPr="00006DBB" w:rsidRDefault="00006DBB" w:rsidP="00006DBB">
            <w:pPr>
              <w:spacing w:after="200" w:line="276" w:lineRule="auto"/>
              <w:rPr>
                <w:rFonts w:ascii="Arial Narrow" w:eastAsia="Times New Roman" w:hAnsi="Arial Narrow" w:cs="Arial Narrow"/>
              </w:rPr>
            </w:pPr>
            <w:r w:rsidRPr="00006DBB">
              <w:rPr>
                <w:rFonts w:ascii="Arial Narrow" w:eastAsia="Times New Roman" w:hAnsi="Arial Narrow" w:cs="Arial Narrow"/>
              </w:rPr>
              <w:t> </w:t>
            </w:r>
          </w:p>
          <w:p w:rsidR="00006DBB" w:rsidRPr="00006DBB" w:rsidRDefault="00006DBB" w:rsidP="00006DBB">
            <w:pPr>
              <w:spacing w:after="200" w:line="276" w:lineRule="auto"/>
              <w:rPr>
                <w:rFonts w:ascii="Arial Narrow" w:eastAsia="Times New Roman" w:hAnsi="Arial Narrow" w:cs="Arial Narrow"/>
              </w:rPr>
            </w:pPr>
            <w:r w:rsidRPr="00006DBB">
              <w:rPr>
                <w:rFonts w:ascii="Arial Narrow" w:eastAsia="Times New Roman" w:hAnsi="Arial Narrow" w:cs="Arial Narrow"/>
              </w:rPr>
              <w:t>SOLA Switzerland EU, s.r.o.</w:t>
            </w:r>
          </w:p>
        </w:tc>
      </w:tr>
      <w:tr w:rsidR="00006DBB" w:rsidRPr="00006DBB" w:rsidTr="006D3F34">
        <w:trPr>
          <w:trHeight w:val="340"/>
        </w:trPr>
        <w:tc>
          <w:tcPr>
            <w:tcW w:w="1096" w:type="pct"/>
            <w:vAlign w:val="center"/>
          </w:tcPr>
          <w:p w:rsidR="00006DBB" w:rsidRPr="00006DBB" w:rsidRDefault="00006DBB" w:rsidP="00006DBB">
            <w:pPr>
              <w:spacing w:after="0" w:line="276" w:lineRule="auto"/>
              <w:rPr>
                <w:rFonts w:ascii="Arial Narrow" w:eastAsia="Times New Roman" w:hAnsi="Arial Narrow" w:cs="Arial Narrow"/>
              </w:rPr>
            </w:pPr>
            <w:r w:rsidRPr="00006DBB">
              <w:rPr>
                <w:rFonts w:ascii="Arial Narrow" w:eastAsia="Times New Roman" w:hAnsi="Arial Narrow" w:cs="Arial Narrow"/>
              </w:rPr>
              <w:t>Sídlo:</w:t>
            </w:r>
          </w:p>
        </w:tc>
        <w:tc>
          <w:tcPr>
            <w:tcW w:w="3904" w:type="pct"/>
            <w:vAlign w:val="center"/>
          </w:tcPr>
          <w:p w:rsidR="00006DBB" w:rsidRPr="00006DBB" w:rsidRDefault="00006DBB" w:rsidP="00006DBB">
            <w:pPr>
              <w:spacing w:after="0" w:line="276" w:lineRule="auto"/>
              <w:rPr>
                <w:rFonts w:ascii="Arial Narrow" w:eastAsia="Times New Roman" w:hAnsi="Arial Narrow" w:cs="Arial Narrow"/>
              </w:rPr>
            </w:pPr>
            <w:r w:rsidRPr="00006DBB">
              <w:rPr>
                <w:rFonts w:ascii="Arial Narrow" w:eastAsia="Times New Roman" w:hAnsi="Arial Narrow" w:cs="Arial Narrow"/>
              </w:rPr>
              <w:t>Novozámocká 1065, 951 12 Ivanka pri Nitre</w:t>
            </w:r>
          </w:p>
        </w:tc>
      </w:tr>
    </w:tbl>
    <w:p w:rsidR="00006DBB" w:rsidRPr="00006DBB" w:rsidRDefault="00006DBB" w:rsidP="00006DBB">
      <w:pPr>
        <w:spacing w:after="200" w:line="276" w:lineRule="auto"/>
        <w:jc w:val="both"/>
        <w:rPr>
          <w:rFonts w:ascii="Arial Narrow" w:eastAsia="Times New Roman" w:hAnsi="Arial Narrow" w:cs="Times New Roman"/>
          <w:bCs/>
        </w:rPr>
      </w:pPr>
    </w:p>
    <w:p w:rsidR="00006DBB" w:rsidRPr="00006DBB" w:rsidRDefault="00006DBB" w:rsidP="00006DBB">
      <w:pPr>
        <w:spacing w:after="200" w:line="276" w:lineRule="auto"/>
        <w:jc w:val="both"/>
        <w:rPr>
          <w:rFonts w:ascii="Arial Narrow" w:eastAsia="Times New Roman" w:hAnsi="Arial Narrow" w:cs="Times New Roman"/>
          <w:bCs/>
          <w:u w:val="single"/>
        </w:rPr>
      </w:pPr>
      <w:r w:rsidRPr="00006DBB">
        <w:rPr>
          <w:rFonts w:ascii="Arial Narrow" w:eastAsia="Times New Roman" w:hAnsi="Arial Narrow" w:cs="Times New Roman"/>
          <w:bCs/>
          <w:u w:val="single"/>
        </w:rPr>
        <w:t>Opis vykonávanej  činnosti účtovnej jednotky:</w:t>
      </w:r>
    </w:p>
    <w:p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Kúpa tovaru na účely jeho predaja konečnému spotrebiteľovi (maloobchod) alebo iným prevádzkovateľom živnosti (veľkoobchod)</w:t>
      </w:r>
    </w:p>
    <w:p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Opracovanie kovu jednoduchým spôsobom</w:t>
      </w:r>
    </w:p>
    <w:p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Reklamné a marketingové služby</w:t>
      </w:r>
    </w:p>
    <w:p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Administratívne služby</w:t>
      </w:r>
    </w:p>
    <w:p w:rsidR="00006DBB" w:rsidRPr="00006DBB" w:rsidRDefault="00006DBB" w:rsidP="00006DBB">
      <w:pPr>
        <w:keepNext/>
        <w:numPr>
          <w:ilvl w:val="0"/>
          <w:numId w:val="1"/>
        </w:numPr>
        <w:spacing w:after="0" w:line="240" w:lineRule="auto"/>
        <w:ind w:left="357" w:hanging="357"/>
        <w:contextualSpacing/>
        <w:jc w:val="both"/>
        <w:outlineLvl w:val="1"/>
        <w:rPr>
          <w:rFonts w:ascii="Arial Narrow" w:eastAsia="Times New Roman" w:hAnsi="Arial Narrow" w:cs="Times New Roman"/>
          <w:bCs/>
        </w:rPr>
      </w:pPr>
      <w:r w:rsidRPr="00006DBB">
        <w:rPr>
          <w:rFonts w:ascii="Arial Narrow" w:eastAsia="Times New Roman" w:hAnsi="Arial Narrow" w:cs="Times New Roman"/>
        </w:rPr>
        <w:t xml:space="preserve">Dátum schválenia účtovnej závierky za bezprostredne predchádzajúce účtovné obdobie: </w:t>
      </w:r>
      <w:r w:rsidR="00157076">
        <w:rPr>
          <w:rFonts w:ascii="Arial Narrow" w:eastAsia="Times New Roman" w:hAnsi="Arial Narrow" w:cs="Times New Roman"/>
        </w:rPr>
        <w:t>30.03.2022</w:t>
      </w:r>
    </w:p>
    <w:p w:rsidR="00006DBB" w:rsidRPr="00006DBB" w:rsidRDefault="00006DBB" w:rsidP="00006DBB">
      <w:pPr>
        <w:keepNext/>
        <w:spacing w:after="0" w:line="240" w:lineRule="auto"/>
        <w:ind w:left="357"/>
        <w:contextualSpacing/>
        <w:jc w:val="both"/>
        <w:outlineLvl w:val="1"/>
        <w:rPr>
          <w:rFonts w:ascii="Arial Narrow" w:eastAsia="Times New Roman" w:hAnsi="Arial Narrow" w:cs="Times New Roman"/>
          <w:bCs/>
        </w:rPr>
      </w:pPr>
    </w:p>
    <w:p w:rsidR="00006DBB" w:rsidRPr="00006DBB" w:rsidRDefault="00006DBB" w:rsidP="00006DBB">
      <w:pPr>
        <w:keepNext/>
        <w:numPr>
          <w:ilvl w:val="0"/>
          <w:numId w:val="1"/>
        </w:numPr>
        <w:spacing w:after="0" w:line="240" w:lineRule="auto"/>
        <w:contextualSpacing/>
        <w:jc w:val="both"/>
        <w:outlineLvl w:val="1"/>
        <w:rPr>
          <w:rFonts w:ascii="Arial Narrow" w:eastAsia="Times New Roman" w:hAnsi="Arial Narrow" w:cs="Times New Roman"/>
          <w:bCs/>
        </w:rPr>
      </w:pPr>
      <w:r w:rsidRPr="00006DBB">
        <w:rPr>
          <w:rFonts w:ascii="Arial Narrow" w:eastAsia="Times New Roman" w:hAnsi="Arial Narrow" w:cs="Times New Roman"/>
          <w:bCs/>
        </w:rPr>
        <w:t>Právny dôvod na zostavenie účtovnej závierky:</w:t>
      </w:r>
    </w:p>
    <w:p w:rsidR="00006DBB" w:rsidRPr="00006DBB" w:rsidRDefault="00006DBB" w:rsidP="00006DBB">
      <w:pPr>
        <w:keepNext/>
        <w:spacing w:after="0" w:line="240" w:lineRule="auto"/>
        <w:contextualSpacing/>
        <w:jc w:val="both"/>
        <w:outlineLvl w:val="1"/>
        <w:rPr>
          <w:rFonts w:ascii="Arial Narrow" w:eastAsia="Times New Roman" w:hAnsi="Arial Narrow" w:cs="Times New Roman"/>
          <w:bCs/>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Účtovná závierka Spoločnosti k 31. decembru 202</w:t>
      </w:r>
      <w:r w:rsidR="00157076">
        <w:rPr>
          <w:rFonts w:ascii="Arial Narrow" w:eastAsia="Times New Roman" w:hAnsi="Arial Narrow" w:cs="Times New Roman"/>
          <w:bCs/>
          <w:lang w:eastAsia="cs-CZ"/>
        </w:rPr>
        <w:t>2</w:t>
      </w:r>
      <w:r w:rsidRPr="00006DBB">
        <w:rPr>
          <w:rFonts w:ascii="Arial Narrow" w:eastAsia="Times New Roman" w:hAnsi="Arial Narrow" w:cs="Times New Roman"/>
          <w:bCs/>
          <w:lang w:eastAsia="cs-CZ"/>
        </w:rPr>
        <w:t xml:space="preserve"> je zostavená ako </w:t>
      </w:r>
      <w:r w:rsidRPr="00006DBB">
        <w:rPr>
          <w:rFonts w:ascii="Arial Narrow" w:eastAsia="Times New Roman" w:hAnsi="Arial Narrow" w:cs="Times New Roman"/>
          <w:b/>
          <w:bCs/>
          <w:lang w:eastAsia="cs-CZ"/>
        </w:rPr>
        <w:t>riadna</w:t>
      </w:r>
      <w:r w:rsidRPr="00006DBB">
        <w:rPr>
          <w:rFonts w:ascii="Arial Narrow" w:eastAsia="Times New Roman" w:hAnsi="Arial Narrow" w:cs="Times New Roman"/>
          <w:bCs/>
          <w:lang w:eastAsia="cs-CZ"/>
        </w:rPr>
        <w:t xml:space="preserve"> účtovná závierka podľa § 17 ods. 6 zákona NR SR č. 431/2002 Z. z. o účtovníctve (ďalej „zákon o účtovníctve“) za účtovné obdobie od 1. januára 20</w:t>
      </w:r>
      <w:r>
        <w:rPr>
          <w:rFonts w:ascii="Arial Narrow" w:eastAsia="Times New Roman" w:hAnsi="Arial Narrow" w:cs="Times New Roman"/>
          <w:bCs/>
          <w:lang w:eastAsia="cs-CZ"/>
        </w:rPr>
        <w:t>2</w:t>
      </w:r>
      <w:r w:rsidR="00157076">
        <w:rPr>
          <w:rFonts w:ascii="Arial Narrow" w:eastAsia="Times New Roman" w:hAnsi="Arial Narrow" w:cs="Times New Roman"/>
          <w:bCs/>
          <w:lang w:eastAsia="cs-CZ"/>
        </w:rPr>
        <w:t>2</w:t>
      </w:r>
      <w:r w:rsidRPr="00006DBB">
        <w:rPr>
          <w:rFonts w:ascii="Arial Narrow" w:eastAsia="Times New Roman" w:hAnsi="Arial Narrow" w:cs="Times New Roman"/>
          <w:bCs/>
          <w:lang w:eastAsia="cs-CZ"/>
        </w:rPr>
        <w:t xml:space="preserve"> do 31. decembra 202</w:t>
      </w:r>
      <w:r w:rsidR="00157076">
        <w:rPr>
          <w:rFonts w:ascii="Arial Narrow" w:eastAsia="Times New Roman" w:hAnsi="Arial Narrow" w:cs="Times New Roman"/>
          <w:bCs/>
          <w:lang w:eastAsia="cs-CZ"/>
        </w:rPr>
        <w:t>2</w:t>
      </w:r>
      <w:r w:rsidRPr="00006DBB">
        <w:rPr>
          <w:rFonts w:ascii="Arial Narrow" w:eastAsia="Times New Roman" w:hAnsi="Arial Narrow" w:cs="Times New Roman"/>
          <w:bCs/>
          <w:lang w:eastAsia="cs-CZ"/>
        </w:rPr>
        <w:t>.</w:t>
      </w:r>
    </w:p>
    <w:p w:rsidR="00006DBB" w:rsidRPr="00006DBB" w:rsidRDefault="00006DBB" w:rsidP="00006DBB">
      <w:pPr>
        <w:spacing w:after="0" w:line="240" w:lineRule="auto"/>
        <w:ind w:hanging="426"/>
        <w:jc w:val="both"/>
        <w:rPr>
          <w:rFonts w:ascii="Arial Narrow" w:eastAsia="Times New Roman" w:hAnsi="Arial Narrow" w:cs="Times New Roman"/>
          <w:bCs/>
          <w:lang w:eastAsia="cs-CZ"/>
        </w:rPr>
      </w:pPr>
    </w:p>
    <w:p w:rsidR="00006DBB" w:rsidRPr="00006DBB" w:rsidRDefault="00006DBB" w:rsidP="00006DBB">
      <w:pPr>
        <w:spacing w:after="0" w:line="240" w:lineRule="auto"/>
        <w:ind w:hanging="426"/>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006DBB" w:rsidRPr="00006DBB" w:rsidRDefault="00006DBB" w:rsidP="00006DBB">
      <w:pPr>
        <w:keepNext/>
        <w:spacing w:after="0" w:line="240" w:lineRule="auto"/>
        <w:ind w:left="360"/>
        <w:contextualSpacing/>
        <w:jc w:val="both"/>
        <w:outlineLvl w:val="1"/>
        <w:rPr>
          <w:rFonts w:ascii="Arial Narrow" w:eastAsia="Times New Roman" w:hAnsi="Arial Narrow" w:cs="Times New Roman"/>
          <w:bCs/>
        </w:rPr>
      </w:pPr>
    </w:p>
    <w:p w:rsidR="00006DBB" w:rsidRPr="00006DBB" w:rsidRDefault="00006DBB" w:rsidP="00006DBB">
      <w:pPr>
        <w:keepNext/>
        <w:spacing w:after="0" w:line="240" w:lineRule="auto"/>
        <w:jc w:val="center"/>
        <w:outlineLvl w:val="1"/>
        <w:rPr>
          <w:rFonts w:ascii="Arial Narrow" w:eastAsia="Times New Roman" w:hAnsi="Arial Narrow" w:cs="Times New Roman"/>
          <w:b/>
          <w:bCs/>
        </w:rPr>
      </w:pPr>
    </w:p>
    <w:p w:rsidR="00006DBB" w:rsidRPr="00006DBB" w:rsidRDefault="00006DBB" w:rsidP="00006DBB">
      <w:pPr>
        <w:keepNext/>
        <w:numPr>
          <w:ilvl w:val="0"/>
          <w:numId w:val="5"/>
        </w:numPr>
        <w:spacing w:after="0" w:line="240" w:lineRule="auto"/>
        <w:ind w:left="284" w:hanging="284"/>
        <w:contextualSpacing/>
        <w:jc w:val="both"/>
        <w:outlineLvl w:val="1"/>
        <w:rPr>
          <w:rFonts w:ascii="Arial Narrow" w:eastAsia="Times New Roman" w:hAnsi="Arial Narrow" w:cs="Times New Roman"/>
          <w:b/>
          <w:bCs/>
        </w:rPr>
      </w:pPr>
      <w:r w:rsidRPr="00006DBB">
        <w:rPr>
          <w:rFonts w:ascii="Arial Narrow" w:eastAsia="Times New Roman" w:hAnsi="Arial Narrow" w:cs="Times New Roman"/>
        </w:rPr>
        <w:t xml:space="preserve"> Údaje o skupine účtovných jednotiek:</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2"/>
        <w:gridCol w:w="567"/>
        <w:gridCol w:w="3971"/>
        <w:gridCol w:w="562"/>
      </w:tblGrid>
      <w:tr w:rsidR="00006DBB" w:rsidRPr="00006DBB" w:rsidTr="006D3F34">
        <w:tc>
          <w:tcPr>
            <w:tcW w:w="3972" w:type="dxa"/>
            <w:tcBorders>
              <w:bottom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Nie je súčasťou konsolidovaného celku</w:t>
            </w:r>
          </w:p>
        </w:tc>
        <w:tc>
          <w:tcPr>
            <w:tcW w:w="567" w:type="dxa"/>
            <w:tcBorders>
              <w:bottom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X</w:t>
            </w:r>
          </w:p>
        </w:tc>
        <w:tc>
          <w:tcPr>
            <w:tcW w:w="3971" w:type="dxa"/>
            <w:tcBorders>
              <w:bottom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            Je súčasťou konsolidovaného celku </w:t>
            </w:r>
          </w:p>
        </w:tc>
        <w:tc>
          <w:tcPr>
            <w:tcW w:w="562" w:type="dxa"/>
            <w:tcBorders>
              <w:bottom w:val="single" w:sz="4" w:space="0" w:color="auto"/>
            </w:tcBorders>
            <w:vAlign w:val="center"/>
          </w:tcPr>
          <w:p w:rsidR="00006DBB" w:rsidRPr="00006DBB" w:rsidRDefault="00006DBB" w:rsidP="00006DBB">
            <w:pPr>
              <w:spacing w:after="0" w:line="276" w:lineRule="auto"/>
              <w:ind w:left="56"/>
              <w:rPr>
                <w:rFonts w:ascii="Arial Narrow" w:eastAsia="Times New Roman" w:hAnsi="Arial Narrow" w:cs="Times New Roman"/>
              </w:rPr>
            </w:pPr>
          </w:p>
        </w:tc>
      </w:tr>
    </w:tbl>
    <w:p w:rsidR="00006DBB" w:rsidRPr="00006DBB" w:rsidRDefault="00006DBB" w:rsidP="00006DBB">
      <w:pPr>
        <w:tabs>
          <w:tab w:val="left" w:pos="851"/>
        </w:tabs>
        <w:spacing w:after="0" w:line="240" w:lineRule="auto"/>
        <w:jc w:val="both"/>
        <w:rPr>
          <w:rFonts w:ascii="Arial Narrow" w:eastAsia="Times New Roman" w:hAnsi="Arial Narrow" w:cs="Times New Roman"/>
        </w:rPr>
      </w:pPr>
    </w:p>
    <w:p w:rsidR="00006DBB" w:rsidRPr="00006DBB" w:rsidRDefault="00006DBB" w:rsidP="00006DBB">
      <w:pPr>
        <w:tabs>
          <w:tab w:val="left" w:pos="851"/>
        </w:tabs>
        <w:spacing w:after="0" w:line="240" w:lineRule="auto"/>
        <w:ind w:left="1077" w:hanging="1077"/>
        <w:jc w:val="both"/>
        <w:rPr>
          <w:rFonts w:ascii="Arial Narrow" w:eastAsia="Times New Roman" w:hAnsi="Arial Narrow" w:cs="Times New Roman"/>
        </w:rPr>
      </w:pPr>
      <w:r w:rsidRPr="00006DBB">
        <w:rPr>
          <w:rFonts w:ascii="Arial Narrow" w:eastAsia="Times New Roman" w:hAnsi="Arial Narrow" w:cs="Times New Roman"/>
        </w:rPr>
        <w:t>(5)</w:t>
      </w:r>
    </w:p>
    <w:tbl>
      <w:tblPr>
        <w:tblW w:w="48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572"/>
        <w:gridCol w:w="1282"/>
      </w:tblGrid>
      <w:tr w:rsidR="00006DBB" w:rsidRPr="00B632CC" w:rsidTr="006D3F34">
        <w:trPr>
          <w:trHeight w:val="340"/>
          <w:jc w:val="center"/>
        </w:trPr>
        <w:tc>
          <w:tcPr>
            <w:tcW w:w="7699" w:type="dxa"/>
            <w:vAlign w:val="center"/>
          </w:tcPr>
          <w:p w:rsidR="00006DBB" w:rsidRPr="00006DBB" w:rsidRDefault="00006DBB" w:rsidP="00006DBB">
            <w:pPr>
              <w:keepNext/>
              <w:spacing w:after="0" w:line="240" w:lineRule="auto"/>
              <w:contextualSpacing/>
              <w:outlineLvl w:val="1"/>
              <w:rPr>
                <w:rFonts w:ascii="Arial Narrow" w:eastAsia="Times New Roman" w:hAnsi="Arial Narrow" w:cs="Times New Roman"/>
              </w:rPr>
            </w:pPr>
            <w:r w:rsidRPr="00006DBB">
              <w:rPr>
                <w:rFonts w:ascii="Arial Narrow" w:eastAsia="Times New Roman" w:hAnsi="Arial Narrow" w:cs="Times New Roman"/>
              </w:rPr>
              <w:t>Priemerný prepočítaný počet zamestnancov  BO</w:t>
            </w:r>
          </w:p>
        </w:tc>
        <w:tc>
          <w:tcPr>
            <w:tcW w:w="1301" w:type="dxa"/>
          </w:tcPr>
          <w:p w:rsidR="00006DBB" w:rsidRPr="00B632CC" w:rsidRDefault="00006DBB" w:rsidP="00006DBB">
            <w:pPr>
              <w:spacing w:after="0" w:line="240" w:lineRule="auto"/>
              <w:ind w:left="720"/>
              <w:contextualSpacing/>
              <w:rPr>
                <w:rFonts w:ascii="Arial Narrow" w:eastAsia="Times New Roman" w:hAnsi="Arial Narrow" w:cs="Times New Roman"/>
              </w:rPr>
            </w:pPr>
            <w:r w:rsidRPr="00B632CC">
              <w:rPr>
                <w:rFonts w:ascii="Arial Narrow" w:eastAsia="Times New Roman" w:hAnsi="Arial Narrow" w:cs="Times New Roman"/>
              </w:rPr>
              <w:t>30</w:t>
            </w:r>
          </w:p>
        </w:tc>
      </w:tr>
      <w:tr w:rsidR="00006DBB" w:rsidRPr="00006DBB" w:rsidTr="006D3F34">
        <w:trPr>
          <w:trHeight w:val="340"/>
          <w:jc w:val="center"/>
        </w:trPr>
        <w:tc>
          <w:tcPr>
            <w:tcW w:w="7699" w:type="dxa"/>
            <w:vAlign w:val="center"/>
          </w:tcPr>
          <w:p w:rsidR="00006DBB" w:rsidRPr="00006DBB" w:rsidRDefault="00006DBB" w:rsidP="00006DBB">
            <w:pPr>
              <w:keepNext/>
              <w:spacing w:after="0" w:line="240" w:lineRule="auto"/>
              <w:contextualSpacing/>
              <w:outlineLvl w:val="1"/>
              <w:rPr>
                <w:rFonts w:ascii="Arial Narrow" w:eastAsia="Times New Roman" w:hAnsi="Arial Narrow" w:cs="Times New Roman"/>
              </w:rPr>
            </w:pPr>
            <w:r w:rsidRPr="00006DBB">
              <w:rPr>
                <w:rFonts w:ascii="Arial Narrow" w:eastAsia="Times New Roman" w:hAnsi="Arial Narrow" w:cs="Times New Roman"/>
              </w:rPr>
              <w:t>Priemerný prepočítaný počet zamestnancov  PO</w:t>
            </w:r>
          </w:p>
        </w:tc>
        <w:tc>
          <w:tcPr>
            <w:tcW w:w="1301" w:type="dxa"/>
          </w:tcPr>
          <w:p w:rsidR="00006DBB" w:rsidRPr="00006DBB" w:rsidRDefault="00157076" w:rsidP="00006DBB">
            <w:pPr>
              <w:spacing w:after="0" w:line="240" w:lineRule="auto"/>
              <w:ind w:left="720"/>
              <w:contextualSpacing/>
              <w:rPr>
                <w:rFonts w:ascii="Arial Narrow" w:eastAsia="Times New Roman" w:hAnsi="Arial Narrow" w:cs="Times New Roman"/>
              </w:rPr>
            </w:pPr>
            <w:r>
              <w:rPr>
                <w:rFonts w:ascii="Arial Narrow" w:eastAsia="Times New Roman" w:hAnsi="Arial Narrow" w:cs="Times New Roman"/>
              </w:rPr>
              <w:t>30</w:t>
            </w:r>
          </w:p>
        </w:tc>
      </w:tr>
    </w:tbl>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ind w:left="705" w:hanging="705"/>
        <w:jc w:val="both"/>
        <w:rPr>
          <w:rFonts w:ascii="Arial Narrow" w:eastAsia="Times New Roman" w:hAnsi="Arial Narrow" w:cs="Times New Roman"/>
          <w:i/>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Čl.II - Informácie o orgánoch spoločnosti</w:t>
      </w:r>
    </w:p>
    <w:p w:rsidR="00006DBB" w:rsidRPr="00006DBB" w:rsidRDefault="00006DBB" w:rsidP="00006DBB">
      <w:pPr>
        <w:spacing w:after="0" w:line="240" w:lineRule="auto"/>
        <w:ind w:left="360" w:right="-468"/>
        <w:jc w:val="both"/>
        <w:rPr>
          <w:rFonts w:ascii="Arial Narrow" w:eastAsia="Times New Roman" w:hAnsi="Arial Narrow" w:cs="Times New Roman"/>
          <w:bCs/>
          <w:i/>
        </w:rPr>
      </w:pPr>
    </w:p>
    <w:p w:rsidR="00006DBB" w:rsidRPr="00006DBB" w:rsidRDefault="00006DBB" w:rsidP="00006DBB">
      <w:pPr>
        <w:spacing w:after="0" w:line="240" w:lineRule="auto"/>
        <w:jc w:val="both"/>
        <w:rPr>
          <w:rFonts w:ascii="Arial Narrow" w:eastAsia="Times New Roman" w:hAnsi="Arial Narrow" w:cs="Times New Roman"/>
          <w:b/>
        </w:rPr>
      </w:pPr>
      <w:r w:rsidRPr="00006DBB">
        <w:rPr>
          <w:rFonts w:ascii="Arial Narrow" w:eastAsia="Times New Roman" w:hAnsi="Arial Narrow" w:cs="Times New Roman"/>
          <w:b/>
        </w:rPr>
        <w:t>Informácie o orgánoch účtovnej jednotky:</w:t>
      </w: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Členom štatutárneho orgánu, ani členom dozorných orgánov  neboli v roku 202</w:t>
      </w:r>
      <w:r>
        <w:rPr>
          <w:rFonts w:ascii="Arial Narrow" w:eastAsia="Times New Roman" w:hAnsi="Arial Narrow" w:cs="Times New Roman"/>
          <w:bCs/>
          <w:lang w:eastAsia="cs-CZ"/>
        </w:rPr>
        <w:t xml:space="preserve">1 </w:t>
      </w:r>
      <w:r w:rsidRPr="00006DBB">
        <w:rPr>
          <w:rFonts w:ascii="Arial Narrow" w:eastAsia="Times New Roman" w:hAnsi="Arial Narrow" w:cs="Times New Roman"/>
          <w:bCs/>
          <w:lang w:eastAsia="cs-CZ"/>
        </w:rPr>
        <w:t>poskytnuté žiadne pôžičky, záruky alebo iné formy zabezpečenia, ani finančné prostriedky alebo iné plnenia na súkromné účely členov, ktoré sa vyúčtovávajú.</w:t>
      </w: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ind w:right="-468"/>
        <w:jc w:val="both"/>
        <w:rPr>
          <w:rFonts w:ascii="Arial Narrow" w:eastAsia="Times New Roman" w:hAnsi="Arial Narrow" w:cs="Times New Roman"/>
          <w:bCs/>
          <w:i/>
        </w:rPr>
      </w:pPr>
    </w:p>
    <w:p w:rsidR="00006DBB" w:rsidRPr="00006DBB" w:rsidRDefault="00006DBB" w:rsidP="00006DBB">
      <w:pPr>
        <w:spacing w:after="0" w:line="240" w:lineRule="auto"/>
        <w:ind w:left="360" w:right="-468"/>
        <w:jc w:val="both"/>
        <w:rPr>
          <w:rFonts w:ascii="Arial Narrow" w:eastAsia="Times New Roman" w:hAnsi="Arial Narrow" w:cs="Times New Roman"/>
          <w:bCs/>
          <w:i/>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Čl.III - Informácie o prijatých postupoch</w:t>
      </w:r>
    </w:p>
    <w:p w:rsidR="00006DBB" w:rsidRPr="00006DBB" w:rsidRDefault="00006DBB" w:rsidP="00006DBB">
      <w:pPr>
        <w:spacing w:after="0" w:line="240" w:lineRule="auto"/>
        <w:ind w:left="360" w:right="-468"/>
        <w:jc w:val="both"/>
        <w:rPr>
          <w:rFonts w:ascii="Arial Narrow" w:eastAsia="Times New Roman" w:hAnsi="Arial Narrow" w:cs="Times New Roman"/>
          <w:bCs/>
          <w:i/>
        </w:rPr>
      </w:pPr>
    </w:p>
    <w:p w:rsidR="00006DBB" w:rsidRPr="00006DBB" w:rsidRDefault="00006DBB" w:rsidP="00006DBB">
      <w:pPr>
        <w:spacing w:after="0" w:line="240" w:lineRule="auto"/>
        <w:ind w:left="360" w:right="-468"/>
        <w:jc w:val="both"/>
        <w:rPr>
          <w:rFonts w:ascii="Arial Narrow" w:eastAsia="Times New Roman" w:hAnsi="Arial Narrow" w:cs="Times New Roman"/>
          <w:bCs/>
          <w:i/>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006DBB" w:rsidRPr="00006DBB" w:rsidTr="006D3F34">
        <w:trPr>
          <w:trHeight w:hRule="exact" w:val="340"/>
        </w:trPr>
        <w:tc>
          <w:tcPr>
            <w:tcW w:w="578" w:type="dxa"/>
            <w:vAlign w:val="center"/>
          </w:tcPr>
          <w:p w:rsidR="00006DBB" w:rsidRPr="00006DBB" w:rsidRDefault="00006DBB" w:rsidP="00006DBB">
            <w:pPr>
              <w:keepNext/>
              <w:numPr>
                <w:ilvl w:val="0"/>
                <w:numId w:val="2"/>
              </w:numPr>
              <w:spacing w:after="0" w:line="240" w:lineRule="auto"/>
              <w:ind w:left="357" w:hanging="357"/>
              <w:contextualSpacing/>
              <w:jc w:val="both"/>
              <w:outlineLvl w:val="1"/>
              <w:rPr>
                <w:rFonts w:ascii="Arial Narrow" w:eastAsia="Times New Roman" w:hAnsi="Arial Narrow" w:cs="Times New Roman"/>
              </w:rPr>
            </w:pPr>
          </w:p>
        </w:tc>
        <w:tc>
          <w:tcPr>
            <w:tcW w:w="6510"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Účtovná jednotka (ÚJ) bude nepretržite pokračovať vo svoje činnosti</w:t>
            </w:r>
          </w:p>
        </w:tc>
        <w:tc>
          <w:tcPr>
            <w:tcW w:w="824"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ÁNO</w:t>
            </w:r>
          </w:p>
        </w:tc>
        <w:tc>
          <w:tcPr>
            <w:tcW w:w="291"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X</w:t>
            </w:r>
          </w:p>
        </w:tc>
        <w:tc>
          <w:tcPr>
            <w:tcW w:w="578"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NIE</w:t>
            </w:r>
          </w:p>
        </w:tc>
        <w:tc>
          <w:tcPr>
            <w:tcW w:w="291" w:type="dxa"/>
            <w:vAlign w:val="center"/>
          </w:tcPr>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rPr>
            </w:pPr>
          </w:p>
        </w:tc>
      </w:tr>
    </w:tbl>
    <w:p w:rsidR="00006DBB" w:rsidRPr="00006DBB" w:rsidRDefault="00006DBB" w:rsidP="00006DBB">
      <w:pPr>
        <w:spacing w:after="0" w:line="240" w:lineRule="auto"/>
        <w:ind w:left="357"/>
        <w:contextualSpacing/>
        <w:jc w:val="both"/>
        <w:rPr>
          <w:rFonts w:ascii="Arial Narrow" w:eastAsia="Times New Roman" w:hAnsi="Arial Narrow" w:cs="Times New Roman"/>
        </w:rPr>
      </w:pPr>
    </w:p>
    <w:p w:rsidR="00006DBB" w:rsidRPr="00006DBB" w:rsidRDefault="00006DBB" w:rsidP="00006DBB">
      <w:pPr>
        <w:spacing w:before="100" w:beforeAutospacing="1" w:after="100" w:afterAutospacing="1" w:line="240" w:lineRule="auto"/>
        <w:rPr>
          <w:rFonts w:ascii="Arial Narrow" w:eastAsia="Times New Roman" w:hAnsi="Arial Narrow" w:cs="Times New Roman"/>
          <w:lang w:eastAsia="sk-SK"/>
        </w:rPr>
      </w:pPr>
      <w:r w:rsidRPr="00006DBB">
        <w:rPr>
          <w:rFonts w:ascii="Arial Narrow" w:eastAsia="Times New Roman" w:hAnsi="Arial Narrow" w:cs="Times New Roman"/>
          <w:iCs/>
          <w:lang w:eastAsia="sk-SK"/>
        </w:rPr>
        <w:t>Účtovná závierka Spoločnosti bola zostavená za predpokladu nepretržitého trvania jej činnosti v súlade so zákonom o účtovníctve platným v Slovenskej republike a nadväzujúcimi postupmi účtovania.</w:t>
      </w:r>
    </w:p>
    <w:p w:rsidR="00006DBB" w:rsidRPr="00006DBB" w:rsidRDefault="00006DBB" w:rsidP="00006DBB">
      <w:pPr>
        <w:spacing w:before="100" w:beforeAutospacing="1" w:after="100" w:afterAutospacing="1" w:line="240" w:lineRule="auto"/>
        <w:jc w:val="both"/>
        <w:rPr>
          <w:rFonts w:ascii="Arial Narrow" w:eastAsia="Times New Roman" w:hAnsi="Arial Narrow" w:cs="Times New Roman"/>
          <w:lang w:eastAsia="sk-SK"/>
        </w:rPr>
      </w:pPr>
      <w:r w:rsidRPr="00006DBB">
        <w:rPr>
          <w:rFonts w:ascii="Arial Narrow" w:eastAsia="Times New Roman" w:hAnsi="Arial Narrow" w:cs="Times New Roman"/>
          <w:iCs/>
          <w:lang w:eastAsia="sk-SK"/>
        </w:rPr>
        <w:t>Zvážili sme všetky potenciálne dopady Covid-19 na naše podnikateľské aktivity a dospeli sme k záveru, že nemajú významný vplyv na našu schopnosť pokračovať nepretržite v činnosti.  Vedenie spoločnosti do momentu zostavenia tejto účtovnej závierky neprijalo v súvislosti s výskytom Covid-19 také opatrenia, ktoré by mali zásadný dopad na podnikateľskú aktivitu v prebiehajúcom účtovnom období a to či už z dôvodu obmedzenia či ukončenia vykonávania hlavného, alebo iného predmetu podnikania, a to aj napriek skutočnosti, že bol zaznamenaný mierny pokles tržieb, ktorý považuje spoločnosť za dočasný. Spoločnosť je zdravá, a má dostatočné zdroje na preklenutie prípadného nepriaznivé obdobia. Zároveň je v prípade potreby pripravená požiadať o dodatočné finančné prostriedky od materskej spoločnosti, ktorá</w:t>
      </w:r>
      <w:r w:rsidRPr="00006DBB">
        <w:rPr>
          <w:rFonts w:ascii="Arial Narrow" w:eastAsia="Times New Roman" w:hAnsi="Arial Narrow" w:cs="Times New Roman"/>
          <w:b/>
          <w:iCs/>
          <w:lang w:eastAsia="sk-SK"/>
        </w:rPr>
        <w:t xml:space="preserve"> </w:t>
      </w:r>
      <w:r w:rsidRPr="00006DBB">
        <w:rPr>
          <w:rFonts w:ascii="Arial Narrow" w:eastAsia="Times New Roman" w:hAnsi="Arial Narrow" w:cs="Times New Roman"/>
          <w:iCs/>
          <w:lang w:eastAsia="sk-SK"/>
        </w:rPr>
        <w:t xml:space="preserve">jej takúto pomoc prisľúbila. </w:t>
      </w:r>
    </w:p>
    <w:p w:rsidR="00006DBB" w:rsidRPr="00006DBB" w:rsidRDefault="00006DBB" w:rsidP="00006DBB">
      <w:pPr>
        <w:spacing w:after="0" w:line="240" w:lineRule="auto"/>
        <w:ind w:left="357"/>
        <w:contextualSpacing/>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006DBB" w:rsidRPr="00006DBB" w:rsidTr="006D3F34">
        <w:trPr>
          <w:trHeight w:hRule="exact" w:val="340"/>
        </w:trPr>
        <w:tc>
          <w:tcPr>
            <w:tcW w:w="578" w:type="dxa"/>
            <w:vAlign w:val="center"/>
          </w:tcPr>
          <w:p w:rsidR="00006DBB" w:rsidRPr="00006DBB" w:rsidRDefault="00006DBB" w:rsidP="00006DBB">
            <w:pPr>
              <w:numPr>
                <w:ilvl w:val="0"/>
                <w:numId w:val="2"/>
              </w:numPr>
              <w:spacing w:after="0" w:line="240" w:lineRule="auto"/>
              <w:rPr>
                <w:rFonts w:ascii="Arial Narrow" w:eastAsia="Times New Roman" w:hAnsi="Arial Narrow" w:cs="Times New Roman"/>
              </w:rPr>
            </w:pPr>
          </w:p>
        </w:tc>
        <w:tc>
          <w:tcPr>
            <w:tcW w:w="6510"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Zmeny účtovných zásad a metód</w:t>
            </w:r>
          </w:p>
        </w:tc>
        <w:tc>
          <w:tcPr>
            <w:tcW w:w="824"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ÁNO</w:t>
            </w:r>
          </w:p>
        </w:tc>
        <w:tc>
          <w:tcPr>
            <w:tcW w:w="291" w:type="dxa"/>
            <w:vAlign w:val="center"/>
          </w:tcPr>
          <w:p w:rsidR="00006DBB" w:rsidRPr="00006DBB" w:rsidRDefault="00006DBB" w:rsidP="00006DBB">
            <w:pPr>
              <w:spacing w:after="0" w:line="240" w:lineRule="auto"/>
              <w:rPr>
                <w:rFonts w:ascii="Arial Narrow" w:eastAsia="Times New Roman" w:hAnsi="Arial Narrow" w:cs="Times New Roman"/>
              </w:rPr>
            </w:pPr>
          </w:p>
        </w:tc>
        <w:tc>
          <w:tcPr>
            <w:tcW w:w="578"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NIE</w:t>
            </w:r>
          </w:p>
        </w:tc>
        <w:tc>
          <w:tcPr>
            <w:tcW w:w="291"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0" w:line="240" w:lineRule="auto"/>
        <w:ind w:left="357"/>
        <w:contextualSpacing/>
        <w:jc w:val="both"/>
        <w:rPr>
          <w:rFonts w:ascii="Arial Narrow" w:eastAsia="Times New Roman" w:hAnsi="Arial Narrow" w:cs="Times New Roman"/>
        </w:rPr>
      </w:pPr>
    </w:p>
    <w:p w:rsidR="00006DBB" w:rsidRPr="00006DBB" w:rsidRDefault="00006DBB" w:rsidP="00006DBB">
      <w:pPr>
        <w:spacing w:after="0" w:line="240" w:lineRule="auto"/>
        <w:ind w:left="357"/>
        <w:contextualSpacing/>
        <w:jc w:val="both"/>
        <w:rPr>
          <w:rFonts w:ascii="Arial Narrow" w:eastAsia="Times New Roman" w:hAnsi="Arial Narrow" w:cs="Times New Roman"/>
        </w:rPr>
      </w:pPr>
    </w:p>
    <w:p w:rsidR="00006DBB" w:rsidRPr="00006DBB" w:rsidRDefault="00006DBB" w:rsidP="00006DBB">
      <w:pPr>
        <w:spacing w:after="0" w:line="240" w:lineRule="auto"/>
        <w:ind w:left="357"/>
        <w:contextualSpacing/>
        <w:jc w:val="both"/>
        <w:rPr>
          <w:rFonts w:ascii="Arial Narrow" w:eastAsia="Times New Roman" w:hAnsi="Arial Narrow" w:cs="Times New Roman"/>
        </w:rPr>
      </w:pPr>
      <w:r w:rsidRPr="00006DBB">
        <w:rPr>
          <w:rFonts w:ascii="Arial Narrow" w:eastAsia="Times New Roman" w:hAnsi="Arial Narrow" w:cs="Times New Roman"/>
        </w:rPr>
        <w:t xml:space="preserve">Informácia o aplikácií účtovných zásad a účtovných metód, ktoré sú dôležité na posúdenie majetku, záväzkov, finančnej situácie a výsledku hospodárenia. Informácia o zmenách účtovných zásad a zmenách účtovných metód, a to s uvedením dôvodu ich uplatnenia a ich vplyvu na hodnotu majetku, záväzkov, vlastného imania a výsledku hospodárenia účtovnej jednotky. </w:t>
      </w:r>
      <w:r w:rsidRPr="00006DBB">
        <w:rPr>
          <w:rFonts w:ascii="Arial Narrow" w:eastAsia="Times New Roman" w:hAnsi="Arial Narrow" w:cs="Times New Roman"/>
          <w:bCs/>
          <w:lang w:eastAsia="sk-SK"/>
        </w:rPr>
        <w:t>Ak v dôsledku zmeny účtovných zásad a účtovných metód nie sú hodnoty za bezprostredne predchádzajúce účtovné obdobie v jednotlivých súčastiach účtovnej závierky porovnateľné, uvádza sa vysvetlenie o neporovnateľných hodnotách.</w:t>
      </w:r>
    </w:p>
    <w:p w:rsidR="00006DBB" w:rsidRPr="00006DBB" w:rsidRDefault="00006DBB" w:rsidP="00006DBB">
      <w:pPr>
        <w:spacing w:after="0" w:line="240" w:lineRule="auto"/>
        <w:ind w:left="360" w:right="-468"/>
        <w:jc w:val="both"/>
        <w:rPr>
          <w:rFonts w:ascii="Arial Narrow" w:eastAsia="Times New Roman" w:hAnsi="Arial Narrow" w:cs="Times New Roman"/>
          <w:bCs/>
          <w:i/>
        </w:rPr>
      </w:pPr>
    </w:p>
    <w:p w:rsidR="00006DBB" w:rsidRPr="00006DBB" w:rsidRDefault="00006DBB" w:rsidP="00006DBB">
      <w:pPr>
        <w:numPr>
          <w:ilvl w:val="0"/>
          <w:numId w:val="2"/>
        </w:numPr>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bCs/>
          <w:sz w:val="20"/>
          <w:szCs w:val="20"/>
        </w:rPr>
      </w:pPr>
    </w:p>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bCs/>
          <w:sz w:val="20"/>
          <w:szCs w:val="20"/>
        </w:rPr>
      </w:pPr>
    </w:p>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bCs/>
          <w:sz w:val="20"/>
          <w:szCs w:val="20"/>
        </w:rPr>
      </w:pPr>
    </w:p>
    <w:tbl>
      <w:tblPr>
        <w:tblW w:w="9180" w:type="dxa"/>
        <w:tblLayout w:type="fixed"/>
        <w:tblLook w:val="04A0" w:firstRow="1" w:lastRow="0" w:firstColumn="1" w:lastColumn="0" w:noHBand="0" w:noVBand="1"/>
      </w:tblPr>
      <w:tblGrid>
        <w:gridCol w:w="9180"/>
      </w:tblGrid>
      <w:tr w:rsidR="00006DBB" w:rsidRPr="00006DBB" w:rsidTr="006D3F34">
        <w:trPr>
          <w:trHeight w:hRule="exact" w:val="568"/>
        </w:trPr>
        <w:tc>
          <w:tcPr>
            <w:tcW w:w="9180" w:type="dxa"/>
            <w:vAlign w:val="center"/>
          </w:tcPr>
          <w:p w:rsidR="00006DBB" w:rsidRPr="00006DBB" w:rsidRDefault="00006DBB" w:rsidP="00006DBB">
            <w:pPr>
              <w:numPr>
                <w:ilvl w:val="0"/>
                <w:numId w:val="2"/>
              </w:numPr>
              <w:spacing w:after="0" w:line="276" w:lineRule="auto"/>
              <w:rPr>
                <w:rFonts w:ascii="Arial Narrow" w:eastAsia="Times New Roman" w:hAnsi="Arial Narrow" w:cs="Times New Roman"/>
                <w:b/>
              </w:rPr>
            </w:pPr>
            <w:r w:rsidRPr="00006DBB">
              <w:rPr>
                <w:rFonts w:ascii="Arial Narrow" w:eastAsia="Times New Roman" w:hAnsi="Arial Narrow" w:cs="Times New Roman"/>
                <w:b/>
              </w:rPr>
              <w:t>Spôsob a  určenie ocenenia majetku a záväzkov vrátane  určenia rozhodujúcich účtovných   odhadov a predpokladov, pričom sa zohľadňuje zásada významnosti:</w:t>
            </w:r>
          </w:p>
          <w:p w:rsidR="00006DBB" w:rsidRPr="00006DBB" w:rsidRDefault="00006DBB" w:rsidP="00006DBB">
            <w:pPr>
              <w:spacing w:after="0" w:line="276" w:lineRule="auto"/>
              <w:rPr>
                <w:rFonts w:ascii="Arial Narrow" w:eastAsia="Times New Roman" w:hAnsi="Arial Narrow" w:cs="Times New Roman"/>
                <w:b/>
              </w:rPr>
            </w:pPr>
          </w:p>
        </w:tc>
      </w:tr>
    </w:tbl>
    <w:p w:rsidR="00006DBB" w:rsidRPr="00006DBB" w:rsidRDefault="00006DBB" w:rsidP="00006DBB">
      <w:pPr>
        <w:spacing w:after="0" w:line="240" w:lineRule="auto"/>
        <w:ind w:left="641"/>
        <w:contextualSpacing/>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06DBB" w:rsidRPr="00006DBB" w:rsidTr="006D3F34">
        <w:tc>
          <w:tcPr>
            <w:tcW w:w="9072" w:type="dxa"/>
            <w:gridSpan w:val="2"/>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rPr>
              <w:t xml:space="preserve"> </w:t>
            </w:r>
            <w:r w:rsidRPr="00006DBB">
              <w:rPr>
                <w:rFonts w:ascii="Arial Narrow" w:eastAsia="Times New Roman" w:hAnsi="Arial Narrow" w:cs="Times New Roman"/>
                <w:b/>
              </w:rPr>
              <w:t>Obstarávacou cenou</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1. hmotný majetok s výnimkou hmotného majetku vytvoreného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2. zásoby s výnimkou zásob vytvorených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3. podiely na ZI obchodných spoločností, deriváty a cenné papiere okrem cenných papierov, podielov na ZI obchodných spoločností, ktoré nemajú podobu cenného papiera a derivátov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4. pohľadávky pri odplatnom nadobudnutí alebo pohľadávky nadobudnuté vkladom do ZI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tcBorders>
              <w:bottom w:val="single" w:sz="4" w:space="0" w:color="auto"/>
            </w:tcBorders>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5. nehmotný majetok s výnimkou nehmotného majetku vytvoreného vlastnou činnosťou, </w:t>
            </w:r>
          </w:p>
        </w:tc>
        <w:tc>
          <w:tcPr>
            <w:tcW w:w="283" w:type="dxa"/>
            <w:tcBorders>
              <w:bottom w:val="single" w:sz="4" w:space="0" w:color="auto"/>
            </w:tcBorders>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tcBorders>
              <w:bottom w:val="single" w:sz="4" w:space="0" w:color="auto"/>
            </w:tcBorders>
            <w:vAlign w:val="center"/>
          </w:tcPr>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6. záväzky pri ich prevzatí </w:t>
            </w:r>
          </w:p>
        </w:tc>
        <w:tc>
          <w:tcPr>
            <w:tcW w:w="283" w:type="dxa"/>
            <w:tcBorders>
              <w:bottom w:val="single" w:sz="4" w:space="0" w:color="auto"/>
            </w:tcBorders>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9072" w:type="dxa"/>
            <w:gridSpan w:val="2"/>
            <w:tcBorders>
              <w:top w:val="single" w:sz="4" w:space="0" w:color="auto"/>
              <w:left w:val="nil"/>
              <w:bottom w:val="single" w:sz="4" w:space="0" w:color="auto"/>
              <w:right w:val="nil"/>
            </w:tcBorders>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p>
        </w:tc>
      </w:tr>
      <w:tr w:rsidR="00006DBB" w:rsidRPr="00006DBB" w:rsidTr="006D3F34">
        <w:tc>
          <w:tcPr>
            <w:tcW w:w="9072" w:type="dxa"/>
            <w:gridSpan w:val="2"/>
            <w:tcBorders>
              <w:top w:val="single" w:sz="4" w:space="0" w:color="auto"/>
            </w:tcBorders>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rPr>
              <w:t xml:space="preserve"> </w:t>
            </w:r>
            <w:r w:rsidRPr="00006DBB">
              <w:rPr>
                <w:rFonts w:ascii="Arial Narrow" w:eastAsia="Times New Roman" w:hAnsi="Arial Narrow" w:cs="Times New Roman"/>
                <w:b/>
              </w:rPr>
              <w:t>Vlastnými nákladmi</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1. hmotný majetok vytvorený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2. zásoby vytvorené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3. nehmotný majetok vytvorený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4. príchovky a prírastky zvierat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9072" w:type="dxa"/>
            <w:gridSpan w:val="2"/>
            <w:tcBorders>
              <w:top w:val="single" w:sz="4" w:space="0" w:color="auto"/>
              <w:left w:val="nil"/>
              <w:bottom w:val="single" w:sz="4" w:space="0" w:color="auto"/>
              <w:right w:val="nil"/>
            </w:tcBorders>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sz w:val="20"/>
                <w:szCs w:val="36"/>
              </w:rPr>
            </w:pPr>
          </w:p>
        </w:tc>
      </w:tr>
      <w:tr w:rsidR="00006DBB" w:rsidRPr="00006DBB" w:rsidTr="006D3F34">
        <w:tc>
          <w:tcPr>
            <w:tcW w:w="9072" w:type="dxa"/>
            <w:gridSpan w:val="2"/>
            <w:tcBorders>
              <w:top w:val="single" w:sz="4" w:space="0" w:color="auto"/>
            </w:tcBorders>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b/>
              </w:rPr>
              <w:t>Menovitou hodnotou</w:t>
            </w:r>
          </w:p>
        </w:tc>
      </w:tr>
      <w:tr w:rsidR="00006DBB" w:rsidRPr="00006DBB" w:rsidTr="006D3F34">
        <w:tc>
          <w:tcPr>
            <w:tcW w:w="8789" w:type="dxa"/>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1. peňažné prostriedky a ceniny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sz w:val="20"/>
                <w:szCs w:val="36"/>
              </w:rPr>
            </w:pPr>
            <w:r w:rsidRPr="00006DBB">
              <w:rPr>
                <w:rFonts w:ascii="Arial Narrow" w:eastAsia="Times New Roman" w:hAnsi="Arial Narrow" w:cs="Times New Roman"/>
                <w:sz w:val="20"/>
                <w:szCs w:val="36"/>
              </w:rPr>
              <w:t>X</w:t>
            </w:r>
          </w:p>
        </w:tc>
      </w:tr>
      <w:tr w:rsidR="00006DBB" w:rsidRPr="00006DBB" w:rsidTr="006D3F34">
        <w:tc>
          <w:tcPr>
            <w:tcW w:w="8789" w:type="dxa"/>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2. pohľadávky pri ich vzniku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sz w:val="20"/>
                <w:szCs w:val="36"/>
              </w:rPr>
            </w:pPr>
            <w:r w:rsidRPr="00006DBB">
              <w:rPr>
                <w:rFonts w:ascii="Arial Narrow" w:eastAsia="Times New Roman" w:hAnsi="Arial Narrow" w:cs="Times New Roman"/>
                <w:sz w:val="20"/>
                <w:szCs w:val="36"/>
              </w:rPr>
              <w:t>X</w:t>
            </w:r>
          </w:p>
        </w:tc>
      </w:tr>
      <w:tr w:rsidR="00006DBB" w:rsidRPr="00006DBB" w:rsidTr="006D3F34">
        <w:tc>
          <w:tcPr>
            <w:tcW w:w="8789" w:type="dxa"/>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3. záväzky pri ich vzniku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sz w:val="20"/>
                <w:szCs w:val="36"/>
              </w:rPr>
            </w:pPr>
            <w:r w:rsidRPr="00006DBB">
              <w:rPr>
                <w:rFonts w:ascii="Arial Narrow" w:eastAsia="Times New Roman" w:hAnsi="Arial Narrow" w:cs="Times New Roman"/>
                <w:sz w:val="20"/>
                <w:szCs w:val="36"/>
              </w:rPr>
              <w:t>X</w:t>
            </w:r>
          </w:p>
        </w:tc>
      </w:tr>
      <w:tr w:rsidR="00006DBB" w:rsidRPr="00006DBB" w:rsidTr="006D3F34">
        <w:tc>
          <w:tcPr>
            <w:tcW w:w="8789" w:type="dxa"/>
            <w:tcBorders>
              <w:top w:val="single" w:sz="4" w:space="0" w:color="auto"/>
              <w:left w:val="nil"/>
              <w:bottom w:val="single" w:sz="4" w:space="0" w:color="auto"/>
              <w:right w:val="nil"/>
            </w:tcBorders>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p>
        </w:tc>
        <w:tc>
          <w:tcPr>
            <w:tcW w:w="283" w:type="dxa"/>
            <w:tcBorders>
              <w:top w:val="single" w:sz="4" w:space="0" w:color="auto"/>
              <w:left w:val="nil"/>
              <w:bottom w:val="single" w:sz="4" w:space="0" w:color="auto"/>
              <w:right w:val="nil"/>
            </w:tcBorders>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9072" w:type="dxa"/>
            <w:gridSpan w:val="2"/>
            <w:tcBorders>
              <w:top w:val="single" w:sz="4" w:space="0" w:color="auto"/>
            </w:tcBorders>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b/>
              </w:rPr>
              <w:t xml:space="preserve"> Reálnou hodnotou</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1. majetok a záväzky nadobudnuté kúpou podniku alebo jeho časti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2. majetok a záväzky nadobudnuté vkladom podniku alebo jeho časti a majetok a záväzky nadobudnuté zámenou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3. cenné papiere, deriváty a podiely na základnom imaní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bl>
    <w:p w:rsidR="00006DBB" w:rsidRPr="00006DBB" w:rsidRDefault="00006DBB" w:rsidP="00006DBB">
      <w:pPr>
        <w:spacing w:after="0" w:line="276" w:lineRule="auto"/>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06DBB" w:rsidRPr="00006DBB" w:rsidTr="006D3F34">
        <w:trPr>
          <w:trHeight w:val="227"/>
        </w:trPr>
        <w:tc>
          <w:tcPr>
            <w:tcW w:w="9072" w:type="dxa"/>
            <w:gridSpan w:val="2"/>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b/>
              </w:rPr>
              <w:t xml:space="preserve">Úbytok zásob rovnakého druhu sa účtuje v ocenení: </w:t>
            </w:r>
          </w:p>
        </w:tc>
      </w:tr>
      <w:tr w:rsidR="00006DBB" w:rsidRPr="00006DBB" w:rsidTr="006D3F34">
        <w:trPr>
          <w:trHeight w:val="227"/>
        </w:trPr>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Cenou zistenou váženým aritmetickým priemerom</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227"/>
        </w:trPr>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Metódou FIFO</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p>
        </w:tc>
      </w:tr>
      <w:tr w:rsidR="00006DBB" w:rsidRPr="00006DBB" w:rsidTr="006D3F34">
        <w:trPr>
          <w:trHeight w:val="227"/>
        </w:trPr>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Obstarávacia cena zásob sa rozdeľuje na cenu za ktoré sa zásoby obstarali</w:t>
            </w:r>
          </w:p>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a náklady súvisiace s obstaraním(VON).</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227"/>
        </w:trPr>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Pri vyskladnení sa VON rozpúšťajú nasledovne :VON/(PS zásob + príjem zásob) x výdaj  zásob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0" w:line="276" w:lineRule="auto"/>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Výdavky budúcich období a príjmy budúcich období  (menovitá hodnota) sa vykazujú vo výške, ktorá je potrebná na dodržanie zásady vecnej a časovej súvislosti s účtovným obdobím.</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Prenajatý  majetok a majetok obstaraný na základe  zmluvy o kúpe prenajatej veci - v ocenení rovnajúcom istine a náklady súvisiace s obstaraním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Daň z príjmov splatná - menovitá hodnota, daň sa  určuje z účtovného zisku pred zdanením pri sadzbe 21 % po úpravách na daňové účely podľa zákona o daniach z príjmov</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lastRenderedPageBreak/>
              <w:t>Daň z príjmov odložená – menovitá hodnota, daň sa určuje z rozdielu medzi účtovnou a daňovou hodnotou majetku a záväzkov pri sadzbe 21%</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u w:val="single"/>
              </w:rPr>
              <w:t>Náklady a výnosy sa časovo rozlišujú</w:t>
            </w:r>
            <w:r w:rsidRPr="00006DBB">
              <w:rPr>
                <w:rFonts w:ascii="Arial Narrow" w:eastAsia="Times New Roman" w:hAnsi="Arial Narrow" w:cs="Times New Roman"/>
              </w:rPr>
              <w:t>.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0" w:line="276" w:lineRule="auto"/>
        <w:jc w:val="both"/>
        <w:rPr>
          <w:rFonts w:ascii="Arial Narrow" w:eastAsia="Times New Roman" w:hAnsi="Arial Narrow" w:cs="Times New Roman"/>
        </w:rPr>
      </w:pPr>
    </w:p>
    <w:p w:rsidR="00006DBB" w:rsidRPr="00006DBB" w:rsidRDefault="00006DBB" w:rsidP="00006DBB">
      <w:pPr>
        <w:spacing w:after="0" w:line="276" w:lineRule="auto"/>
        <w:jc w:val="both"/>
        <w:rPr>
          <w:rFonts w:ascii="Arial Narrow" w:eastAsia="Times New Roman" w:hAnsi="Arial Narrow" w:cs="Times New Roman"/>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1"/>
        <w:gridCol w:w="5742"/>
        <w:gridCol w:w="299"/>
      </w:tblGrid>
      <w:tr w:rsidR="00006DBB" w:rsidRPr="00006DBB" w:rsidTr="006D3F34">
        <w:trPr>
          <w:trHeight w:val="340"/>
        </w:trPr>
        <w:tc>
          <w:tcPr>
            <w:tcW w:w="9089" w:type="dxa"/>
            <w:gridSpan w:val="3"/>
            <w:vAlign w:val="center"/>
          </w:tcPr>
          <w:p w:rsidR="00006DBB" w:rsidRPr="00006DBB" w:rsidRDefault="00006DBB" w:rsidP="00006DBB">
            <w:pPr>
              <w:spacing w:after="0" w:line="240" w:lineRule="auto"/>
              <w:contextualSpacing/>
              <w:rPr>
                <w:rFonts w:ascii="Arial Narrow" w:eastAsia="Times New Roman" w:hAnsi="Arial Narrow" w:cs="Times New Roman"/>
                <w:b/>
              </w:rPr>
            </w:pPr>
            <w:r w:rsidRPr="00006DBB">
              <w:rPr>
                <w:rFonts w:ascii="Arial Narrow" w:eastAsia="Times New Roman" w:hAnsi="Arial Narrow" w:cs="Times New Roman"/>
                <w:b/>
              </w:rPr>
              <w:t>Určenie odhadu zníženia hodnoty majetku a tvorba opravnej položky k majetku:</w:t>
            </w:r>
          </w:p>
        </w:tc>
      </w:tr>
      <w:tr w:rsidR="00006DBB" w:rsidRPr="00006DBB" w:rsidTr="006D3F34">
        <w:trPr>
          <w:trHeight w:val="350"/>
        </w:trPr>
        <w:tc>
          <w:tcPr>
            <w:tcW w:w="8789" w:type="dxa"/>
            <w:gridSpan w:val="2"/>
            <w:vAlign w:val="center"/>
          </w:tcPr>
          <w:p w:rsidR="00006DBB" w:rsidRPr="00006DBB" w:rsidRDefault="00006DBB" w:rsidP="00006DBB">
            <w:pPr>
              <w:spacing w:after="0" w:line="240" w:lineRule="auto"/>
              <w:contextualSpacing/>
              <w:rPr>
                <w:rFonts w:ascii="Arial Narrow" w:eastAsia="Times New Roman" w:hAnsi="Arial Narrow" w:cs="Times New Roman"/>
              </w:rPr>
            </w:pPr>
            <w:r w:rsidRPr="00006DBB">
              <w:rPr>
                <w:rFonts w:ascii="Arial Narrow" w:eastAsia="Times New Roman" w:hAnsi="Arial Narrow" w:cs="Times New Roman"/>
              </w:rPr>
              <w:t>Trvalé zníženie hodnoty majetku nebolo účtované</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2977" w:type="dxa"/>
            <w:vMerge w:val="restart"/>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Opravná položka k pohľadávkam</w:t>
            </w:r>
          </w:p>
        </w:tc>
        <w:tc>
          <w:tcPr>
            <w:tcW w:w="5812"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Podľa kritérií  definovaných v zákone o daniach z príjmov</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rPr>
          <w:trHeight w:val="340"/>
        </w:trPr>
        <w:tc>
          <w:tcPr>
            <w:tcW w:w="2977" w:type="dxa"/>
            <w:vMerge/>
            <w:vAlign w:val="center"/>
          </w:tcPr>
          <w:p w:rsidR="00006DBB" w:rsidRPr="00006DBB" w:rsidRDefault="00006DBB" w:rsidP="00006DBB">
            <w:pPr>
              <w:spacing w:after="0" w:line="276" w:lineRule="auto"/>
              <w:rPr>
                <w:rFonts w:ascii="Arial Narrow" w:eastAsia="Times New Roman" w:hAnsi="Arial Narrow" w:cs="Times New Roman"/>
              </w:rPr>
            </w:pPr>
          </w:p>
        </w:tc>
        <w:tc>
          <w:tcPr>
            <w:tcW w:w="5812"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Odborným odhadom podľa opodstatneného predpokladu zníženia </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2977"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Opravná položka k materiálu</w:t>
            </w:r>
          </w:p>
        </w:tc>
        <w:tc>
          <w:tcPr>
            <w:tcW w:w="5812"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podľa opodstatneného predpokladu zníženia</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rPr>
          <w:trHeight w:val="340"/>
        </w:trPr>
        <w:tc>
          <w:tcPr>
            <w:tcW w:w="2977"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Opravná položka k tovaru</w:t>
            </w:r>
          </w:p>
        </w:tc>
        <w:tc>
          <w:tcPr>
            <w:tcW w:w="5812"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podľa opodstatneného predpokladu zníženia</w:t>
            </w:r>
          </w:p>
        </w:tc>
        <w:tc>
          <w:tcPr>
            <w:tcW w:w="300"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0" w:line="276" w:lineRule="auto"/>
        <w:jc w:val="both"/>
        <w:rPr>
          <w:rFonts w:ascii="Arial Narrow" w:eastAsia="Times New Roman" w:hAnsi="Arial Narrow" w:cs="Times New Roman"/>
        </w:rPr>
      </w:pPr>
    </w:p>
    <w:p w:rsidR="00006DBB" w:rsidRPr="00006DBB" w:rsidRDefault="00006DBB" w:rsidP="00006DBB">
      <w:pPr>
        <w:spacing w:after="0" w:line="276" w:lineRule="auto"/>
        <w:jc w:val="both"/>
        <w:rPr>
          <w:rFonts w:ascii="Arial Narrow" w:eastAsia="Times New Roman" w:hAnsi="Arial Narrow" w:cs="Times New Roman"/>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53"/>
        <w:gridCol w:w="5440"/>
        <w:gridCol w:w="299"/>
      </w:tblGrid>
      <w:tr w:rsidR="00006DBB" w:rsidRPr="00006DBB" w:rsidTr="006D3F34">
        <w:trPr>
          <w:trHeight w:val="412"/>
        </w:trPr>
        <w:tc>
          <w:tcPr>
            <w:tcW w:w="9089" w:type="dxa"/>
            <w:gridSpan w:val="3"/>
            <w:vAlign w:val="center"/>
          </w:tcPr>
          <w:p w:rsidR="00006DBB" w:rsidRPr="00006DBB" w:rsidRDefault="00006DBB" w:rsidP="00006DBB">
            <w:pPr>
              <w:spacing w:after="0" w:line="240" w:lineRule="auto"/>
              <w:contextualSpacing/>
              <w:rPr>
                <w:rFonts w:ascii="Arial Narrow" w:eastAsia="Times New Roman" w:hAnsi="Arial Narrow" w:cs="Times New Roman"/>
                <w:b/>
              </w:rPr>
            </w:pPr>
            <w:r w:rsidRPr="00006DBB">
              <w:rPr>
                <w:rFonts w:ascii="Arial Narrow" w:eastAsia="Times New Roman" w:hAnsi="Arial Narrow" w:cs="Times New Roman"/>
                <w:b/>
              </w:rPr>
              <w:t>Určenie ocenenia záväzkov, stanovenie odhadu ocenenia rezerv:</w:t>
            </w:r>
          </w:p>
        </w:tc>
      </w:tr>
      <w:tr w:rsidR="00006DBB" w:rsidRPr="00006DBB" w:rsidTr="006D3F34">
        <w:trPr>
          <w:trHeight w:val="340"/>
        </w:trPr>
        <w:tc>
          <w:tcPr>
            <w:tcW w:w="8789" w:type="dxa"/>
            <w:gridSpan w:val="2"/>
            <w:vAlign w:val="center"/>
          </w:tcPr>
          <w:p w:rsidR="00006DBB" w:rsidRPr="00006DBB" w:rsidRDefault="00006DBB" w:rsidP="00006DBB">
            <w:pPr>
              <w:spacing w:after="0" w:line="240" w:lineRule="auto"/>
              <w:contextualSpacing/>
              <w:rPr>
                <w:rFonts w:ascii="Arial Narrow" w:eastAsia="Times New Roman" w:hAnsi="Arial Narrow" w:cs="Times New Roman"/>
              </w:rPr>
            </w:pPr>
            <w:r w:rsidRPr="00006DBB">
              <w:rPr>
                <w:rFonts w:ascii="Arial Narrow" w:eastAsia="Times New Roman" w:hAnsi="Arial Narrow" w:cs="Times New Roman"/>
              </w:rPr>
              <w:t>Ocenenie záväzkov menovitou hodnotou</w:t>
            </w:r>
          </w:p>
        </w:tc>
        <w:tc>
          <w:tcPr>
            <w:tcW w:w="300" w:type="dxa"/>
            <w:vAlign w:val="center"/>
          </w:tcPr>
          <w:p w:rsidR="00006DBB" w:rsidRPr="00006DBB" w:rsidRDefault="00006DBB" w:rsidP="00006DBB">
            <w:pPr>
              <w:spacing w:after="0" w:line="240" w:lineRule="auto"/>
              <w:contextualSpacing/>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3279" w:type="dxa"/>
            <w:vMerge w:val="restart"/>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Rezervy k nevyfakturovaným dodávkam</w:t>
            </w:r>
          </w:p>
        </w:tc>
        <w:tc>
          <w:tcPr>
            <w:tcW w:w="5510"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na splnenie existujúcej povinnosti</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3279" w:type="dxa"/>
            <w:vMerge/>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551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rPr>
          <w:trHeight w:val="340"/>
        </w:trPr>
        <w:tc>
          <w:tcPr>
            <w:tcW w:w="3279" w:type="dxa"/>
            <w:vMerge w:val="restart"/>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Rezerva k nevyčerpaným dovolenkám</w:t>
            </w:r>
          </w:p>
        </w:tc>
        <w:tc>
          <w:tcPr>
            <w:tcW w:w="5510"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podľa stavu nevyčerpaných dovoleniek</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3279" w:type="dxa"/>
            <w:vMerge/>
            <w:tcBorders>
              <w:bottom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551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rPr>
          <w:trHeight w:val="340"/>
        </w:trPr>
        <w:tc>
          <w:tcPr>
            <w:tcW w:w="3279" w:type="dxa"/>
            <w:vMerge w:val="restart"/>
            <w:tcBorders>
              <w:top w:val="single" w:sz="4" w:space="0" w:color="auto"/>
              <w:left w:val="single" w:sz="4" w:space="0" w:color="auto"/>
              <w:righ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Rezerva na odchodné</w:t>
            </w:r>
          </w:p>
        </w:tc>
        <w:tc>
          <w:tcPr>
            <w:tcW w:w="5510" w:type="dxa"/>
            <w:tcBorders>
              <w:lef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s využitím metód poistnej matematiky</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3279" w:type="dxa"/>
            <w:vMerge/>
            <w:tcBorders>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p>
        </w:tc>
        <w:tc>
          <w:tcPr>
            <w:tcW w:w="5510" w:type="dxa"/>
            <w:tcBorders>
              <w:lef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rPr>
          <w:trHeight w:val="340"/>
        </w:trPr>
        <w:tc>
          <w:tcPr>
            <w:tcW w:w="3279" w:type="dxa"/>
            <w:vMerge w:val="restart"/>
            <w:tcBorders>
              <w:top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Rezerva na reklamácie</w:t>
            </w:r>
          </w:p>
        </w:tc>
        <w:tc>
          <w:tcPr>
            <w:tcW w:w="5510"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Odborným odhadom podľa opodstatneného predpokladu </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3279" w:type="dxa"/>
            <w:vMerge/>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5510"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300"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r>
    </w:tbl>
    <w:p w:rsidR="00006DBB" w:rsidRPr="00006DBB" w:rsidRDefault="00006DBB" w:rsidP="00006DBB">
      <w:pPr>
        <w:spacing w:after="0" w:line="276" w:lineRule="auto"/>
        <w:jc w:val="both"/>
        <w:rPr>
          <w:rFonts w:ascii="Arial Narrow" w:eastAsia="Times New Roman" w:hAnsi="Arial Narrow" w:cs="Times New Roman"/>
        </w:rPr>
      </w:pPr>
    </w:p>
    <w:p w:rsidR="00006DBB" w:rsidRPr="00006DBB" w:rsidRDefault="00006DBB" w:rsidP="00006DBB">
      <w:pPr>
        <w:spacing w:after="0" w:line="240" w:lineRule="auto"/>
        <w:contextualSpacing/>
        <w:jc w:val="both"/>
        <w:rPr>
          <w:rFonts w:ascii="Arial Narrow" w:eastAsia="Times New Roman" w:hAnsi="Arial Narrow" w:cs="Times New Roman"/>
          <w:b/>
          <w:u w:val="single"/>
        </w:rPr>
      </w:pPr>
      <w:r w:rsidRPr="00006DBB">
        <w:rPr>
          <w:rFonts w:ascii="Arial Narrow" w:eastAsia="Times New Roman" w:hAnsi="Arial Narrow" w:cs="Times New Roman"/>
          <w:b/>
        </w:rPr>
        <w:t xml:space="preserve">Určenie ocenenia finančných nástrojov alebo majetku, ktorý nie je finančným nástrojom pri oceňovaní reálnou hodnotou, a to: </w:t>
      </w:r>
      <w:r w:rsidRPr="00006DBB">
        <w:rPr>
          <w:rFonts w:ascii="Arial Narrow" w:eastAsia="Times New Roman" w:hAnsi="Arial Narrow" w:cs="Times New Roman"/>
          <w:b/>
          <w:u w:val="single"/>
        </w:rPr>
        <w:t>- bez náplne</w:t>
      </w:r>
    </w:p>
    <w:p w:rsidR="00006DBB" w:rsidRPr="00006DBB" w:rsidRDefault="00006DBB" w:rsidP="00006DBB">
      <w:pPr>
        <w:spacing w:after="0" w:line="240" w:lineRule="auto"/>
        <w:contextualSpacing/>
        <w:jc w:val="both"/>
        <w:rPr>
          <w:rFonts w:ascii="Arial Narrow" w:eastAsia="Times New Roman" w:hAnsi="Arial Narrow" w:cs="Times New Roman"/>
          <w:b/>
          <w:u w:val="single"/>
        </w:rPr>
      </w:pPr>
    </w:p>
    <w:p w:rsidR="00006DBB" w:rsidRPr="00006DBB" w:rsidRDefault="00006DBB" w:rsidP="00006DBB">
      <w:pPr>
        <w:spacing w:after="0" w:line="240" w:lineRule="auto"/>
        <w:contextualSpacing/>
        <w:jc w:val="both"/>
        <w:rPr>
          <w:rFonts w:ascii="Arial Narrow" w:eastAsia="Times New Roman" w:hAnsi="Arial Narrow" w:cs="Times New Roman"/>
          <w:b/>
          <w:u w:val="single"/>
        </w:rPr>
      </w:pPr>
      <w:r w:rsidRPr="00006DBB">
        <w:rPr>
          <w:rFonts w:ascii="Arial Narrow" w:eastAsia="Times New Roman" w:hAnsi="Arial Narrow" w:cs="Times New Roman"/>
          <w:b/>
        </w:rPr>
        <w:t xml:space="preserve">Určenie ocenenia finančných nástrojov alebo majetku, ktorý nie je finančným nástrojom pri oceňovaní obstarávacou cenou alebo vlastnými nákladmi, a to: </w:t>
      </w:r>
      <w:r w:rsidRPr="00006DBB">
        <w:rPr>
          <w:rFonts w:ascii="Arial Narrow" w:eastAsia="Times New Roman" w:hAnsi="Arial Narrow" w:cs="Times New Roman"/>
          <w:b/>
          <w:u w:val="single"/>
        </w:rPr>
        <w:t>- bez náplne</w:t>
      </w:r>
    </w:p>
    <w:p w:rsidR="00006DBB" w:rsidRPr="00006DBB" w:rsidRDefault="00006DBB" w:rsidP="00006DBB">
      <w:pPr>
        <w:spacing w:after="0" w:line="240" w:lineRule="auto"/>
        <w:contextualSpacing/>
        <w:jc w:val="both"/>
        <w:rPr>
          <w:rFonts w:ascii="Arial Narrow" w:eastAsia="Times New Roman" w:hAnsi="Arial Narrow" w:cs="Times New Roman"/>
          <w:b/>
        </w:rPr>
      </w:pPr>
    </w:p>
    <w:p w:rsidR="00006DBB" w:rsidRPr="00006DBB" w:rsidRDefault="00006DBB" w:rsidP="00006DBB">
      <w:pPr>
        <w:spacing w:after="0" w:line="240" w:lineRule="auto"/>
        <w:contextualSpacing/>
        <w:jc w:val="both"/>
        <w:rPr>
          <w:rFonts w:ascii="Arial Narrow" w:eastAsia="Times New Roman" w:hAnsi="Arial Narrow" w:cs="Times New Roman"/>
          <w:b/>
          <w:u w:val="single"/>
        </w:rPr>
      </w:pPr>
      <w:r w:rsidRPr="00006DBB">
        <w:rPr>
          <w:rFonts w:ascii="Arial Narrow" w:eastAsia="Times New Roman" w:hAnsi="Arial Narrow" w:cs="Times New Roman"/>
          <w:b/>
        </w:rPr>
        <w:t xml:space="preserve">Stanovenie metódy vlastného imania </w:t>
      </w:r>
      <w:r w:rsidRPr="00006DBB">
        <w:rPr>
          <w:rFonts w:ascii="Arial Narrow" w:eastAsia="Times New Roman" w:hAnsi="Arial Narrow" w:cs="Times New Roman"/>
          <w:b/>
          <w:u w:val="single"/>
        </w:rPr>
        <w:t>:- bez obsahovej náplne</w:t>
      </w:r>
    </w:p>
    <w:p w:rsidR="00006DBB" w:rsidRPr="00006DBB" w:rsidRDefault="00006DBB" w:rsidP="00006DBB">
      <w:pPr>
        <w:spacing w:after="0" w:line="240" w:lineRule="auto"/>
        <w:contextualSpacing/>
        <w:jc w:val="both"/>
        <w:rPr>
          <w:rFonts w:ascii="Arial Narrow" w:eastAsia="Times New Roman" w:hAnsi="Arial Narrow" w:cs="Times New Roman"/>
          <w:u w:val="single"/>
        </w:rPr>
      </w:pPr>
    </w:p>
    <w:p w:rsidR="00006DBB" w:rsidRPr="00006DBB" w:rsidRDefault="00006DBB" w:rsidP="00006DBB">
      <w:pPr>
        <w:numPr>
          <w:ilvl w:val="0"/>
          <w:numId w:val="2"/>
        </w:numPr>
        <w:spacing w:after="0" w:line="240" w:lineRule="auto"/>
        <w:contextualSpacing/>
        <w:jc w:val="both"/>
        <w:rPr>
          <w:rFonts w:ascii="Arial Narrow" w:eastAsia="Times New Roman" w:hAnsi="Arial Narrow" w:cs="Times New Roman"/>
          <w:b/>
        </w:rPr>
      </w:pPr>
      <w:r w:rsidRPr="00006DBB">
        <w:rPr>
          <w:rFonts w:ascii="Arial Narrow" w:eastAsia="Times New Roman" w:hAnsi="Arial Narrow" w:cs="Times New Roman"/>
          <w:b/>
          <w:bCs/>
          <w:kern w:val="32"/>
          <w:lang w:eastAsia="sk-SK"/>
        </w:rPr>
        <w:t>Tvorba odpisového plánu pre dlhodobý majetok, pričom sa uvádza doba odpisovania, sadzby odpisov a odpisové metódy pre účtovné odpisy:</w:t>
      </w:r>
    </w:p>
    <w:p w:rsidR="00006DBB" w:rsidRPr="00006DBB" w:rsidRDefault="00006DBB" w:rsidP="00006DBB">
      <w:pPr>
        <w:spacing w:after="0" w:line="240" w:lineRule="auto"/>
        <w:ind w:left="360"/>
        <w:contextualSpacing/>
        <w:jc w:val="both"/>
        <w:rPr>
          <w:rFonts w:ascii="Arial Narrow" w:eastAsia="Times New Roman" w:hAnsi="Arial Narrow" w:cs="Times New Roman"/>
          <w:b/>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3"/>
        <w:gridCol w:w="1114"/>
        <w:gridCol w:w="445"/>
      </w:tblGrid>
      <w:tr w:rsidR="00006DBB" w:rsidRPr="00006DBB" w:rsidTr="006D3F34">
        <w:tc>
          <w:tcPr>
            <w:tcW w:w="8627" w:type="dxa"/>
            <w:gridSpan w:val="2"/>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u w:val="single"/>
              </w:rPr>
              <w:t>Nehmotný majetok odpisuje účtovná jednotka počas predpokladanej doby používania zodpovedajúcej spotrebe budúcich ekonomických úžitkov z majetku</w:t>
            </w:r>
            <w:r w:rsidRPr="00006DBB">
              <w:rPr>
                <w:rFonts w:ascii="Arial Narrow" w:eastAsia="Times New Roman" w:hAnsi="Arial Narrow" w:cs="Times New Roman"/>
              </w:rPr>
              <w:t xml:space="preserve">.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p>
          <w:p w:rsidR="00006DBB" w:rsidRPr="00006DBB" w:rsidRDefault="00006DBB" w:rsidP="00006DBB">
            <w:pPr>
              <w:spacing w:after="0" w:line="240" w:lineRule="auto"/>
              <w:jc w:val="center"/>
              <w:rPr>
                <w:rFonts w:ascii="Arial Narrow" w:eastAsia="Times New Roman" w:hAnsi="Arial Narrow" w:cs="Times New Roman"/>
              </w:rPr>
            </w:pPr>
          </w:p>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963"/>
        </w:trPr>
        <w:tc>
          <w:tcPr>
            <w:tcW w:w="8627" w:type="dxa"/>
            <w:gridSpan w:val="2"/>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006DBB">
              <w:rPr>
                <w:rFonts w:ascii="Arial Narrow" w:eastAsia="Times New Roman" w:hAnsi="Arial Narrow" w:cs="Times New Roman"/>
                <w:b/>
              </w:rPr>
              <w:t>rovnajú</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p>
          <w:p w:rsidR="00006DBB" w:rsidRPr="00006DBB" w:rsidRDefault="00006DBB" w:rsidP="00006DBB">
            <w:pPr>
              <w:spacing w:after="0" w:line="240" w:lineRule="auto"/>
              <w:jc w:val="center"/>
              <w:rPr>
                <w:rFonts w:ascii="Arial Narrow" w:eastAsia="Times New Roman" w:hAnsi="Arial Narrow" w:cs="Times New Roman"/>
              </w:rPr>
            </w:pPr>
          </w:p>
          <w:p w:rsidR="00006DBB" w:rsidRPr="00006DBB" w:rsidRDefault="00006DBB" w:rsidP="00006DBB">
            <w:pPr>
              <w:spacing w:after="0" w:line="240" w:lineRule="auto"/>
              <w:jc w:val="center"/>
              <w:rPr>
                <w:rFonts w:ascii="Arial Narrow" w:eastAsia="Times New Roman" w:hAnsi="Arial Narrow" w:cs="Times New Roman"/>
              </w:rPr>
            </w:pPr>
          </w:p>
        </w:tc>
      </w:tr>
      <w:tr w:rsidR="00006DBB" w:rsidRPr="00006DBB" w:rsidTr="006D3F34">
        <w:trPr>
          <w:trHeight w:val="1094"/>
        </w:trPr>
        <w:tc>
          <w:tcPr>
            <w:tcW w:w="8627" w:type="dxa"/>
            <w:gridSpan w:val="2"/>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lastRenderedPageBreak/>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006DBB">
              <w:rPr>
                <w:rFonts w:ascii="Arial Narrow" w:eastAsia="Times New Roman" w:hAnsi="Arial Narrow" w:cs="Times New Roman"/>
                <w:b/>
              </w:rPr>
              <w:t>nerovnajú</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7513"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Dlhodobý nehmotný majetok =doba použiteľnosti viac ako rok a vstupná cena je  viac ako </w:t>
            </w:r>
          </w:p>
        </w:tc>
        <w:tc>
          <w:tcPr>
            <w:tcW w:w="1114"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2400,-eur</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7513"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Samostatné hnuteľné veci sú dlhodobým hmotným majetkom ak doba použiteľnosti je viac ako rok a vstupná cena viac ako:</w:t>
            </w:r>
          </w:p>
        </w:tc>
        <w:tc>
          <w:tcPr>
            <w:tcW w:w="1114"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1700,-eur</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200" w:line="276" w:lineRule="auto"/>
        <w:rPr>
          <w:rFonts w:ascii="Arial Narrow" w:eastAsia="Times New Roman" w:hAnsi="Arial Narrow" w:cs="Times New Roman"/>
          <w:szCs w:val="36"/>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1134"/>
        <w:gridCol w:w="1276"/>
        <w:gridCol w:w="1134"/>
        <w:gridCol w:w="1134"/>
        <w:gridCol w:w="992"/>
      </w:tblGrid>
      <w:tr w:rsidR="00006DBB" w:rsidRPr="00006DBB" w:rsidTr="006D3F34">
        <w:trPr>
          <w:trHeight w:val="592"/>
        </w:trPr>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Majetok</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 xml:space="preserve">Odpisová skupina </w:t>
            </w:r>
          </w:p>
        </w:tc>
        <w:tc>
          <w:tcPr>
            <w:tcW w:w="1276"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Doba odpisovania</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Lineárne odpisy</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Zrýchlené odpisy</w:t>
            </w: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Samostatné hnuteľné veci, automobily</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1</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4</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Samostatné hnuteľné veci</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2</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6</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Prípojky</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4</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12</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Stavby</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5</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20</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Stavby – admin. časť</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6</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40</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bl>
    <w:p w:rsidR="00006DBB" w:rsidRPr="00006DBB" w:rsidRDefault="00006DBB" w:rsidP="00006DBB">
      <w:pPr>
        <w:spacing w:after="0" w:line="276" w:lineRule="auto"/>
        <w:jc w:val="both"/>
        <w:rPr>
          <w:rFonts w:ascii="Arial Narrow" w:eastAsia="Times New Roman" w:hAnsi="Arial Narrow" w:cs="Times New Roman"/>
        </w:rPr>
      </w:pPr>
    </w:p>
    <w:p w:rsidR="00006DBB" w:rsidRPr="00006DBB" w:rsidRDefault="00006DBB" w:rsidP="00006DBB">
      <w:pPr>
        <w:numPr>
          <w:ilvl w:val="0"/>
          <w:numId w:val="2"/>
        </w:numPr>
        <w:spacing w:after="0" w:line="240" w:lineRule="auto"/>
        <w:ind w:left="426" w:hanging="426"/>
        <w:contextualSpacing/>
        <w:jc w:val="both"/>
        <w:rPr>
          <w:rFonts w:ascii="Arial Narrow" w:eastAsia="Times New Roman" w:hAnsi="Arial Narrow" w:cs="Times New Roman"/>
          <w:b/>
          <w:bCs/>
          <w:kern w:val="32"/>
          <w:lang w:eastAsia="sk-SK"/>
        </w:rPr>
      </w:pPr>
      <w:r w:rsidRPr="00006DBB">
        <w:rPr>
          <w:rFonts w:ascii="Arial Narrow" w:eastAsia="Times New Roman" w:hAnsi="Arial Narrow" w:cs="Times New Roman"/>
          <w:b/>
          <w:bCs/>
          <w:kern w:val="32"/>
          <w:lang w:eastAsia="sk-SK"/>
        </w:rPr>
        <w:t xml:space="preserve">Informácia o poskytnutých dotáciách a pri dotáciách na obstaranie majetku sa uvedú zložky majetku a ich ocenenie: - </w:t>
      </w:r>
    </w:p>
    <w:p w:rsidR="00006DBB" w:rsidRPr="00006DBB" w:rsidRDefault="00006DBB" w:rsidP="00006DBB">
      <w:pPr>
        <w:spacing w:after="0" w:line="240" w:lineRule="auto"/>
        <w:ind w:left="426"/>
        <w:contextualSpacing/>
        <w:jc w:val="both"/>
        <w:rPr>
          <w:rFonts w:ascii="Arial Narrow" w:eastAsia="Times New Roman" w:hAnsi="Arial Narrow" w:cs="Times New Roman"/>
          <w:szCs w:val="36"/>
        </w:rPr>
      </w:pPr>
      <w:r w:rsidRPr="00006DBB">
        <w:rPr>
          <w:rFonts w:ascii="Arial Narrow" w:eastAsia="Times New Roman" w:hAnsi="Arial Narrow" w:cs="Times New Roman"/>
          <w:szCs w:val="36"/>
        </w:rPr>
        <w:t>V roku 20</w:t>
      </w:r>
      <w:r>
        <w:rPr>
          <w:rFonts w:ascii="Arial Narrow" w:eastAsia="Times New Roman" w:hAnsi="Arial Narrow" w:cs="Times New Roman"/>
          <w:szCs w:val="36"/>
        </w:rPr>
        <w:t>2</w:t>
      </w:r>
      <w:r w:rsidR="00157076">
        <w:rPr>
          <w:rFonts w:ascii="Arial Narrow" w:eastAsia="Times New Roman" w:hAnsi="Arial Narrow" w:cs="Times New Roman"/>
          <w:szCs w:val="36"/>
        </w:rPr>
        <w:t>2</w:t>
      </w:r>
      <w:r w:rsidRPr="00006DBB">
        <w:rPr>
          <w:rFonts w:ascii="Arial Narrow" w:eastAsia="Times New Roman" w:hAnsi="Arial Narrow" w:cs="Times New Roman"/>
          <w:szCs w:val="36"/>
        </w:rPr>
        <w:t xml:space="preserve"> účtovala spoločnosť o nároku na vyplatenie príspevku na mzdy z ope</w:t>
      </w:r>
      <w:bookmarkStart w:id="0" w:name="_GoBack"/>
      <w:bookmarkEnd w:id="0"/>
      <w:r w:rsidRPr="00006DBB">
        <w:rPr>
          <w:rFonts w:ascii="Arial Narrow" w:eastAsia="Times New Roman" w:hAnsi="Arial Narrow" w:cs="Times New Roman"/>
          <w:szCs w:val="36"/>
        </w:rPr>
        <w:t xml:space="preserve">račného programu Ľudské zdroje – Prvá pomoc vo výške </w:t>
      </w:r>
      <w:r w:rsidR="00157076">
        <w:rPr>
          <w:rFonts w:ascii="Arial Narrow" w:eastAsia="Times New Roman" w:hAnsi="Arial Narrow" w:cs="Times New Roman"/>
          <w:szCs w:val="36"/>
        </w:rPr>
        <w:t xml:space="preserve">1 511,77 </w:t>
      </w:r>
      <w:r w:rsidRPr="00006DBB">
        <w:rPr>
          <w:rFonts w:ascii="Arial Narrow" w:eastAsia="Times New Roman" w:hAnsi="Arial Narrow" w:cs="Times New Roman"/>
          <w:szCs w:val="36"/>
        </w:rPr>
        <w:t>Eur</w:t>
      </w:r>
    </w:p>
    <w:p w:rsidR="00006DBB" w:rsidRPr="00006DBB" w:rsidRDefault="00006DBB" w:rsidP="00006DBB">
      <w:pPr>
        <w:spacing w:after="0" w:line="240" w:lineRule="auto"/>
        <w:ind w:left="426"/>
        <w:contextualSpacing/>
        <w:jc w:val="both"/>
        <w:rPr>
          <w:rFonts w:ascii="Arial Narrow" w:eastAsia="Times New Roman" w:hAnsi="Arial Narrow" w:cs="Times New Roman"/>
          <w:b/>
          <w:bCs/>
          <w:kern w:val="32"/>
          <w:lang w:eastAsia="sk-SK"/>
        </w:rPr>
      </w:pPr>
    </w:p>
    <w:p w:rsidR="00006DBB" w:rsidRPr="00006DBB" w:rsidRDefault="00006DBB" w:rsidP="00006DBB">
      <w:pPr>
        <w:numPr>
          <w:ilvl w:val="0"/>
          <w:numId w:val="2"/>
        </w:numPr>
        <w:spacing w:after="0" w:line="240" w:lineRule="auto"/>
        <w:ind w:left="426" w:hanging="426"/>
        <w:contextualSpacing/>
        <w:jc w:val="both"/>
        <w:rPr>
          <w:rFonts w:ascii="Arial Narrow" w:eastAsia="Times New Roman" w:hAnsi="Arial Narrow" w:cs="Times New Roman"/>
          <w:b/>
          <w:bCs/>
          <w:kern w:val="32"/>
          <w:lang w:eastAsia="sk-SK"/>
        </w:rPr>
      </w:pPr>
      <w:r w:rsidRPr="00006DBB">
        <w:rPr>
          <w:rFonts w:ascii="Arial Narrow" w:eastAsia="Times New Roman" w:hAnsi="Arial Narrow" w:cs="Times New Roman"/>
          <w:b/>
          <w:bCs/>
          <w:kern w:val="32"/>
          <w:lang w:eastAsia="sk-SK"/>
        </w:rPr>
        <w:t>Cudzia mena:</w:t>
      </w:r>
    </w:p>
    <w:p w:rsidR="00006DBB" w:rsidRPr="00006DBB" w:rsidRDefault="00006DBB" w:rsidP="00006DBB">
      <w:pPr>
        <w:spacing w:after="0" w:line="240" w:lineRule="auto"/>
        <w:ind w:left="426"/>
        <w:contextualSpacing/>
        <w:jc w:val="both"/>
        <w:rPr>
          <w:rFonts w:ascii="Arial Narrow" w:eastAsia="Times New Roman" w:hAnsi="Arial Narrow" w:cs="Times New Roman"/>
          <w:b/>
          <w:bCs/>
          <w:kern w:val="32"/>
          <w:lang w:eastAsia="sk-SK"/>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Na ocenenie prírastku cudzej meny (okrem ocenenia cudzej meny obstarávanej v rámci menového derivátu) nakúpenej za euro sa použije kurz, za ktorý bola táto cudzia mena nakúpená.</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 xml:space="preserve">Na ocenenie cudzej meny obstarávanej v rámci menového derivátu </w:t>
      </w:r>
    </w:p>
    <w:p w:rsidR="00006DBB" w:rsidRPr="00006DBB" w:rsidRDefault="00006DBB" w:rsidP="00006DBB">
      <w:pPr>
        <w:numPr>
          <w:ilvl w:val="0"/>
          <w:numId w:val="6"/>
        </w:numPr>
        <w:tabs>
          <w:tab w:val="clear" w:pos="340"/>
          <w:tab w:val="num" w:pos="766"/>
        </w:tabs>
        <w:spacing w:after="0" w:line="240" w:lineRule="auto"/>
        <w:ind w:left="766"/>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ak je zmluvnou stranou banka alebo pobočka zahraničnej banky, použije sa ku dňu ocenenia kurz banky alebo pobočky zahraničnej banky, ktorá je zmluvnou stranou tohto menového derivátu alebo sa použije referenčný kurz ku dňu ocenenia,</w:t>
      </w:r>
    </w:p>
    <w:p w:rsidR="00006DBB" w:rsidRPr="00006DBB" w:rsidRDefault="00006DBB" w:rsidP="00006DBB">
      <w:pPr>
        <w:spacing w:after="0" w:line="240" w:lineRule="auto"/>
        <w:ind w:left="766"/>
        <w:jc w:val="both"/>
        <w:rPr>
          <w:rFonts w:ascii="Arial Narrow" w:eastAsia="Times New Roman" w:hAnsi="Arial Narrow" w:cs="Times New Roman"/>
          <w:bCs/>
          <w:lang w:eastAsia="cs-CZ"/>
        </w:rPr>
      </w:pPr>
    </w:p>
    <w:p w:rsidR="00006DBB" w:rsidRPr="00006DBB" w:rsidRDefault="00006DBB" w:rsidP="00006DBB">
      <w:pPr>
        <w:numPr>
          <w:ilvl w:val="0"/>
          <w:numId w:val="6"/>
        </w:numPr>
        <w:tabs>
          <w:tab w:val="clear" w:pos="340"/>
          <w:tab w:val="num" w:pos="766"/>
        </w:tabs>
        <w:spacing w:after="0" w:line="240" w:lineRule="auto"/>
        <w:ind w:left="766"/>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ak zmluvnou stranou nie je banka alebo pobočka zahraničnej banky, použije sa na ocenenie referenčný kurz ku dňu ocenenia.</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Na úbytok rovnakej cudzej meny v hotovosti alebo z devízového účtu sa na prepočet cudzej meny na eurá použije referenčný výmenný kurz určený a vyhlásený Európskou centrálnou bankou v deň predchádzajúci dňu uskutočnenia účtovného prípadu.</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Ku dňu ocenenia (ku dňu uskutočnenia účtovného prípadu, ku dňu, ku ktorému sa zostavuje účtovná závierka) sa referenčným kurzom prepočítajú:</w:t>
      </w:r>
    </w:p>
    <w:p w:rsidR="00006DBB" w:rsidRPr="00006DBB" w:rsidRDefault="00006DBB" w:rsidP="00006DBB">
      <w:pPr>
        <w:numPr>
          <w:ilvl w:val="0"/>
          <w:numId w:val="7"/>
        </w:num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lastRenderedPageBreak/>
        <w:t>nástroje peňažného trhu ocenené cudzou menou,</w:t>
      </w:r>
    </w:p>
    <w:p w:rsidR="00006DBB" w:rsidRPr="00006DBB" w:rsidRDefault="00006DBB" w:rsidP="00006DBB">
      <w:pPr>
        <w:numPr>
          <w:ilvl w:val="0"/>
          <w:numId w:val="7"/>
        </w:num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finančné rozdielové zmluvy ocenené cudzou menou,</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Prijaté a poskytnuté preddavky v cudzej mene prostredníctvom účtu vedeného v tejto cudzej mene sa prepočítavajú na menu euro referenčným výmenným kurzom určeným a vyhláseným Európskou centrálnou bankou v deň predchádzajúci dňu uskutočnenia účtovného prípadu.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Prijaté a poskytnuté preddavky v cudzej mene na účet zriadený v eurách a z účtu zriadeného v eurách sa prepočítavajú na menu euro kurzom, za ktorý boli tieto hodnoty nakúpené alebo predané.</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Ku dňu, ku ktorému sa zostavuje účtovná závierka, sa už neprepočítavajú.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v deň, ku ktorému sa zostavuje účtovná závierka, a účtujú sa s vplyvom na výsledok hospodárenia.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numPr>
          <w:ilvl w:val="0"/>
          <w:numId w:val="2"/>
        </w:numPr>
        <w:spacing w:after="0" w:line="240" w:lineRule="auto"/>
        <w:jc w:val="both"/>
        <w:rPr>
          <w:rFonts w:ascii="Arial Narrow" w:eastAsia="Times New Roman" w:hAnsi="Arial Narrow" w:cs="Times New Roman"/>
          <w:b/>
        </w:rPr>
      </w:pPr>
      <w:r w:rsidRPr="00006DBB">
        <w:rPr>
          <w:rFonts w:ascii="Arial Narrow" w:eastAsia="Times New Roman" w:hAnsi="Arial Narrow" w:cs="Times New Roman"/>
          <w:b/>
        </w:rPr>
        <w:t>Výnosy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Tržby z predaja tovaru sa vykazujú v deň splnenia dodávky podľa Obchodného zákonníka, podľa Incoterms alebo iných podmienok dohodnutých v zmluve.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Tržby z predaja služieb sa vykazujú v účtovnom období, v ktorom boli služby poskytnuté.</w:t>
      </w:r>
    </w:p>
    <w:p w:rsidR="00006DBB" w:rsidRPr="00006DBB" w:rsidRDefault="00006DBB" w:rsidP="00006DBB">
      <w:pPr>
        <w:spacing w:after="0" w:line="240" w:lineRule="auto"/>
        <w:contextualSpacing/>
        <w:jc w:val="both"/>
        <w:rPr>
          <w:rFonts w:ascii="Arial Narrow" w:eastAsia="Times New Roman" w:hAnsi="Arial Narrow" w:cs="Times New Roman"/>
          <w:bCs/>
          <w:kern w:val="32"/>
          <w:lang w:eastAsia="sk-SK"/>
        </w:rPr>
      </w:pPr>
    </w:p>
    <w:p w:rsidR="00006DBB" w:rsidRPr="00006DBB" w:rsidRDefault="00006DBB" w:rsidP="00006DBB">
      <w:pPr>
        <w:spacing w:after="0" w:line="240" w:lineRule="auto"/>
        <w:ind w:left="426"/>
        <w:contextualSpacing/>
        <w:jc w:val="both"/>
        <w:rPr>
          <w:rFonts w:ascii="Arial Narrow" w:eastAsia="Times New Roman" w:hAnsi="Arial Narrow" w:cs="Times New Roman"/>
          <w:b/>
          <w:bCs/>
          <w:kern w:val="32"/>
          <w:lang w:eastAsia="sk-SK"/>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77"/>
        <w:gridCol w:w="1134"/>
        <w:gridCol w:w="2552"/>
        <w:gridCol w:w="2409"/>
      </w:tblGrid>
      <w:tr w:rsidR="00006DBB" w:rsidRPr="00006DBB" w:rsidTr="006D3F34">
        <w:tc>
          <w:tcPr>
            <w:tcW w:w="9072" w:type="dxa"/>
            <w:gridSpan w:val="4"/>
            <w:tcBorders>
              <w:top w:val="nil"/>
              <w:left w:val="nil"/>
              <w:bottom w:val="single" w:sz="4" w:space="0" w:color="auto"/>
              <w:right w:val="nil"/>
            </w:tcBorders>
          </w:tcPr>
          <w:p w:rsidR="00006DBB" w:rsidRPr="00006DBB" w:rsidRDefault="00006DBB" w:rsidP="00006DBB">
            <w:pPr>
              <w:numPr>
                <w:ilvl w:val="0"/>
                <w:numId w:val="2"/>
              </w:numPr>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Informácia </w:t>
            </w:r>
            <w:r w:rsidRPr="00006DBB">
              <w:rPr>
                <w:rFonts w:ascii="Arial Narrow" w:eastAsia="Times New Roman" w:hAnsi="Arial Narrow" w:cs="Times New Roman"/>
                <w:b/>
              </w:rPr>
              <w:t xml:space="preserve">o </w:t>
            </w:r>
            <w:r w:rsidRPr="00006DBB">
              <w:rPr>
                <w:rFonts w:ascii="Arial Narrow" w:eastAsia="Times New Roman" w:hAnsi="Arial Narrow" w:cs="Times New Roman"/>
                <w:b/>
                <w:lang w:eastAsia="sk-SK"/>
              </w:rPr>
              <w:t>oprave významných chýb minulých účtovných období účtovaných</w:t>
            </w:r>
            <w:r w:rsidRPr="00006DBB">
              <w:rPr>
                <w:rFonts w:ascii="Arial Narrow" w:eastAsia="Times New Roman" w:hAnsi="Arial Narrow" w:cs="Times New Roman"/>
                <w:lang w:eastAsia="sk-SK"/>
              </w:rPr>
              <w:t xml:space="preserve">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rsidR="00006DBB" w:rsidRPr="00006DBB" w:rsidRDefault="00006DBB" w:rsidP="00006DBB">
            <w:pPr>
              <w:spacing w:after="0" w:line="240" w:lineRule="auto"/>
              <w:ind w:left="360"/>
              <w:jc w:val="both"/>
              <w:rPr>
                <w:rFonts w:ascii="Arial Narrow" w:eastAsia="Times New Roman" w:hAnsi="Arial Narrow" w:cs="Times New Roman"/>
              </w:rPr>
            </w:pPr>
          </w:p>
        </w:tc>
      </w:tr>
      <w:tr w:rsidR="00006DBB" w:rsidRPr="00006DBB" w:rsidTr="006D3F34">
        <w:trPr>
          <w:trHeight w:val="397"/>
        </w:trPr>
        <w:tc>
          <w:tcPr>
            <w:tcW w:w="2977"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40" w:lineRule="auto"/>
              <w:ind w:right="-468"/>
              <w:rPr>
                <w:rFonts w:ascii="Arial Narrow" w:eastAsia="Times New Roman" w:hAnsi="Arial Narrow" w:cs="Times New Roman"/>
                <w:bCs/>
              </w:rPr>
            </w:pPr>
            <w:r w:rsidRPr="00006DBB">
              <w:rPr>
                <w:rFonts w:ascii="Arial Narrow" w:eastAsia="Times New Roman" w:hAnsi="Arial Narrow" w:cs="Times New Roman"/>
                <w:bCs/>
              </w:rPr>
              <w:t>Opis</w:t>
            </w:r>
          </w:p>
        </w:tc>
        <w:tc>
          <w:tcPr>
            <w:tcW w:w="1134" w:type="dxa"/>
            <w:tcBorders>
              <w:top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účet</w:t>
            </w:r>
          </w:p>
        </w:tc>
        <w:tc>
          <w:tcPr>
            <w:tcW w:w="2552"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 HV Bežné obdobie</w:t>
            </w:r>
          </w:p>
        </w:tc>
        <w:tc>
          <w:tcPr>
            <w:tcW w:w="2409"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 Vplyv na vlastné imanie</w:t>
            </w:r>
          </w:p>
        </w:tc>
      </w:tr>
      <w:tr w:rsidR="00006DBB" w:rsidRPr="00006DBB" w:rsidTr="006D3F34">
        <w:trPr>
          <w:trHeight w:val="340"/>
        </w:trPr>
        <w:tc>
          <w:tcPr>
            <w:tcW w:w="2977" w:type="dxa"/>
            <w:tcBorders>
              <w:top w:val="single" w:sz="4" w:space="0" w:color="auto"/>
              <w:righ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p>
        </w:tc>
        <w:tc>
          <w:tcPr>
            <w:tcW w:w="1134" w:type="dxa"/>
            <w:tcBorders>
              <w:top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2552" w:type="dxa"/>
            <w:tcBorders>
              <w:top w:val="single" w:sz="4" w:space="0" w:color="auto"/>
              <w:left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2409" w:type="dxa"/>
            <w:tcBorders>
              <w:top w:val="single" w:sz="4" w:space="0" w:color="auto"/>
              <w:lef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r>
      <w:tr w:rsidR="00006DBB" w:rsidRPr="00006DBB" w:rsidTr="006D3F34">
        <w:trPr>
          <w:trHeight w:val="340"/>
        </w:trPr>
        <w:tc>
          <w:tcPr>
            <w:tcW w:w="2977" w:type="dxa"/>
            <w:tcBorders>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1134" w:type="dxa"/>
            <w:tcBorders>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2552" w:type="dxa"/>
            <w:tcBorders>
              <w:left w:val="single" w:sz="4" w:space="0" w:color="auto"/>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2409" w:type="dxa"/>
            <w:tcBorders>
              <w:left w:val="single" w:sz="4" w:space="0" w:color="auto"/>
              <w:bottom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r>
      <w:tr w:rsidR="00006DBB" w:rsidRPr="00006DBB" w:rsidTr="006D3F34">
        <w:trPr>
          <w:trHeight w:val="340"/>
        </w:trPr>
        <w:tc>
          <w:tcPr>
            <w:tcW w:w="2977" w:type="dxa"/>
            <w:tcBorders>
              <w:top w:val="single" w:sz="4" w:space="0" w:color="auto"/>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1134" w:type="dxa"/>
            <w:tcBorders>
              <w:top w:val="single" w:sz="4" w:space="0" w:color="auto"/>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2552" w:type="dxa"/>
            <w:tcBorders>
              <w:top w:val="single" w:sz="4" w:space="0" w:color="auto"/>
              <w:left w:val="single" w:sz="4" w:space="0" w:color="auto"/>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2409" w:type="dxa"/>
            <w:tcBorders>
              <w:top w:val="single" w:sz="4" w:space="0" w:color="auto"/>
              <w:left w:val="single" w:sz="4" w:space="0" w:color="auto"/>
              <w:bottom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r>
    </w:tbl>
    <w:p w:rsidR="00744DA6" w:rsidRDefault="00744DA6" w:rsidP="00744DA6">
      <w:pPr>
        <w:pStyle w:val="Default"/>
        <w:rPr>
          <w:rFonts w:ascii="Arial Narrow" w:eastAsia="Times New Roman" w:hAnsi="Arial Narrow" w:cs="Times New Roman"/>
          <w:color w:val="auto"/>
          <w:sz w:val="22"/>
          <w:szCs w:val="36"/>
        </w:rPr>
      </w:pPr>
    </w:p>
    <w:p w:rsidR="00744DA6" w:rsidRDefault="00744DA6" w:rsidP="00744DA6">
      <w:pPr>
        <w:pStyle w:val="Default"/>
        <w:rPr>
          <w:rFonts w:ascii="Arial Narrow" w:eastAsia="Times New Roman" w:hAnsi="Arial Narrow" w:cs="Times New Roman"/>
          <w:color w:val="auto"/>
          <w:sz w:val="22"/>
          <w:szCs w:val="36"/>
        </w:rPr>
      </w:pPr>
    </w:p>
    <w:p w:rsidR="00744DA6" w:rsidRDefault="00744DA6" w:rsidP="00744DA6">
      <w:pPr>
        <w:pStyle w:val="Default"/>
        <w:numPr>
          <w:ilvl w:val="0"/>
          <w:numId w:val="2"/>
        </w:numPr>
        <w:rPr>
          <w:sz w:val="22"/>
          <w:szCs w:val="22"/>
        </w:rPr>
      </w:pPr>
      <w:r>
        <w:rPr>
          <w:sz w:val="22"/>
          <w:szCs w:val="22"/>
        </w:rPr>
        <w:t xml:space="preserve">Informácie o transakciách medzi vykazujúcou účtovnou jednotkou a spriaznenými osobami sa uvádzajú z dôvodu potreby užívateľov účtovnej závierky porozumieť vplyvu týchto transakcií na účtovnú závierku </w:t>
      </w:r>
    </w:p>
    <w:p w:rsidR="00006DBB" w:rsidRDefault="00006DBB" w:rsidP="00006DBB">
      <w:pPr>
        <w:spacing w:after="200" w:line="276" w:lineRule="auto"/>
        <w:rPr>
          <w:rFonts w:ascii="Arial Narrow" w:eastAsia="Times New Roman" w:hAnsi="Arial Narrow" w:cs="Times New Roman"/>
          <w:szCs w:val="36"/>
        </w:rPr>
      </w:pPr>
    </w:p>
    <w:p w:rsidR="007F4A30" w:rsidRDefault="007F4A30" w:rsidP="00006DBB">
      <w:pPr>
        <w:spacing w:after="200" w:line="276" w:lineRule="auto"/>
        <w:rPr>
          <w:rFonts w:ascii="Arial Narrow" w:eastAsia="Times New Roman" w:hAnsi="Arial Narrow" w:cs="Times New Roman"/>
          <w:szCs w:val="36"/>
        </w:rPr>
      </w:pPr>
    </w:p>
    <w:p w:rsidR="007F4A30" w:rsidRDefault="007F4A30" w:rsidP="00006DBB">
      <w:pPr>
        <w:spacing w:after="200" w:line="276" w:lineRule="auto"/>
        <w:rPr>
          <w:rFonts w:ascii="Arial Narrow" w:eastAsia="Times New Roman" w:hAnsi="Arial Narrow" w:cs="Times New Roman"/>
          <w:szCs w:val="36"/>
        </w:rPr>
      </w:pPr>
    </w:p>
    <w:p w:rsidR="007F4A30" w:rsidRPr="00006DBB" w:rsidRDefault="007F4A30" w:rsidP="00006DBB">
      <w:pPr>
        <w:spacing w:after="200" w:line="276" w:lineRule="auto"/>
        <w:rPr>
          <w:rFonts w:ascii="Arial Narrow" w:eastAsia="Times New Roman" w:hAnsi="Arial Narrow" w:cs="Times New Roman"/>
          <w:szCs w:val="36"/>
        </w:rPr>
      </w:pPr>
    </w:p>
    <w:p w:rsidR="00006DBB" w:rsidRDefault="00744DA6" w:rsidP="00006DBB">
      <w:pPr>
        <w:spacing w:after="200" w:line="276" w:lineRule="auto"/>
        <w:rPr>
          <w:rFonts w:ascii="Arial Narrow" w:eastAsia="Times New Roman" w:hAnsi="Arial Narrow" w:cs="Times New Roman"/>
          <w:szCs w:val="36"/>
        </w:rPr>
      </w:pPr>
      <w:r>
        <w:rPr>
          <w:rFonts w:ascii="Arial Narrow" w:eastAsia="Times New Roman" w:hAnsi="Arial Narrow" w:cs="Times New Roman"/>
          <w:szCs w:val="36"/>
        </w:rPr>
        <w:lastRenderedPageBreak/>
        <w:t xml:space="preserve">Prehľad transakcií so spriaznenými osobami </w:t>
      </w:r>
      <w:r w:rsidR="007F4A30">
        <w:rPr>
          <w:rFonts w:ascii="Arial Narrow" w:eastAsia="Times New Roman" w:hAnsi="Arial Narrow" w:cs="Times New Roman"/>
          <w:szCs w:val="36"/>
        </w:rPr>
        <w:t xml:space="preserve">: </w:t>
      </w:r>
    </w:p>
    <w:p w:rsidR="007F4A30" w:rsidRDefault="007F4A30" w:rsidP="00407B2A">
      <w:pPr>
        <w:pBdr>
          <w:top w:val="single" w:sz="4" w:space="1" w:color="auto"/>
          <w:left w:val="single" w:sz="4" w:space="4" w:color="auto"/>
          <w:bottom w:val="single" w:sz="4" w:space="1" w:color="auto"/>
          <w:right w:val="single" w:sz="4" w:space="4" w:color="auto"/>
          <w:between w:val="single" w:sz="4" w:space="1" w:color="auto"/>
          <w:bar w:val="single" w:sz="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Spoločnosť </w:t>
      </w:r>
      <w:r w:rsidRPr="00407B2A">
        <w:rPr>
          <w:rFonts w:ascii="Arial Narrow" w:eastAsia="Times New Roman" w:hAnsi="Arial Narrow" w:cs="Times New Roman"/>
          <w:b/>
          <w:szCs w:val="36"/>
        </w:rPr>
        <w:tab/>
      </w:r>
      <w:r w:rsidRPr="00407B2A">
        <w:rPr>
          <w:rFonts w:ascii="Arial Narrow" w:eastAsia="Times New Roman" w:hAnsi="Arial Narrow" w:cs="Times New Roman"/>
          <w:b/>
          <w:szCs w:val="36"/>
        </w:rPr>
        <w:tab/>
      </w:r>
      <w:r w:rsidRPr="00407B2A">
        <w:rPr>
          <w:rFonts w:ascii="Arial Narrow" w:eastAsia="Times New Roman" w:hAnsi="Arial Narrow" w:cs="Times New Roman"/>
          <w:b/>
          <w:szCs w:val="36"/>
        </w:rPr>
        <w:tab/>
      </w:r>
      <w:r w:rsidRPr="00407B2A">
        <w:rPr>
          <w:rFonts w:ascii="Arial Narrow" w:eastAsia="Times New Roman" w:hAnsi="Arial Narrow" w:cs="Times New Roman"/>
          <w:b/>
          <w:szCs w:val="36"/>
        </w:rPr>
        <w:tab/>
        <w:t xml:space="preserve">Predmet transakcie    Dátum realizácie </w:t>
      </w:r>
      <w:r w:rsidRPr="00407B2A">
        <w:rPr>
          <w:rFonts w:ascii="Arial Narrow" w:eastAsia="Times New Roman" w:hAnsi="Arial Narrow" w:cs="Times New Roman"/>
          <w:b/>
          <w:szCs w:val="36"/>
        </w:rPr>
        <w:tab/>
        <w:t>Suma netto ( EUR</w:t>
      </w:r>
      <w:r>
        <w:rPr>
          <w:rFonts w:ascii="Arial Narrow" w:eastAsia="Times New Roman" w:hAnsi="Arial Narrow" w:cs="Times New Roman"/>
          <w:szCs w:val="36"/>
        </w:rPr>
        <w:t xml:space="preserve">) </w:t>
      </w:r>
    </w:p>
    <w:p w:rsidR="007F4A30" w:rsidRDefault="007F4A30"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SOLA Switzerland AG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predaj tovaru </w:t>
      </w:r>
      <w:r>
        <w:rPr>
          <w:rFonts w:ascii="Arial Narrow" w:eastAsia="Times New Roman" w:hAnsi="Arial Narrow" w:cs="Times New Roman"/>
          <w:szCs w:val="36"/>
        </w:rPr>
        <w:tab/>
      </w:r>
      <w:r>
        <w:rPr>
          <w:rFonts w:ascii="Arial Narrow" w:eastAsia="Times New Roman" w:hAnsi="Arial Narrow" w:cs="Times New Roman"/>
          <w:szCs w:val="36"/>
        </w:rPr>
        <w:tab/>
        <w:t>január-december     102 472,23</w:t>
      </w:r>
    </w:p>
    <w:p w:rsidR="007F4A30" w:rsidRDefault="007F4A30"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SOLA Switzerland AG</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 xml:space="preserve">predaj služba </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Pr>
          <w:rFonts w:ascii="Arial Narrow" w:eastAsia="Times New Roman" w:hAnsi="Arial Narrow" w:cs="Times New Roman"/>
          <w:szCs w:val="36"/>
        </w:rPr>
        <w:t>424 181,39</w:t>
      </w:r>
    </w:p>
    <w:p w:rsidR="007F4A30" w:rsidRDefault="007F4A30"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SOLA Switzerland AG</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 xml:space="preserve">nákup </w:t>
      </w:r>
      <w:r>
        <w:rPr>
          <w:rFonts w:ascii="Arial Narrow" w:eastAsia="Times New Roman" w:hAnsi="Arial Narrow" w:cs="Times New Roman"/>
          <w:szCs w:val="36"/>
        </w:rPr>
        <w:t xml:space="preserve"> tovaru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Pr>
          <w:rFonts w:ascii="Arial Narrow" w:eastAsia="Times New Roman" w:hAnsi="Arial Narrow" w:cs="Times New Roman"/>
          <w:szCs w:val="36"/>
        </w:rPr>
        <w:t>160 635,21</w:t>
      </w:r>
    </w:p>
    <w:p w:rsidR="007F4A30" w:rsidRDefault="007F4A30"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SOLA Switzerland AG</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 xml:space="preserve">úroky z pôžičky </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t xml:space="preserve">december  </w:t>
      </w:r>
      <w:r>
        <w:rPr>
          <w:rFonts w:ascii="Arial Narrow" w:eastAsia="Times New Roman" w:hAnsi="Arial Narrow" w:cs="Times New Roman"/>
          <w:szCs w:val="36"/>
        </w:rPr>
        <w:tab/>
        <w:t xml:space="preserve">          346,67</w:t>
      </w:r>
    </w:p>
    <w:p w:rsidR="007F4A30" w:rsidRDefault="007F4A30"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HING YIP Company</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nákup</w:t>
      </w:r>
      <w:r>
        <w:rPr>
          <w:rFonts w:ascii="Arial Narrow" w:eastAsia="Times New Roman" w:hAnsi="Arial Narrow" w:cs="Times New Roman"/>
          <w:szCs w:val="36"/>
        </w:rPr>
        <w:t xml:space="preserve"> tovaru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407B2A">
        <w:rPr>
          <w:rFonts w:ascii="Arial Narrow" w:eastAsia="Times New Roman" w:hAnsi="Arial Narrow" w:cs="Times New Roman"/>
          <w:szCs w:val="36"/>
        </w:rPr>
        <w:t>1 194 310,32</w:t>
      </w:r>
    </w:p>
    <w:p w:rsidR="00407B2A" w:rsidRDefault="00407B2A"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HING YIP Company</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nákup </w:t>
      </w:r>
      <w:r>
        <w:rPr>
          <w:rFonts w:ascii="Arial Narrow" w:eastAsia="Times New Roman" w:hAnsi="Arial Narrow" w:cs="Times New Roman"/>
          <w:szCs w:val="36"/>
        </w:rPr>
        <w:t xml:space="preserve">služby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Pr>
          <w:rFonts w:ascii="Arial Narrow" w:eastAsia="Times New Roman" w:hAnsi="Arial Narrow" w:cs="Times New Roman"/>
          <w:szCs w:val="36"/>
        </w:rPr>
        <w:t xml:space="preserve">      7 204,44</w:t>
      </w:r>
    </w:p>
    <w:p w:rsidR="00407B2A" w:rsidRDefault="00407B2A"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Pr>
          <w:b/>
          <w:bCs/>
          <w:color w:val="000000"/>
        </w:rPr>
        <w:t>PT. O BON INDONESIA</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nákup tovaru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Pr>
          <w:rFonts w:ascii="Arial Narrow" w:eastAsia="Times New Roman" w:hAnsi="Arial Narrow" w:cs="Times New Roman"/>
          <w:szCs w:val="36"/>
        </w:rPr>
        <w:t xml:space="preserve">  623 006,18</w:t>
      </w:r>
    </w:p>
    <w:p w:rsidR="00407B2A" w:rsidRDefault="00407B2A"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Pr>
          <w:b/>
          <w:bCs/>
          <w:color w:val="000000"/>
        </w:rPr>
        <w:t>PT. O BON INDONESIA</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nákup </w:t>
      </w:r>
      <w:r>
        <w:rPr>
          <w:rFonts w:ascii="Arial Narrow" w:eastAsia="Times New Roman" w:hAnsi="Arial Narrow" w:cs="Times New Roman"/>
          <w:szCs w:val="36"/>
        </w:rPr>
        <w:t xml:space="preserve">služby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Pr>
          <w:rFonts w:ascii="Arial Narrow" w:eastAsia="Times New Roman" w:hAnsi="Arial Narrow" w:cs="Times New Roman"/>
          <w:szCs w:val="36"/>
        </w:rPr>
        <w:t xml:space="preserve">    1 798,59</w:t>
      </w:r>
    </w:p>
    <w:p w:rsidR="00407B2A" w:rsidRDefault="00407B2A"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Pr>
          <w:b/>
          <w:bCs/>
          <w:color w:val="000000"/>
        </w:rPr>
        <w:t>PT. MIRAE FLATWARE INDONESIA</w:t>
      </w:r>
      <w:r>
        <w:rPr>
          <w:rFonts w:ascii="Arial Narrow" w:eastAsia="Times New Roman" w:hAnsi="Arial Narrow" w:cs="Times New Roman"/>
          <w:szCs w:val="36"/>
        </w:rPr>
        <w:tab/>
        <w:t xml:space="preserve">nákup tovaru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Pr>
          <w:rFonts w:ascii="Arial Narrow" w:eastAsia="Times New Roman" w:hAnsi="Arial Narrow" w:cs="Times New Roman"/>
          <w:szCs w:val="36"/>
        </w:rPr>
        <w:t>136 513,79</w:t>
      </w:r>
    </w:p>
    <w:p w:rsidR="00407B2A" w:rsidRDefault="00407B2A" w:rsidP="00407B2A">
      <w:pPr>
        <w:pBdr>
          <w:top w:val="single" w:sz="4" w:space="1" w:color="auto"/>
          <w:left w:val="single" w:sz="4" w:space="4" w:color="auto"/>
          <w:bottom w:val="single" w:sz="4" w:space="1" w:color="auto"/>
          <w:right w:val="single" w:sz="4" w:space="4" w:color="auto"/>
        </w:pBdr>
        <w:spacing w:after="200" w:line="276" w:lineRule="auto"/>
        <w:rPr>
          <w:rFonts w:ascii="Arial Narrow" w:eastAsia="Times New Roman" w:hAnsi="Arial Narrow" w:cs="Times New Roman"/>
          <w:szCs w:val="36"/>
        </w:rPr>
      </w:pPr>
      <w:r>
        <w:rPr>
          <w:b/>
          <w:bCs/>
          <w:color w:val="000000"/>
        </w:rPr>
        <w:t>PT. MIRAE FLATWARE INDONESIA</w:t>
      </w:r>
      <w:r>
        <w:rPr>
          <w:rFonts w:ascii="Arial Narrow" w:eastAsia="Times New Roman" w:hAnsi="Arial Narrow" w:cs="Times New Roman"/>
          <w:szCs w:val="36"/>
        </w:rPr>
        <w:tab/>
        <w:t>nákup</w:t>
      </w:r>
      <w:r>
        <w:rPr>
          <w:rFonts w:ascii="Arial Narrow" w:eastAsia="Times New Roman" w:hAnsi="Arial Narrow" w:cs="Times New Roman"/>
          <w:szCs w:val="36"/>
        </w:rPr>
        <w:t xml:space="preserve"> služby</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Pr>
          <w:rFonts w:ascii="Arial Narrow" w:eastAsia="Times New Roman" w:hAnsi="Arial Narrow" w:cs="Times New Roman"/>
          <w:szCs w:val="36"/>
        </w:rPr>
        <w:t xml:space="preserve">       </w:t>
      </w:r>
      <w:r>
        <w:rPr>
          <w:rFonts w:ascii="Arial Narrow" w:eastAsia="Times New Roman" w:hAnsi="Arial Narrow" w:cs="Times New Roman"/>
          <w:szCs w:val="36"/>
        </w:rPr>
        <w:t xml:space="preserve"> </w:t>
      </w:r>
      <w:r>
        <w:rPr>
          <w:rFonts w:ascii="Arial Narrow" w:eastAsia="Times New Roman" w:hAnsi="Arial Narrow" w:cs="Times New Roman"/>
          <w:szCs w:val="36"/>
        </w:rPr>
        <w:t>241,83</w:t>
      </w:r>
    </w:p>
    <w:p w:rsidR="00407B2A" w:rsidRDefault="00407B2A" w:rsidP="00407B2A">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Čl.IV – Informácie, ktoré vysvetľujú a dopĺňajú súvahu a výkaz ziskov a strát </w:t>
      </w: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K dlhodobému nehmotnému majetku, ktorým je goodwill alebo záporný goodwill sa uvádza dôvod jeho vzniku, spôsob výpočtu a prehodnotenie opodstatnenosti jeho výšky a odpisu jeho hodnoty:</w:t>
      </w:r>
      <w:r w:rsidRPr="00006DBB">
        <w:rPr>
          <w:rFonts w:ascii="Arial Narrow" w:eastAsia="Times New Roman" w:hAnsi="Arial Narrow" w:cs="Times New Roman"/>
          <w:u w:val="single"/>
        </w:rPr>
        <w:t xml:space="preserve"> - bez obsahovej náplne</w:t>
      </w:r>
    </w:p>
    <w:p w:rsidR="00006DBB" w:rsidRPr="00006DBB" w:rsidRDefault="00006DBB" w:rsidP="00006DBB">
      <w:pPr>
        <w:spacing w:after="0" w:line="240" w:lineRule="auto"/>
        <w:ind w:left="357"/>
        <w:contextualSpacing/>
        <w:jc w:val="both"/>
        <w:rPr>
          <w:rFonts w:ascii="Arial Narrow" w:eastAsia="Times New Roman" w:hAnsi="Arial Narrow" w:cs="Times New Roman"/>
          <w:bCs/>
          <w:lang w:eastAsia="sk-SK"/>
        </w:rPr>
      </w:pPr>
    </w:p>
    <w:p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t>
      </w:r>
      <w:r w:rsidRPr="00006DBB">
        <w:rPr>
          <w:rFonts w:ascii="Arial Narrow" w:eastAsia="Times New Roman" w:hAnsi="Arial Narrow" w:cs="Times New Roman"/>
          <w:u w:val="single"/>
        </w:rPr>
        <w:t xml:space="preserve"> - bez obsahovej náplne</w:t>
      </w:r>
    </w:p>
    <w:p w:rsidR="00006DBB" w:rsidRPr="00006DBB" w:rsidRDefault="00006DBB" w:rsidP="00006DBB">
      <w:pPr>
        <w:spacing w:after="0" w:line="240" w:lineRule="auto"/>
        <w:ind w:left="357"/>
        <w:contextualSpacing/>
        <w:jc w:val="both"/>
        <w:rPr>
          <w:rFonts w:ascii="Arial Narrow" w:eastAsia="Times New Roman" w:hAnsi="Arial Narrow" w:cs="Times New Roman"/>
          <w:bCs/>
          <w:lang w:eastAsia="sk-SK"/>
        </w:rPr>
      </w:pPr>
    </w:p>
    <w:p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Informácie o záväzkoch</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0"/>
        <w:gridCol w:w="2521"/>
        <w:gridCol w:w="2041"/>
      </w:tblGrid>
      <w:tr w:rsidR="00006DBB" w:rsidRPr="00006DBB" w:rsidTr="006D3F34">
        <w:trPr>
          <w:trHeight w:val="340"/>
        </w:trPr>
        <w:tc>
          <w:tcPr>
            <w:tcW w:w="2423" w:type="pct"/>
            <w:vMerge w:val="restart"/>
            <w:vAlign w:val="center"/>
            <w:hideMark/>
          </w:tcPr>
          <w:p w:rsidR="00006DBB" w:rsidRPr="00006DBB" w:rsidRDefault="00006DBB" w:rsidP="00006DBB">
            <w:pPr>
              <w:spacing w:after="0" w:line="276" w:lineRule="auto"/>
              <w:rPr>
                <w:rFonts w:ascii="Arial Narrow" w:eastAsia="Times New Roman" w:hAnsi="Arial Narrow" w:cs="Times New Roman"/>
                <w:b/>
              </w:rPr>
            </w:pPr>
            <w:r w:rsidRPr="00006DBB">
              <w:rPr>
                <w:rFonts w:ascii="Arial Narrow" w:eastAsia="Times New Roman" w:hAnsi="Arial Narrow" w:cs="Times New Roman"/>
                <w:bCs/>
                <w:color w:val="000000"/>
                <w:lang w:eastAsia="sk-SK"/>
              </w:rPr>
              <w:t>Celková suma záväzkov so zostatkovou dobou splatnosti dlhšou ako päť rokov:</w:t>
            </w:r>
          </w:p>
        </w:tc>
        <w:tc>
          <w:tcPr>
            <w:tcW w:w="1424"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BO</w:t>
            </w:r>
          </w:p>
        </w:tc>
        <w:tc>
          <w:tcPr>
            <w:tcW w:w="1153" w:type="pct"/>
            <w:vAlign w:val="center"/>
            <w:hideMark/>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PO</w:t>
            </w:r>
          </w:p>
        </w:tc>
      </w:tr>
      <w:tr w:rsidR="00006DBB" w:rsidRPr="00006DBB" w:rsidTr="006D3F34">
        <w:trPr>
          <w:trHeight w:val="340"/>
        </w:trPr>
        <w:tc>
          <w:tcPr>
            <w:tcW w:w="2423" w:type="pct"/>
            <w:vMerge/>
            <w:hideMark/>
          </w:tcPr>
          <w:p w:rsidR="00006DBB" w:rsidRPr="00006DBB" w:rsidRDefault="00006DBB" w:rsidP="00006DBB">
            <w:pPr>
              <w:numPr>
                <w:ilvl w:val="0"/>
                <w:numId w:val="4"/>
              </w:numPr>
              <w:spacing w:after="0" w:line="240" w:lineRule="auto"/>
              <w:jc w:val="both"/>
              <w:rPr>
                <w:rFonts w:ascii="Arial Narrow" w:eastAsia="Times New Roman" w:hAnsi="Arial Narrow" w:cs="Times New Roman"/>
                <w:bCs/>
                <w:color w:val="000000"/>
                <w:lang w:eastAsia="sk-SK"/>
              </w:rPr>
            </w:pPr>
          </w:p>
        </w:tc>
        <w:tc>
          <w:tcPr>
            <w:tcW w:w="1424"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highlight w:val="yellow"/>
              </w:rPr>
            </w:pPr>
            <w:r w:rsidRPr="00006DBB">
              <w:rPr>
                <w:rFonts w:ascii="Arial Narrow" w:eastAsia="Times New Roman" w:hAnsi="Arial Narrow" w:cs="Times New Roman"/>
              </w:rPr>
              <w:t>0</w:t>
            </w:r>
          </w:p>
        </w:tc>
        <w:tc>
          <w:tcPr>
            <w:tcW w:w="1153"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0</w:t>
            </w:r>
          </w:p>
        </w:tc>
      </w:tr>
      <w:tr w:rsidR="00006DBB" w:rsidRPr="00006DBB" w:rsidTr="006D3F34">
        <w:trPr>
          <w:trHeight w:val="340"/>
        </w:trPr>
        <w:tc>
          <w:tcPr>
            <w:tcW w:w="2423" w:type="pct"/>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bCs/>
              </w:rPr>
              <w:t>Celková suma záväzkov so zostatkovou dobou splatnosti 1 až 5 rokov</w:t>
            </w:r>
          </w:p>
        </w:tc>
        <w:tc>
          <w:tcPr>
            <w:tcW w:w="1424" w:type="pct"/>
            <w:noWrap/>
            <w:vAlign w:val="center"/>
          </w:tcPr>
          <w:p w:rsidR="00006DBB" w:rsidRPr="00006DBB" w:rsidRDefault="00006DBB" w:rsidP="00006DBB">
            <w:pPr>
              <w:spacing w:after="0" w:line="240" w:lineRule="auto"/>
              <w:jc w:val="center"/>
              <w:rPr>
                <w:rFonts w:ascii="Arial Narrow" w:eastAsia="Times New Roman" w:hAnsi="Arial Narrow" w:cs="Times New Roman"/>
                <w:bCs/>
                <w:highlight w:val="yellow"/>
              </w:rPr>
            </w:pPr>
            <w:r w:rsidRPr="00006DBB">
              <w:rPr>
                <w:rFonts w:ascii="Arial Narrow" w:eastAsia="Times New Roman" w:hAnsi="Arial Narrow" w:cs="Times New Roman"/>
                <w:bCs/>
              </w:rPr>
              <w:t>0</w:t>
            </w:r>
          </w:p>
        </w:tc>
        <w:tc>
          <w:tcPr>
            <w:tcW w:w="1153" w:type="pct"/>
            <w:vAlign w:val="center"/>
          </w:tcPr>
          <w:p w:rsidR="00006DBB" w:rsidRPr="00006DBB" w:rsidRDefault="00006DBB" w:rsidP="00006DBB">
            <w:pPr>
              <w:spacing w:after="0" w:line="240" w:lineRule="auto"/>
              <w:jc w:val="center"/>
              <w:rPr>
                <w:rFonts w:ascii="Arial Narrow" w:eastAsia="Times New Roman" w:hAnsi="Arial Narrow" w:cs="Times New Roman"/>
                <w:bCs/>
              </w:rPr>
            </w:pPr>
            <w:r>
              <w:rPr>
                <w:rFonts w:ascii="Arial Narrow" w:eastAsia="Times New Roman" w:hAnsi="Arial Narrow" w:cs="Times New Roman"/>
                <w:bCs/>
              </w:rPr>
              <w:t>0</w:t>
            </w:r>
          </w:p>
        </w:tc>
      </w:tr>
      <w:tr w:rsidR="00006DBB" w:rsidRPr="00006DBB" w:rsidTr="006D3F34">
        <w:trPr>
          <w:trHeight w:val="340"/>
        </w:trPr>
        <w:tc>
          <w:tcPr>
            <w:tcW w:w="2423" w:type="pct"/>
            <w:vAlign w:val="center"/>
            <w:hideMark/>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Celková suma záväzkov so zostatkovou dobou splatnosti do 1 roka</w:t>
            </w:r>
          </w:p>
        </w:tc>
        <w:tc>
          <w:tcPr>
            <w:tcW w:w="1424" w:type="pct"/>
            <w:noWrap/>
            <w:vAlign w:val="center"/>
            <w:hideMark/>
          </w:tcPr>
          <w:p w:rsidR="00006DBB" w:rsidRPr="00006DBB" w:rsidRDefault="00F34599" w:rsidP="00006DBB">
            <w:pPr>
              <w:spacing w:after="0" w:line="240" w:lineRule="auto"/>
              <w:jc w:val="center"/>
              <w:rPr>
                <w:rFonts w:ascii="Arial Narrow" w:eastAsia="Times New Roman" w:hAnsi="Arial Narrow" w:cs="Times New Roman"/>
                <w:highlight w:val="yellow"/>
              </w:rPr>
            </w:pPr>
            <w:r w:rsidRPr="00F34599">
              <w:rPr>
                <w:rFonts w:ascii="Arial Narrow" w:eastAsia="Times New Roman" w:hAnsi="Arial Narrow" w:cs="Times New Roman"/>
              </w:rPr>
              <w:t>1068642</w:t>
            </w:r>
          </w:p>
        </w:tc>
        <w:tc>
          <w:tcPr>
            <w:tcW w:w="1153" w:type="pct"/>
            <w:noWrap/>
            <w:vAlign w:val="center"/>
            <w:hideMark/>
          </w:tcPr>
          <w:p w:rsidR="00006DBB" w:rsidRPr="00006DBB" w:rsidRDefault="00157076" w:rsidP="00006DBB">
            <w:pPr>
              <w:spacing w:after="0" w:line="240" w:lineRule="auto"/>
              <w:jc w:val="center"/>
              <w:rPr>
                <w:rFonts w:ascii="Arial Narrow" w:eastAsia="Times New Roman" w:hAnsi="Arial Narrow" w:cs="Times New Roman"/>
              </w:rPr>
            </w:pPr>
            <w:r>
              <w:rPr>
                <w:rFonts w:ascii="Arial Narrow" w:eastAsia="Times New Roman" w:hAnsi="Arial Narrow" w:cs="Times New Roman"/>
              </w:rPr>
              <w:t>706736</w:t>
            </w:r>
          </w:p>
        </w:tc>
      </w:tr>
      <w:tr w:rsidR="00006DBB" w:rsidRPr="00006DBB" w:rsidTr="006D3F34">
        <w:trPr>
          <w:trHeight w:val="340"/>
        </w:trPr>
        <w:tc>
          <w:tcPr>
            <w:tcW w:w="2423" w:type="pct"/>
            <w:vAlign w:val="center"/>
            <w:hideMark/>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Záväzky zabezpečené záložným právom</w:t>
            </w:r>
          </w:p>
        </w:tc>
        <w:tc>
          <w:tcPr>
            <w:tcW w:w="1424"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0</w:t>
            </w:r>
          </w:p>
        </w:tc>
        <w:tc>
          <w:tcPr>
            <w:tcW w:w="1153"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0</w:t>
            </w:r>
          </w:p>
        </w:tc>
      </w:tr>
      <w:tr w:rsidR="00006DBB" w:rsidRPr="00006DBB" w:rsidTr="006D3F34">
        <w:trPr>
          <w:trHeight w:val="340"/>
        </w:trPr>
        <w:tc>
          <w:tcPr>
            <w:tcW w:w="2423" w:type="pct"/>
            <w:noWrap/>
            <w:vAlign w:val="center"/>
            <w:hideMark/>
          </w:tcPr>
          <w:p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Spolu</w:t>
            </w:r>
          </w:p>
        </w:tc>
        <w:tc>
          <w:tcPr>
            <w:tcW w:w="1424" w:type="pct"/>
            <w:noWrap/>
            <w:vAlign w:val="center"/>
            <w:hideMark/>
          </w:tcPr>
          <w:p w:rsidR="00006DBB" w:rsidRPr="00F34599" w:rsidRDefault="00F34599" w:rsidP="00006DBB">
            <w:pPr>
              <w:spacing w:after="0" w:line="240" w:lineRule="auto"/>
              <w:jc w:val="center"/>
              <w:rPr>
                <w:rFonts w:ascii="Arial Narrow" w:eastAsia="Times New Roman" w:hAnsi="Arial Narrow" w:cs="Times New Roman"/>
              </w:rPr>
            </w:pPr>
            <w:r w:rsidRPr="00F34599">
              <w:rPr>
                <w:rFonts w:ascii="Arial Narrow" w:eastAsia="Times New Roman" w:hAnsi="Arial Narrow" w:cs="Times New Roman"/>
              </w:rPr>
              <w:t>1068642</w:t>
            </w:r>
          </w:p>
        </w:tc>
        <w:tc>
          <w:tcPr>
            <w:tcW w:w="1153" w:type="pct"/>
            <w:noWrap/>
            <w:vAlign w:val="center"/>
            <w:hideMark/>
          </w:tcPr>
          <w:p w:rsidR="00006DBB" w:rsidRPr="00F34599" w:rsidRDefault="00157076" w:rsidP="00006DBB">
            <w:pPr>
              <w:spacing w:after="0" w:line="240" w:lineRule="auto"/>
              <w:jc w:val="center"/>
              <w:rPr>
                <w:rFonts w:ascii="Arial Narrow" w:eastAsia="Times New Roman" w:hAnsi="Arial Narrow" w:cs="Times New Roman"/>
              </w:rPr>
            </w:pPr>
            <w:r w:rsidRPr="00F34599">
              <w:rPr>
                <w:rFonts w:ascii="Arial Narrow" w:eastAsia="Times New Roman" w:hAnsi="Arial Narrow" w:cs="Times New Roman"/>
              </w:rPr>
              <w:t>706736</w:t>
            </w:r>
          </w:p>
        </w:tc>
      </w:tr>
    </w:tbl>
    <w:p w:rsidR="00006DBB" w:rsidRPr="00006DBB" w:rsidRDefault="00006DBB" w:rsidP="00006DBB">
      <w:pPr>
        <w:spacing w:after="0" w:line="240" w:lineRule="auto"/>
        <w:ind w:left="720"/>
        <w:contextualSpacing/>
        <w:jc w:val="both"/>
        <w:rPr>
          <w:rFonts w:ascii="Arial Narrow" w:eastAsia="Times New Roman" w:hAnsi="Arial Narrow" w:cs="Times New Roman"/>
          <w:bCs/>
          <w:lang w:eastAsia="sk-SK"/>
        </w:rPr>
      </w:pPr>
    </w:p>
    <w:p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lastRenderedPageBreak/>
        <w:t>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rsidR="00006DBB" w:rsidRPr="00006DBB" w:rsidRDefault="00006DBB" w:rsidP="00006DBB">
      <w:pPr>
        <w:spacing w:after="0" w:line="240" w:lineRule="auto"/>
        <w:ind w:left="357"/>
        <w:contextualSpacing/>
        <w:jc w:val="both"/>
        <w:rPr>
          <w:rFonts w:ascii="Arial Narrow" w:eastAsia="Times New Roman" w:hAnsi="Arial Narrow" w:cs="Times New Roman"/>
          <w:bCs/>
          <w:lang w:eastAsia="sk-SK"/>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95"/>
        <w:gridCol w:w="3685"/>
        <w:gridCol w:w="992"/>
      </w:tblGrid>
      <w:tr w:rsidR="00006DBB" w:rsidRPr="00006DBB" w:rsidTr="006D3F34">
        <w:trPr>
          <w:trHeight w:val="340"/>
        </w:trPr>
        <w:tc>
          <w:tcPr>
            <w:tcW w:w="4395" w:type="dxa"/>
            <w:tcBorders>
              <w:right w:val="single" w:sz="4" w:space="0" w:color="auto"/>
            </w:tcBorders>
            <w:vAlign w:val="center"/>
          </w:tcPr>
          <w:p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Popis nákladov ,výnosov výnimočného rozsahu</w:t>
            </w:r>
          </w:p>
        </w:tc>
        <w:tc>
          <w:tcPr>
            <w:tcW w:w="3685"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Dôvod vzniku</w:t>
            </w:r>
          </w:p>
        </w:tc>
        <w:tc>
          <w:tcPr>
            <w:tcW w:w="992" w:type="dxa"/>
            <w:tcBorders>
              <w:lef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EUR</w:t>
            </w:r>
          </w:p>
        </w:tc>
      </w:tr>
      <w:tr w:rsidR="00006DBB" w:rsidRPr="00006DBB" w:rsidTr="006D3F34">
        <w:trPr>
          <w:trHeight w:val="340"/>
        </w:trPr>
        <w:tc>
          <w:tcPr>
            <w:tcW w:w="4395" w:type="dxa"/>
            <w:tcBorders>
              <w:bottom w:val="single" w:sz="4" w:space="0" w:color="auto"/>
              <w:right w:val="single" w:sz="4" w:space="0" w:color="auto"/>
            </w:tcBorders>
          </w:tcPr>
          <w:p w:rsidR="00006DBB" w:rsidRPr="00006DBB" w:rsidRDefault="00006DBB" w:rsidP="00006DBB">
            <w:pPr>
              <w:spacing w:after="0" w:line="240" w:lineRule="auto"/>
              <w:rPr>
                <w:rFonts w:ascii="Arial Narrow" w:eastAsia="Times New Roman" w:hAnsi="Arial Narrow" w:cs="Times New Roman"/>
                <w:bCs/>
              </w:rPr>
            </w:pPr>
          </w:p>
        </w:tc>
        <w:tc>
          <w:tcPr>
            <w:tcW w:w="3685" w:type="dxa"/>
            <w:tcBorders>
              <w:bottom w:val="single" w:sz="4" w:space="0" w:color="auto"/>
              <w:right w:val="single" w:sz="4" w:space="0" w:color="auto"/>
            </w:tcBorders>
          </w:tcPr>
          <w:p w:rsidR="00006DBB" w:rsidRPr="00006DBB" w:rsidRDefault="00006DBB" w:rsidP="00006DBB">
            <w:pPr>
              <w:spacing w:after="0" w:line="240" w:lineRule="auto"/>
              <w:jc w:val="center"/>
              <w:rPr>
                <w:rFonts w:ascii="Arial Narrow" w:eastAsia="Times New Roman" w:hAnsi="Arial Narrow" w:cs="Times New Roman"/>
                <w:bCs/>
              </w:rPr>
            </w:pPr>
          </w:p>
        </w:tc>
        <w:tc>
          <w:tcPr>
            <w:tcW w:w="992" w:type="dxa"/>
            <w:tcBorders>
              <w:left w:val="single" w:sz="4" w:space="0" w:color="auto"/>
              <w:bottom w:val="single" w:sz="4" w:space="0" w:color="auto"/>
            </w:tcBorders>
          </w:tcPr>
          <w:p w:rsidR="00006DBB" w:rsidRPr="00006DBB" w:rsidRDefault="00006DBB" w:rsidP="00006DBB">
            <w:pPr>
              <w:spacing w:after="0" w:line="240" w:lineRule="auto"/>
              <w:jc w:val="center"/>
              <w:rPr>
                <w:rFonts w:ascii="Arial Narrow" w:eastAsia="Times New Roman" w:hAnsi="Arial Narrow" w:cs="Times New Roman"/>
                <w:bCs/>
              </w:rPr>
            </w:pPr>
          </w:p>
        </w:tc>
      </w:tr>
    </w:tbl>
    <w:p w:rsidR="00006DBB" w:rsidRPr="00006DBB" w:rsidRDefault="00006DBB" w:rsidP="00006DBB">
      <w:pPr>
        <w:spacing w:after="0" w:line="240" w:lineRule="auto"/>
        <w:rPr>
          <w:rFonts w:ascii="Arial Narrow" w:eastAsia="Times New Roman" w:hAnsi="Arial Narrow" w:cs="Times New Roman"/>
          <w:szCs w:val="36"/>
        </w:rPr>
      </w:pPr>
    </w:p>
    <w:p w:rsidR="00006DBB" w:rsidRPr="00006DBB" w:rsidRDefault="00006DBB" w:rsidP="00006DBB">
      <w:pPr>
        <w:spacing w:after="0" w:line="240" w:lineRule="auto"/>
        <w:rPr>
          <w:rFonts w:ascii="Arial Narrow" w:eastAsia="Times New Roman" w:hAnsi="Arial Narrow" w:cs="Times New Roman"/>
          <w:szCs w:val="36"/>
        </w:rPr>
      </w:pPr>
      <w:r w:rsidRPr="00006DBB">
        <w:rPr>
          <w:rFonts w:ascii="Arial Narrow" w:eastAsia="Times New Roman" w:hAnsi="Arial Narrow" w:cs="Times New Roman"/>
          <w:szCs w:val="36"/>
        </w:rPr>
        <w:t>(5)</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95"/>
        <w:gridCol w:w="708"/>
        <w:gridCol w:w="1276"/>
        <w:gridCol w:w="660"/>
        <w:gridCol w:w="1325"/>
        <w:gridCol w:w="708"/>
      </w:tblGrid>
      <w:tr w:rsidR="00006DBB" w:rsidRPr="00006DBB" w:rsidTr="006D3F34">
        <w:trPr>
          <w:trHeight w:val="340"/>
        </w:trPr>
        <w:tc>
          <w:tcPr>
            <w:tcW w:w="4395" w:type="dxa"/>
            <w:vMerge w:val="restart"/>
            <w:tcBorders>
              <w:right w:val="single" w:sz="4" w:space="0" w:color="auto"/>
            </w:tcBorders>
            <w:vAlign w:val="center"/>
          </w:tcPr>
          <w:p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 xml:space="preserve">Kapitálový fond z príspevkov podľa § 123 ods. 2 a </w:t>
            </w:r>
          </w:p>
          <w:p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 217a Obchodného zákonníka účtovná jednotka</w:t>
            </w:r>
          </w:p>
        </w:tc>
        <w:tc>
          <w:tcPr>
            <w:tcW w:w="708"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BO</w:t>
            </w:r>
          </w:p>
        </w:tc>
        <w:tc>
          <w:tcPr>
            <w:tcW w:w="1276"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vytvorila</w:t>
            </w:r>
          </w:p>
        </w:tc>
        <w:tc>
          <w:tcPr>
            <w:tcW w:w="660"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p>
        </w:tc>
        <w:tc>
          <w:tcPr>
            <w:tcW w:w="1325"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nevytvorila</w:t>
            </w:r>
          </w:p>
        </w:tc>
        <w:tc>
          <w:tcPr>
            <w:tcW w:w="708" w:type="dxa"/>
            <w:tcBorders>
              <w:lef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X</w:t>
            </w:r>
          </w:p>
        </w:tc>
      </w:tr>
      <w:tr w:rsidR="00006DBB" w:rsidRPr="00006DBB" w:rsidTr="006D3F34">
        <w:trPr>
          <w:trHeight w:val="340"/>
        </w:trPr>
        <w:tc>
          <w:tcPr>
            <w:tcW w:w="4395" w:type="dxa"/>
            <w:vMerge/>
            <w:tcBorders>
              <w:bottom w:val="single" w:sz="4" w:space="0" w:color="auto"/>
              <w:right w:val="single" w:sz="4" w:space="0" w:color="auto"/>
            </w:tcBorders>
          </w:tcPr>
          <w:p w:rsidR="00006DBB" w:rsidRPr="00006DBB" w:rsidRDefault="00006DBB" w:rsidP="00006DBB">
            <w:pPr>
              <w:spacing w:after="0" w:line="240" w:lineRule="auto"/>
              <w:rPr>
                <w:rFonts w:ascii="Arial Narrow" w:eastAsia="Times New Roman" w:hAnsi="Arial Narrow" w:cs="Times New Roman"/>
                <w:bCs/>
              </w:rPr>
            </w:pPr>
          </w:p>
        </w:tc>
        <w:tc>
          <w:tcPr>
            <w:tcW w:w="708" w:type="dxa"/>
            <w:tcBorders>
              <w:bottom w:val="single" w:sz="4" w:space="0" w:color="auto"/>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PO</w:t>
            </w:r>
          </w:p>
        </w:tc>
        <w:tc>
          <w:tcPr>
            <w:tcW w:w="1276" w:type="dxa"/>
            <w:tcBorders>
              <w:bottom w:val="single" w:sz="4" w:space="0" w:color="auto"/>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vytvorila</w:t>
            </w:r>
          </w:p>
        </w:tc>
        <w:tc>
          <w:tcPr>
            <w:tcW w:w="660" w:type="dxa"/>
            <w:tcBorders>
              <w:bottom w:val="single" w:sz="4" w:space="0" w:color="auto"/>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p>
        </w:tc>
        <w:tc>
          <w:tcPr>
            <w:tcW w:w="1325" w:type="dxa"/>
            <w:tcBorders>
              <w:bottom w:val="single" w:sz="4" w:space="0" w:color="auto"/>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nevytvorila</w:t>
            </w:r>
          </w:p>
        </w:tc>
        <w:tc>
          <w:tcPr>
            <w:tcW w:w="708" w:type="dxa"/>
            <w:tcBorders>
              <w:left w:val="single" w:sz="4" w:space="0" w:color="auto"/>
              <w:bottom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X</w:t>
            </w:r>
          </w:p>
        </w:tc>
      </w:tr>
    </w:tbl>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Čl.V - Informácie o iných aktívach a iných pasívach </w:t>
      </w:r>
    </w:p>
    <w:p w:rsidR="00006DBB" w:rsidRPr="00006DBB" w:rsidRDefault="00006DBB" w:rsidP="00006DBB">
      <w:pPr>
        <w:spacing w:after="200" w:line="276" w:lineRule="auto"/>
        <w:ind w:left="720"/>
        <w:rPr>
          <w:rFonts w:ascii="Arial Narrow" w:eastAsia="Times New Roman" w:hAnsi="Arial Narrow" w:cs="Times New Roman"/>
          <w:szCs w:val="36"/>
        </w:rPr>
      </w:pPr>
    </w:p>
    <w:p w:rsidR="00006DBB" w:rsidRPr="00006DBB" w:rsidRDefault="00006DBB" w:rsidP="00006DBB">
      <w:pPr>
        <w:numPr>
          <w:ilvl w:val="0"/>
          <w:numId w:val="8"/>
        </w:numPr>
        <w:spacing w:after="200" w:line="276" w:lineRule="auto"/>
        <w:rPr>
          <w:rFonts w:ascii="Arial Narrow" w:eastAsia="Times New Roman" w:hAnsi="Arial Narrow" w:cs="Times New Roman"/>
          <w:szCs w:val="36"/>
        </w:rPr>
      </w:pPr>
      <w:r w:rsidRPr="00006DBB">
        <w:rPr>
          <w:rFonts w:ascii="Arial Narrow" w:eastAsia="Times New Roman" w:hAnsi="Arial Narrow" w:cs="Times New Roman"/>
          <w:szCs w:val="36"/>
        </w:rPr>
        <w:t>bez obsahovej náplne</w:t>
      </w: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Čl.VI – Udalosti ,ktoré nastali po dni ,ku ktorému sa zostavuje účtovná závierka </w:t>
      </w:r>
    </w:p>
    <w:p w:rsidR="00006DBB" w:rsidRPr="00006DBB" w:rsidRDefault="00006DBB" w:rsidP="00006DBB">
      <w:pPr>
        <w:spacing w:after="200" w:line="276" w:lineRule="auto"/>
        <w:ind w:left="720"/>
        <w:rPr>
          <w:rFonts w:ascii="Arial Narrow" w:eastAsia="Times New Roman" w:hAnsi="Arial Narrow" w:cs="Times New Roman"/>
          <w:szCs w:val="36"/>
        </w:rPr>
      </w:pPr>
    </w:p>
    <w:p w:rsidR="00006DBB" w:rsidRPr="00006DBB" w:rsidRDefault="00006DBB" w:rsidP="00006DBB">
      <w:pPr>
        <w:spacing w:before="100" w:beforeAutospacing="1" w:after="100" w:afterAutospacing="1" w:line="240" w:lineRule="auto"/>
        <w:rPr>
          <w:rFonts w:ascii="Arial Narrow" w:eastAsia="Times New Roman" w:hAnsi="Arial Narrow" w:cs="Times New Roman"/>
          <w:iCs/>
          <w:lang w:eastAsia="sk-SK"/>
        </w:rPr>
      </w:pPr>
      <w:r w:rsidRPr="00006DBB">
        <w:rPr>
          <w:rFonts w:ascii="Arial Narrow" w:eastAsia="Times New Roman" w:hAnsi="Arial Narrow" w:cs="Times New Roman"/>
          <w:iCs/>
          <w:lang w:eastAsia="sk-SK"/>
        </w:rPr>
        <w:t>Po dátume zostavenia účtovnej závierky situáciu  pravdepodobne ovplyvní aj značná neistota súvisiaca so šírením prípadných ďalších vĺn Covidu-19, obmedzenia, týkajúce sa cestovného ruchu a prijímaním opatrení, ktoré môžu ovplyvniť chod ekonomiky a fungovanie firiem. Výrazné obmedzenie ekonomických činností môže negatívne ovplyvniť aj finančnú situáciu zákazníkov spoločnosti. Nemožno vylúčiť ani pomerne výrazný prepad obratov v určitých odvetviach ekonomiky, ktoré sú kľúčovými pre našu spoločnosť.</w:t>
      </w:r>
    </w:p>
    <w:p w:rsidR="00006DBB" w:rsidRPr="00006DBB" w:rsidRDefault="00006DBB" w:rsidP="00006DBB">
      <w:pPr>
        <w:spacing w:before="100" w:beforeAutospacing="1" w:after="100" w:afterAutospacing="1" w:line="240" w:lineRule="auto"/>
        <w:rPr>
          <w:rFonts w:ascii="Arial Narrow" w:eastAsia="Times New Roman" w:hAnsi="Arial Narrow" w:cs="Times New Roman"/>
          <w:iCs/>
          <w:lang w:eastAsia="sk-SK"/>
        </w:rPr>
      </w:pPr>
      <w:r w:rsidRPr="00006DBB">
        <w:rPr>
          <w:rFonts w:ascii="Arial Narrow" w:eastAsia="Times New Roman" w:hAnsi="Arial Narrow" w:cs="Times New Roman"/>
          <w:iCs/>
          <w:lang w:eastAsia="sk-SK"/>
        </w:rPr>
        <w:t>V tejto súvislosti je nevyhnutné zvážiť aj riziko dostupnosti tovaru, ktoré by tiež mohlo mať vplyv na nárast ich obstarávacích nákladov a následne nepriaznivý ekonomický vývoj.</w:t>
      </w:r>
      <w:r w:rsidRPr="00006DBB">
        <w:rPr>
          <w:rFonts w:ascii="Arial Narrow" w:eastAsia="Times New Roman" w:hAnsi="Arial Narrow" w:cs="Times New Roman"/>
          <w:szCs w:val="36"/>
        </w:rPr>
        <w:t xml:space="preserve"> </w:t>
      </w:r>
    </w:p>
    <w:p w:rsidR="00006DBB" w:rsidRPr="00006DBB" w:rsidRDefault="00006DBB" w:rsidP="00006DBB">
      <w:pPr>
        <w:spacing w:before="100" w:beforeAutospacing="1" w:after="100" w:afterAutospacing="1" w:line="240" w:lineRule="auto"/>
        <w:rPr>
          <w:rFonts w:ascii="Arial Narrow" w:eastAsia="Times New Roman" w:hAnsi="Arial Narrow" w:cs="Times New Roman"/>
          <w:iCs/>
          <w:lang w:eastAsia="sk-SK"/>
        </w:rPr>
      </w:pPr>
      <w:r w:rsidRPr="00006DBB">
        <w:rPr>
          <w:rFonts w:ascii="Arial Narrow" w:eastAsia="Times New Roman" w:hAnsi="Arial Narrow" w:cs="Times New Roman"/>
          <w:iCs/>
          <w:lang w:eastAsia="sk-SK"/>
        </w:rPr>
        <w:t>Po posúdení potenciálnych vplyvov pandémie spôsobenej koronavírusom, ich spoločnosť vyhodnotila</w:t>
      </w:r>
      <w:r w:rsidRPr="00006DBB" w:rsidDel="00791BCC">
        <w:rPr>
          <w:rFonts w:ascii="Arial Narrow" w:eastAsia="Times New Roman" w:hAnsi="Arial Narrow" w:cs="Times New Roman"/>
          <w:iCs/>
          <w:lang w:eastAsia="sk-SK"/>
        </w:rPr>
        <w:t xml:space="preserve"> </w:t>
      </w:r>
      <w:r w:rsidRPr="00006DBB">
        <w:rPr>
          <w:rFonts w:ascii="Arial Narrow" w:eastAsia="Times New Roman" w:hAnsi="Arial Narrow" w:cs="Times New Roman"/>
          <w:iCs/>
          <w:lang w:eastAsia="sk-SK"/>
        </w:rPr>
        <w:t>ako vplyvy, kedy by mala byť schopná zvládnuť aj prípadnú nastupujúcu krízu. Po skončení účtovného obdobia si spoločnosť nevyžaduje úpravu účtovnej závierky zostavenej k 31. 12. 202</w:t>
      </w:r>
      <w:r w:rsidR="00157076">
        <w:rPr>
          <w:rFonts w:ascii="Arial Narrow" w:eastAsia="Times New Roman" w:hAnsi="Arial Narrow" w:cs="Times New Roman"/>
          <w:iCs/>
          <w:lang w:eastAsia="sk-SK"/>
        </w:rPr>
        <w:t>2</w:t>
      </w:r>
      <w:r w:rsidRPr="00006DBB">
        <w:rPr>
          <w:rFonts w:ascii="Arial Narrow" w:eastAsia="Times New Roman" w:hAnsi="Arial Narrow" w:cs="Times New Roman"/>
          <w:iCs/>
          <w:lang w:eastAsia="sk-SK"/>
        </w:rPr>
        <w:t>. Vedenie spoločnosti bude aj naďalej pokračovať opatreniach, ktoré by mohli zmierniť negatívne vplyvy takéhoto vývoja, v monitorovaní dopadu Covid-19 a s  pribúdajúcimi informáciami získavať lepšiu predstavu o budúcom vývoji. Zároveň podnikne všetky potrebné kroky na zmiernenie negatívnych účinkov na spoločnosť a jej zamestnancov, v prípade ak také nastanú. V súvislosti s možným vývojom prípadnej ďalšej vlny pandémie zahrnie účtovná jednotka do účtovníctva a účtovnej závierky, ktorá bude zostavená  k 31. 12. 202</w:t>
      </w:r>
      <w:r w:rsidR="00157076">
        <w:rPr>
          <w:rFonts w:ascii="Arial Narrow" w:eastAsia="Times New Roman" w:hAnsi="Arial Narrow" w:cs="Times New Roman"/>
          <w:iCs/>
          <w:lang w:eastAsia="sk-SK"/>
        </w:rPr>
        <w:t>3</w:t>
      </w:r>
      <w:r w:rsidRPr="00006DBB">
        <w:rPr>
          <w:rFonts w:ascii="Arial Narrow" w:eastAsia="Times New Roman" w:hAnsi="Arial Narrow" w:cs="Times New Roman"/>
          <w:iCs/>
          <w:lang w:eastAsia="sk-SK"/>
        </w:rPr>
        <w:t>.</w:t>
      </w:r>
    </w:p>
    <w:p w:rsidR="00006DBB" w:rsidRPr="00006DBB" w:rsidRDefault="00006DBB" w:rsidP="00006DBB">
      <w:pPr>
        <w:spacing w:before="100" w:beforeAutospacing="1" w:after="100" w:afterAutospacing="1" w:line="240" w:lineRule="auto"/>
        <w:rPr>
          <w:rFonts w:ascii="Arial Narrow" w:eastAsia="Times New Roman" w:hAnsi="Arial Narrow" w:cs="Times New Roman"/>
          <w:lang w:eastAsia="sk-SK"/>
        </w:rPr>
      </w:pPr>
      <w:r w:rsidRPr="00006DBB">
        <w:rPr>
          <w:rFonts w:ascii="Arial Narrow" w:eastAsia="Times New Roman" w:hAnsi="Arial Narrow" w:cs="Times New Roman"/>
          <w:iCs/>
          <w:lang w:eastAsia="sk-SK"/>
        </w:rPr>
        <w:t>Do dňa zostavenia tejto účtovnej závierky, okrem vyššie popísaných skutočností, nenastali žiadne iné udalosti osobitného významu, ktoré by si vyžadovali zverejnenie.</w:t>
      </w: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ind w:left="720"/>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Čl.VII – Ostatné informácie</w:t>
      </w:r>
    </w:p>
    <w:p w:rsidR="00006DBB" w:rsidRPr="00006DBB" w:rsidRDefault="00006DBB" w:rsidP="00006DBB">
      <w:pPr>
        <w:spacing w:after="200" w:line="276" w:lineRule="auto"/>
        <w:ind w:left="720"/>
        <w:rPr>
          <w:rFonts w:ascii="Arial Narrow" w:eastAsia="Times New Roman" w:hAnsi="Arial Narrow" w:cs="Times New Roman"/>
          <w:szCs w:val="36"/>
        </w:rPr>
      </w:pPr>
    </w:p>
    <w:p w:rsidR="00006DBB" w:rsidRPr="00006DBB" w:rsidRDefault="00006DBB" w:rsidP="00006DBB">
      <w:pPr>
        <w:numPr>
          <w:ilvl w:val="0"/>
          <w:numId w:val="8"/>
        </w:numPr>
        <w:spacing w:after="200" w:line="276" w:lineRule="auto"/>
        <w:rPr>
          <w:rFonts w:ascii="Arial Narrow" w:eastAsia="Times New Roman" w:hAnsi="Arial Narrow" w:cs="Times New Roman"/>
          <w:szCs w:val="36"/>
        </w:rPr>
      </w:pPr>
      <w:r w:rsidRPr="00006DBB">
        <w:rPr>
          <w:rFonts w:ascii="Arial Narrow" w:eastAsia="Times New Roman" w:hAnsi="Arial Narrow" w:cs="Times New Roman"/>
          <w:szCs w:val="36"/>
        </w:rPr>
        <w:lastRenderedPageBreak/>
        <w:t>bez obsahovej náplne</w:t>
      </w:r>
    </w:p>
    <w:p w:rsidR="00006DBB" w:rsidRPr="00006DBB" w:rsidRDefault="00006DBB" w:rsidP="00006DBB">
      <w:pPr>
        <w:spacing w:after="0" w:line="240" w:lineRule="auto"/>
        <w:rPr>
          <w:rFonts w:ascii="Arial Narrow" w:eastAsia="Times New Roman" w:hAnsi="Arial Narrow" w:cs="Times New Roman"/>
        </w:rPr>
      </w:pPr>
    </w:p>
    <w:p w:rsidR="00006DBB" w:rsidRPr="00006DBB" w:rsidRDefault="00006DBB" w:rsidP="00006DBB">
      <w:pPr>
        <w:spacing w:after="0" w:line="240" w:lineRule="auto"/>
        <w:rPr>
          <w:rFonts w:ascii="Arial Narrow" w:eastAsia="Times New Roman" w:hAnsi="Arial Narrow" w:cs="Times New Roman"/>
          <w:szCs w:val="36"/>
          <w:lang w:eastAsia="sk-SK"/>
        </w:rPr>
      </w:pPr>
    </w:p>
    <w:p w:rsidR="00006DBB" w:rsidRPr="00006DBB" w:rsidRDefault="00006DBB" w:rsidP="00006DBB">
      <w:pPr>
        <w:spacing w:after="0" w:line="240" w:lineRule="auto"/>
        <w:rPr>
          <w:rFonts w:ascii="Arial Narrow" w:eastAsia="Times New Roman" w:hAnsi="Arial Narrow" w:cs="Times New Roman"/>
        </w:rPr>
      </w:pPr>
    </w:p>
    <w:p w:rsidR="00006DBB" w:rsidRPr="00006DBB" w:rsidRDefault="00006DBB" w:rsidP="00006DBB">
      <w:pPr>
        <w:spacing w:after="0" w:line="240" w:lineRule="auto"/>
        <w:rPr>
          <w:rFonts w:ascii="Arial Narrow" w:eastAsia="Times New Roman" w:hAnsi="Arial Narrow" w:cs="Times New Roman"/>
        </w:rPr>
      </w:pP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Použité  skratky:</w:t>
      </w: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ÚJ-účtovná jednotka</w:t>
      </w: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BO-bežné účtovné obdobie</w:t>
      </w: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PO-bezprostredne predchádzajúce účtovné obdobie</w:t>
      </w: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X-položka sa vzťahuje na účtovnú jednotku</w:t>
      </w:r>
    </w:p>
    <w:p w:rsidR="008E41A5" w:rsidRDefault="00535DB3"/>
    <w:sectPr w:rsidR="008E41A5" w:rsidSect="00CA3C44">
      <w:headerReference w:type="default" r:id="rId7"/>
      <w:footerReference w:type="default" r:id="rId8"/>
      <w:pgSz w:w="11906" w:h="16838"/>
      <w:pgMar w:top="1702"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56E1" w:rsidRDefault="00157076">
      <w:pPr>
        <w:spacing w:after="0" w:line="240" w:lineRule="auto"/>
      </w:pPr>
      <w:r>
        <w:separator/>
      </w:r>
    </w:p>
  </w:endnote>
  <w:endnote w:type="continuationSeparator" w:id="0">
    <w:p w:rsidR="00CB56E1" w:rsidRDefault="001570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altName w:val="Arial Narrow"/>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846" w:rsidRDefault="00006DBB">
    <w:pPr>
      <w:pStyle w:val="Pta"/>
      <w:jc w:val="center"/>
    </w:pPr>
    <w:r>
      <w:fldChar w:fldCharType="begin"/>
    </w:r>
    <w:r>
      <w:instrText xml:space="preserve"> PAGE   \* MERGEFORMAT </w:instrText>
    </w:r>
    <w:r>
      <w:fldChar w:fldCharType="separate"/>
    </w:r>
    <w:r w:rsidR="00535DB3">
      <w:rPr>
        <w:noProof/>
      </w:rPr>
      <w:t>8</w:t>
    </w:r>
    <w:r>
      <w:fldChar w:fldCharType="end"/>
    </w:r>
  </w:p>
  <w:p w:rsidR="007B0846" w:rsidRDefault="00535DB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56E1" w:rsidRDefault="00157076">
      <w:pPr>
        <w:spacing w:after="0" w:line="240" w:lineRule="auto"/>
      </w:pPr>
      <w:r>
        <w:separator/>
      </w:r>
    </w:p>
  </w:footnote>
  <w:footnote w:type="continuationSeparator" w:id="0">
    <w:p w:rsidR="00CB56E1" w:rsidRDefault="001570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3E5" w:rsidRDefault="00535DB3">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0853E5" w:rsidTr="000853E5">
      <w:trPr>
        <w:trHeight w:val="326"/>
      </w:trPr>
      <w:tc>
        <w:tcPr>
          <w:tcW w:w="2245" w:type="dxa"/>
        </w:tcPr>
        <w:p w:rsidR="000853E5" w:rsidRDefault="00006DBB" w:rsidP="002A6D92">
          <w:pPr>
            <w:pStyle w:val="Hlavika"/>
          </w:pPr>
          <w:r>
            <w:t>Poznámky Úč POD 3-01</w:t>
          </w:r>
        </w:p>
      </w:tc>
      <w:tc>
        <w:tcPr>
          <w:tcW w:w="1701" w:type="dxa"/>
          <w:tcBorders>
            <w:top w:val="nil"/>
            <w:bottom w:val="nil"/>
          </w:tcBorders>
          <w:shd w:val="clear" w:color="auto" w:fill="auto"/>
        </w:tcPr>
        <w:p w:rsidR="000853E5" w:rsidRDefault="00006DBB" w:rsidP="002A6D92">
          <w:pPr>
            <w:spacing w:after="0" w:line="240" w:lineRule="auto"/>
          </w:pPr>
          <w:r>
            <w:t xml:space="preserve">                                  </w:t>
          </w:r>
        </w:p>
      </w:tc>
      <w:tc>
        <w:tcPr>
          <w:tcW w:w="2410" w:type="dxa"/>
          <w:shd w:val="clear" w:color="auto" w:fill="auto"/>
        </w:tcPr>
        <w:p w:rsidR="000853E5" w:rsidRDefault="00006DBB" w:rsidP="00042598">
          <w:pPr>
            <w:tabs>
              <w:tab w:val="center" w:pos="1135"/>
            </w:tabs>
            <w:spacing w:after="0" w:line="240" w:lineRule="auto"/>
          </w:pPr>
          <w:r>
            <w:t>IČO: 46232184</w:t>
          </w:r>
          <w:r>
            <w:tab/>
          </w:r>
        </w:p>
      </w:tc>
      <w:tc>
        <w:tcPr>
          <w:tcW w:w="444" w:type="dxa"/>
          <w:tcBorders>
            <w:top w:val="nil"/>
            <w:bottom w:val="nil"/>
          </w:tcBorders>
          <w:shd w:val="clear" w:color="auto" w:fill="auto"/>
        </w:tcPr>
        <w:p w:rsidR="000853E5" w:rsidRDefault="00535DB3" w:rsidP="002A6D92">
          <w:pPr>
            <w:spacing w:after="0" w:line="240" w:lineRule="auto"/>
          </w:pPr>
        </w:p>
      </w:tc>
      <w:tc>
        <w:tcPr>
          <w:tcW w:w="2157" w:type="dxa"/>
          <w:shd w:val="clear" w:color="auto" w:fill="auto"/>
        </w:tcPr>
        <w:p w:rsidR="000853E5" w:rsidRDefault="00006DBB" w:rsidP="002A6D92">
          <w:pPr>
            <w:spacing w:after="0" w:line="240" w:lineRule="auto"/>
          </w:pPr>
          <w:r>
            <w:t>DIČ: 2023288905</w:t>
          </w:r>
        </w:p>
      </w:tc>
    </w:tr>
  </w:tbl>
  <w:p w:rsidR="000853E5" w:rsidRPr="004268D2" w:rsidRDefault="00535DB3" w:rsidP="000853E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F1FA0"/>
    <w:multiLevelType w:val="hybridMultilevel"/>
    <w:tmpl w:val="701A34BC"/>
    <w:lvl w:ilvl="0" w:tplc="D65C1E4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2"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20771E8"/>
    <w:multiLevelType w:val="hybridMultilevel"/>
    <w:tmpl w:val="0B7A9912"/>
    <w:lvl w:ilvl="0" w:tplc="D4C4EE1A">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4E5E3DA5"/>
    <w:multiLevelType w:val="hybridMultilevel"/>
    <w:tmpl w:val="8564E03A"/>
    <w:lvl w:ilvl="0" w:tplc="BE680FE2">
      <w:start w:val="1"/>
      <w:numFmt w:val="lowerLetter"/>
      <w:lvlText w:val="%1)"/>
      <w:lvlJc w:val="left"/>
      <w:pPr>
        <w:ind w:left="786" w:hanging="360"/>
      </w:pPr>
      <w:rPr>
        <w:rFonts w:ascii="Arial Narrow" w:eastAsia="Times New Roman" w:hAnsi="Arial Narrow"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507567D3"/>
    <w:multiLevelType w:val="hybridMultilevel"/>
    <w:tmpl w:val="6C04663A"/>
    <w:lvl w:ilvl="0" w:tplc="1C0EB9FC">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57971666"/>
    <w:multiLevelType w:val="hybridMultilevel"/>
    <w:tmpl w:val="156AD336"/>
    <w:lvl w:ilvl="0" w:tplc="FCA6F238">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7"/>
  </w:num>
  <w:num w:numId="6">
    <w:abstractNumId w:val="6"/>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644"/>
    <w:rsid w:val="00006DBB"/>
    <w:rsid w:val="00157076"/>
    <w:rsid w:val="00407B2A"/>
    <w:rsid w:val="00535DB3"/>
    <w:rsid w:val="00671644"/>
    <w:rsid w:val="00744DA6"/>
    <w:rsid w:val="007F4A30"/>
    <w:rsid w:val="00B632CC"/>
    <w:rsid w:val="00BE5D8F"/>
    <w:rsid w:val="00CB56E1"/>
    <w:rsid w:val="00E56433"/>
    <w:rsid w:val="00F345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6E9AB"/>
  <w15:chartTrackingRefBased/>
  <w15:docId w15:val="{15C5FCBC-DA22-41EB-9CEA-1A6268AE3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06DBB"/>
    <w:pPr>
      <w:tabs>
        <w:tab w:val="center" w:pos="4536"/>
        <w:tab w:val="right" w:pos="9072"/>
      </w:tabs>
      <w:spacing w:after="0" w:line="240" w:lineRule="auto"/>
    </w:pPr>
    <w:rPr>
      <w:rFonts w:ascii="Arial Narrow" w:eastAsia="Times New Roman" w:hAnsi="Arial Narrow" w:cs="Times New Roman"/>
      <w:szCs w:val="36"/>
    </w:rPr>
  </w:style>
  <w:style w:type="character" w:customStyle="1" w:styleId="HlavikaChar">
    <w:name w:val="Hlavička Char"/>
    <w:basedOn w:val="Predvolenpsmoodseku"/>
    <w:link w:val="Hlavika"/>
    <w:uiPriority w:val="99"/>
    <w:rsid w:val="00006DBB"/>
    <w:rPr>
      <w:rFonts w:ascii="Arial Narrow" w:eastAsia="Times New Roman" w:hAnsi="Arial Narrow" w:cs="Times New Roman"/>
      <w:szCs w:val="36"/>
    </w:rPr>
  </w:style>
  <w:style w:type="paragraph" w:styleId="Pta">
    <w:name w:val="footer"/>
    <w:basedOn w:val="Normlny"/>
    <w:link w:val="PtaChar"/>
    <w:uiPriority w:val="99"/>
    <w:unhideWhenUsed/>
    <w:rsid w:val="00006DBB"/>
    <w:pPr>
      <w:tabs>
        <w:tab w:val="center" w:pos="4536"/>
        <w:tab w:val="right" w:pos="9072"/>
      </w:tabs>
      <w:spacing w:after="0" w:line="240" w:lineRule="auto"/>
    </w:pPr>
    <w:rPr>
      <w:rFonts w:ascii="Arial Narrow" w:eastAsia="Times New Roman" w:hAnsi="Arial Narrow" w:cs="Times New Roman"/>
      <w:szCs w:val="36"/>
    </w:rPr>
  </w:style>
  <w:style w:type="character" w:customStyle="1" w:styleId="PtaChar">
    <w:name w:val="Päta Char"/>
    <w:basedOn w:val="Predvolenpsmoodseku"/>
    <w:link w:val="Pta"/>
    <w:uiPriority w:val="99"/>
    <w:rsid w:val="00006DBB"/>
    <w:rPr>
      <w:rFonts w:ascii="Arial Narrow" w:eastAsia="Times New Roman" w:hAnsi="Arial Narrow" w:cs="Times New Roman"/>
      <w:szCs w:val="36"/>
    </w:rPr>
  </w:style>
  <w:style w:type="paragraph" w:customStyle="1" w:styleId="Default">
    <w:name w:val="Default"/>
    <w:rsid w:val="00744DA6"/>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5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2656</Words>
  <Characters>15144</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PC02</dc:creator>
  <cp:keywords/>
  <dc:description/>
  <cp:lastModifiedBy>PC02</cp:lastModifiedBy>
  <cp:revision>2</cp:revision>
  <dcterms:created xsi:type="dcterms:W3CDTF">2023-03-29T19:58:00Z</dcterms:created>
  <dcterms:modified xsi:type="dcterms:W3CDTF">2023-03-29T19:58:00Z</dcterms:modified>
</cp:coreProperties>
</file>