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bookmarkStart w:id="0" w:name="_gjdgxs" w:colFirst="0" w:colLast="0"/>
      <w:bookmarkEnd w:id="0"/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účtovnej jednotke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Založenie spoločnosti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Spoločnosť: COMI, s.r.o. (ďalej len Spoločnosť)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Sídlo: Chotčanská 2, 091 01  Stropkov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Založená dňa:  27.09.1996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Do obchodného registra bola zapísaná dňa: 27.09.1996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(Obchodný register Okresného súdu Prešov, oddiel s.r.o., vložka 3314/P). </w:t>
      </w:r>
    </w:p>
    <w:p>
      <w:pPr>
        <w:pStyle w:val="3"/>
        <w:rPr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bookmarkStart w:id="1" w:name="_30j0zll" w:colFirst="0" w:colLast="0"/>
      <w:bookmarkEnd w:id="1"/>
      <w:r>
        <w:rPr>
          <w:b/>
          <w:color w:val="000000"/>
          <w:sz w:val="18"/>
          <w:szCs w:val="18"/>
        </w:rPr>
        <w:t>Hlavnými činnosťami Spoločnosti sú:  Maloobchod s pohonnými  látkami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Údaje o neobmedzenom ručení</w:t>
      </w:r>
    </w:p>
    <w:p>
      <w:pPr>
        <w:pStyle w:val="3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Právny dôvod na zostavenie účtovnej závierky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Účtovná závierka Spoločnosti k 31. decembru 202</w:t>
      </w:r>
      <w:r>
        <w:rPr>
          <w:rFonts w:hint="default"/>
          <w:color w:val="000000"/>
          <w:sz w:val="18"/>
          <w:szCs w:val="18"/>
          <w:lang w:val="sk-SK"/>
        </w:rPr>
        <w:t>2</w:t>
      </w:r>
      <w:r>
        <w:rPr>
          <w:color w:val="000000"/>
          <w:sz w:val="18"/>
          <w:szCs w:val="18"/>
        </w:rPr>
        <w:t xml:space="preserve"> je zostavená ako riadna účtovná závierka podľa § 17 ods. 6 zákona NR SR č. 431/2002 Z. z. o účtovníctve za účtovné obdobie od 1. januára 202</w:t>
      </w:r>
      <w:r>
        <w:rPr>
          <w:rFonts w:hint="default"/>
          <w:color w:val="000000"/>
          <w:sz w:val="18"/>
          <w:szCs w:val="18"/>
          <w:lang w:val="sk-SK"/>
        </w:rPr>
        <w:t>2</w:t>
      </w:r>
      <w:r>
        <w:rPr>
          <w:color w:val="000000"/>
          <w:sz w:val="18"/>
          <w:szCs w:val="18"/>
        </w:rPr>
        <w:t xml:space="preserve"> do 31. decembra 202</w:t>
      </w:r>
      <w:r>
        <w:rPr>
          <w:rFonts w:hint="default"/>
          <w:color w:val="000000"/>
          <w:sz w:val="18"/>
          <w:szCs w:val="18"/>
          <w:lang w:val="sk-SK"/>
        </w:rPr>
        <w:t>2</w:t>
      </w:r>
      <w:r>
        <w:rPr>
          <w:color w:val="000000"/>
          <w:sz w:val="18"/>
          <w:szCs w:val="18"/>
        </w:rPr>
        <w:t>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Dátum schválenia účtovnej závierky za predchádzajúce účtovné obdobie</w:t>
      </w:r>
      <w:r>
        <w:rPr>
          <w:rFonts w:hint="default"/>
          <w:b/>
          <w:color w:val="000000"/>
          <w:sz w:val="18"/>
          <w:szCs w:val="18"/>
          <w:lang w:val="sk-SK"/>
        </w:rPr>
        <w:t xml:space="preserve">  </w:t>
      </w:r>
      <w:bookmarkStart w:id="8" w:name="_GoBack"/>
      <w:bookmarkEnd w:id="8"/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Počet zamestnancov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Údaje o počte zamestnancov za bežné účtovné obdobie sú uvedené v nasledujúcom prehľade: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 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18"/>
          <w:szCs w:val="18"/>
        </w:rPr>
      </w:pPr>
    </w:p>
    <w:tbl>
      <w:tblPr>
        <w:tblStyle w:val="16"/>
        <w:tblW w:w="6511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793"/>
        <w:gridCol w:w="2718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3793" w:type="dxa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2718" w:type="dxa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Bežné účtovné obdobie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3793" w:type="dxa"/>
            <w:tcBorders>
              <w:top w:val="single" w:color="000000" w:sz="12" w:space="0"/>
              <w:right w:val="single" w:color="000000" w:sz="12" w:space="0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color="000000" w:sz="12" w:space="0"/>
              <w:left w:val="single" w:color="000000" w:sz="12" w:space="0"/>
              <w:right w:val="single" w:color="000000" w:sz="12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color w:val="000000"/>
                <w:sz w:val="18"/>
                <w:szCs w:val="18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10,</w:t>
            </w:r>
            <w:r>
              <w:rPr>
                <w:color w:val="000000"/>
                <w:sz w:val="18"/>
                <w:szCs w:val="18"/>
              </w:rPr>
              <w:t>2</w:t>
            </w:r>
          </w:p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both"/>
              <w:rPr>
                <w:color w:val="000000"/>
                <w:sz w:val="18"/>
                <w:szCs w:val="18"/>
              </w:rPr>
            </w:pPr>
          </w:p>
        </w:tc>
      </w:tr>
    </w:tbl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Informácie o orgánoch účtovnej jednotky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Výška jednotlivých druhov záruk alebo iných zabezpečení poskytnutých pre členov štatutárneho orgánu, dozorného orgánu a iného orgánu ÚJ:</w:t>
      </w:r>
    </w:p>
    <w:p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Informácia o pôžičkách: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Celková suma poskytnutých pôžičiek k 31.12. bežného obdobia podľa jednotlivých orgánov: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Konateľ: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Predseda predstavenstva: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Člen predstavenstva: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Celková suma splatených pôžičiek za posledné účtovné obdobie: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 w:firstLine="63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Konateľ: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Predseda predstavenstva: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>Člen predstavenstva: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Celková suma odpustených pôžičiek a odpísaných pôžičiek k 31.12. bežného obdobia: 0,- €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V aktuálnom účtovnom období neboli odpustené ani odpísané žiadne pôžičky.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18"/>
          <w:szCs w:val="18"/>
        </w:rPr>
      </w:pPr>
    </w:p>
    <w:p>
      <w:pPr>
        <w:pStyle w:val="3"/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konsolidovanom celku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</w:pPr>
      <w:bookmarkStart w:id="2" w:name="_1fob9te" w:colFirst="0" w:colLast="0"/>
      <w:bookmarkEnd w:id="2"/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 xml:space="preserve">Informácie o účtovných zásadách a účtovných metódach 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r>
        <w:rPr>
          <w:b/>
          <w:color w:val="000000"/>
          <w:sz w:val="18"/>
          <w:szCs w:val="18"/>
        </w:rPr>
        <w:t>Východiská pre zostavenie účtovnej závierky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Účtovná závierka bola zostavená za predpokladu, že Spoločnosť bude nepretržite pokračovať vo svojej činnosti (goingconcern).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r>
        <w:rPr>
          <w:b/>
          <w:color w:val="000000"/>
          <w:sz w:val="18"/>
          <w:szCs w:val="18"/>
        </w:rPr>
        <w:t>Počas účtovného obdobia neboli prijaté zmeny účtovných zásad a účtovných metód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r>
        <w:rPr>
          <w:b/>
          <w:color w:val="000000"/>
          <w:sz w:val="18"/>
          <w:szCs w:val="18"/>
        </w:rPr>
        <w:t>Účtovné metódy a všeobecné účtovné zásady pri oceňovaní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Dlhodobý nehmotný majetok a dlhodobý hmotný majetok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Cenné papiere a podiely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Cenné papiere na obchodovanie sa pri ich obstaraní oceňujú reálnou hodnotou.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 xml:space="preserve">Zásoby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Zásoby sa oceňujú obstarávacou cenou.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Spoločnosť účtuje  zásoby spôsobom B.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Peňažné prostriedky a ceniny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Peňažné prostriedky a ceniny sa oceňujú ich menovitou hodnotou. Zníženie ich hodnoty sa vyjadruje opravnou položkou.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Cudzia mena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Na ocenenie prírastku cudzej meny nakúpenej za euro sa použije kurz, za ktorý bola táto cudzia mena nakúpená.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Výnosy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Zákazková výroba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Nemáme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Zákazková výstavba nehnuteľnosti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  <w:highlight w:val="yellow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b/>
          <w:i/>
          <w:color w:val="000000"/>
          <w:sz w:val="18"/>
          <w:szCs w:val="18"/>
        </w:rPr>
      </w:pPr>
      <w:r>
        <w:rPr>
          <w:b/>
          <w:i/>
          <w:color w:val="000000"/>
          <w:sz w:val="18"/>
          <w:szCs w:val="18"/>
        </w:rPr>
        <w:t>Nemáme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Pohľadávky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Náklady budúcich období a príjmy budúcich období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Rezervy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Záväzky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4"/>
          <w:szCs w:val="24"/>
        </w:rPr>
      </w:pPr>
      <w:r>
        <w:rPr>
          <w:color w:val="000000"/>
          <w:sz w:val="18"/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Výdavky budúcich období a výnosy budúcich období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Prenájom (lízing)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Majetok prenajatý na základe operatívneho prenájmu vykazuje ako svoj majetok jeho vlastník, nie nájomca.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b/>
          <w:color w:val="000000"/>
          <w:sz w:val="18"/>
          <w:szCs w:val="18"/>
        </w:rPr>
        <w:t>Odložené dane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Odložené dane (odložená daňová pohľadávka a odložený daňový záväzok) sa vzťahujú na: </w:t>
      </w:r>
    </w:p>
    <w:p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dočasné rozdiely medzi účtovnou hodnotou majetku a účtovnou hodnotou záväzkov vykázanou v súvahe a ich daňovou základňou,</w:t>
      </w:r>
    </w:p>
    <w:p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možnosť umorovať daňovú stratu v budúcnosti, ktorou sa rozumie možnosť odpočítať daňovú stratu od základu dane v budúcnosti,</w:t>
      </w:r>
    </w:p>
    <w:p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možnosť previesť nevyužité daňové odpočty a iné daňové nároky do budúcich období.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6"/>
          <w:szCs w:val="16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bookmarkStart w:id="3" w:name="_3znysh7" w:colFirst="0" w:colLast="0"/>
      <w:bookmarkEnd w:id="3"/>
      <w:r>
        <w:rPr>
          <w:b/>
          <w:color w:val="000000"/>
          <w:sz w:val="18"/>
          <w:szCs w:val="18"/>
        </w:rPr>
        <w:t>Tvorba odpisovaného plánu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tbl>
      <w:tblPr>
        <w:tblStyle w:val="17"/>
        <w:tblW w:w="8788" w:type="dxa"/>
        <w:tblInd w:w="456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956"/>
        <w:gridCol w:w="160"/>
        <w:gridCol w:w="1972"/>
        <w:gridCol w:w="160"/>
        <w:gridCol w:w="1690"/>
        <w:gridCol w:w="160"/>
        <w:gridCol w:w="169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7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Predpokladaná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Metóda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Ročná odpisová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2956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72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doba používania v rokoch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odpisovania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sadzba v %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2956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Budovy pre administratívu, bytové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72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40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linárna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tcBorders>
              <w:bottom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2,5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Budovy pre obchod, priemysel</w:t>
            </w:r>
          </w:p>
        </w:tc>
        <w:tc>
          <w:tcPr>
            <w:tcW w:w="1972" w:type="dxa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</w:t>
            </w:r>
          </w:p>
        </w:tc>
        <w:tc>
          <w:tcPr>
            <w:tcW w:w="160" w:type="dxa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lineárna</w:t>
            </w:r>
          </w:p>
        </w:tc>
        <w:tc>
          <w:tcPr>
            <w:tcW w:w="160" w:type="dxa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  <w:tcBorders>
              <w:top w:val="single" w:color="000000" w:sz="4" w:space="0"/>
            </w:tcBorders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Lode, lietadlá, železničné lokomotívy</w:t>
            </w:r>
          </w:p>
        </w:tc>
        <w:tc>
          <w:tcPr>
            <w:tcW w:w="197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12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lineárna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8,3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Elektrické motory,turbíny, pece,horáky</w:t>
            </w:r>
          </w:p>
        </w:tc>
        <w:tc>
          <w:tcPr>
            <w:tcW w:w="197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8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lineárna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12,5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Benzinový os. automobil, počítač, projek</w:t>
            </w:r>
          </w:p>
        </w:tc>
        <w:tc>
          <w:tcPr>
            <w:tcW w:w="197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4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lineárna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25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Elektromobil</w:t>
            </w:r>
          </w:p>
        </w:tc>
        <w:tc>
          <w:tcPr>
            <w:tcW w:w="197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2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Lineárna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18"/>
                <w:szCs w:val="18"/>
                <w:lang w:val="sk-SK"/>
              </w:rPr>
            </w:pP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50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Drobný dlhodobý hmotný majetok</w:t>
            </w:r>
          </w:p>
        </w:tc>
        <w:tc>
          <w:tcPr>
            <w:tcW w:w="1972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Rôzna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jednorazový odpis</w:t>
            </w:r>
          </w:p>
        </w:tc>
        <w:tc>
          <w:tcPr>
            <w:tcW w:w="16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90" w:type="dxa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</w:t>
            </w:r>
          </w:p>
        </w:tc>
      </w:tr>
    </w:tbl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18"/>
          <w:szCs w:val="18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r>
        <w:rPr>
          <w:b/>
          <w:color w:val="000000"/>
          <w:sz w:val="18"/>
          <w:szCs w:val="18"/>
        </w:rPr>
        <w:t>Dotácie zo štátneho rozpočtu</w:t>
      </w:r>
    </w:p>
    <w:p>
      <w:pPr>
        <w:pStyle w:val="3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3"/>
        <w:ind w:left="450"/>
        <w:jc w:val="both"/>
        <w:rPr>
          <w:sz w:val="18"/>
          <w:szCs w:val="18"/>
        </w:rPr>
      </w:pPr>
    </w:p>
    <w:p>
      <w:pPr>
        <w:pStyle w:val="3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>
      <w:pPr>
        <w:pStyle w:val="3"/>
        <w:ind w:left="450"/>
        <w:jc w:val="both"/>
        <w:rPr>
          <w:sz w:val="18"/>
          <w:szCs w:val="18"/>
        </w:rPr>
      </w:pPr>
    </w:p>
    <w:p>
      <w:pPr>
        <w:pStyle w:val="3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  <w:szCs w:val="18"/>
        </w:rPr>
        <w:br w:type="textWrapping"/>
      </w:r>
      <w:r>
        <w:rPr>
          <w:sz w:val="18"/>
          <w:szCs w:val="18"/>
        </w:rPr>
        <w:t xml:space="preserve">z tohto dlhodobého majetku. </w:t>
      </w:r>
    </w:p>
    <w:p>
      <w:pPr>
        <w:pStyle w:val="3"/>
        <w:ind w:left="450"/>
        <w:jc w:val="both"/>
        <w:rPr>
          <w:sz w:val="18"/>
          <w:szCs w:val="18"/>
        </w:rPr>
      </w:pPr>
    </w:p>
    <w:p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</w:pPr>
      <w:r>
        <w:rPr>
          <w:b/>
          <w:color w:val="000000"/>
          <w:sz w:val="18"/>
          <w:szCs w:val="18"/>
        </w:rPr>
        <w:t>Oprava významných chýb minulých účtovných období</w:t>
      </w:r>
    </w:p>
    <w:p>
      <w:pPr>
        <w:pStyle w:val="3"/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>
      <w:pPr>
        <w:pStyle w:val="3"/>
        <w:ind w:left="450"/>
        <w:jc w:val="both"/>
        <w:rPr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údajoch na strane aktív súvahy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center" w:pos="4536"/>
          <w:tab w:val="right" w:pos="9072"/>
        </w:tabs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6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bookmarkStart w:id="4" w:name="_2et92p0" w:colFirst="0" w:colLast="0"/>
      <w:bookmarkEnd w:id="4"/>
      <w:r>
        <w:rPr>
          <w:b/>
          <w:color w:val="000000"/>
          <w:sz w:val="18"/>
          <w:szCs w:val="18"/>
        </w:rPr>
        <w:t>Informácia o goodwille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Dôvod vzniku goodvilu: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Spôsob výpočtu: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Odpisovanie:</w:t>
      </w:r>
    </w:p>
    <w:p>
      <w:pPr>
        <w:pStyle w:val="3"/>
        <w:spacing w:after="200" w:line="276" w:lineRule="auto"/>
        <w:rPr>
          <w:b/>
          <w:smallCaps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údajoch na strane pasív súvahy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7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Informácie o záväzkoch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numPr>
          <w:ilvl w:val="0"/>
          <w:numId w:val="8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  <w:r>
        <w:rPr>
          <w:color w:val="000000"/>
          <w:sz w:val="18"/>
          <w:szCs w:val="18"/>
        </w:rPr>
        <w:t>Celková suma záväzkov so zostatkovou dobou splatnosti dlhšou ako 5 rokov:  0</w:t>
      </w:r>
    </w:p>
    <w:p>
      <w:pPr>
        <w:pStyle w:val="3"/>
        <w:numPr>
          <w:ilvl w:val="0"/>
          <w:numId w:val="8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</w:pPr>
    </w:p>
    <w:tbl>
      <w:tblPr>
        <w:tblStyle w:val="18"/>
        <w:tblW w:w="9466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828"/>
        <w:gridCol w:w="2978"/>
        <w:gridCol w:w="266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828" w:type="dxa"/>
            <w:tcBorders>
              <w:top w:val="single" w:color="000000" w:sz="8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>
            <w:pPr>
              <w:pStyle w:val="3"/>
            </w:pPr>
            <w:r>
              <w:t>Záväzky so zostatkovou dobou splatnosti jeden rok až päť rokov</w:t>
            </w:r>
          </w:p>
        </w:tc>
        <w:tc>
          <w:tcPr>
            <w:tcW w:w="2978" w:type="dxa"/>
            <w:tcBorders>
              <w:top w:val="single" w:color="000000" w:sz="8" w:space="0"/>
              <w:left w:val="single" w:color="000000" w:sz="12" w:space="0"/>
              <w:bottom w:val="single" w:color="000000" w:sz="12" w:space="0"/>
              <w:right w:val="single" w:color="000000" w:sz="8" w:space="0"/>
            </w:tcBorders>
            <w:vAlign w:val="center"/>
          </w:tcPr>
          <w:p>
            <w:pPr>
              <w:pStyle w:val="3"/>
            </w:pPr>
          </w:p>
        </w:tc>
        <w:tc>
          <w:tcPr>
            <w:tcW w:w="2660" w:type="dxa"/>
            <w:tcBorders>
              <w:top w:val="single" w:color="000000" w:sz="8" w:space="0"/>
              <w:left w:val="nil"/>
              <w:bottom w:val="single" w:color="000000" w:sz="12" w:space="0"/>
              <w:right w:val="single" w:color="000000" w:sz="12" w:space="0"/>
            </w:tcBorders>
            <w:vAlign w:val="center"/>
          </w:tcPr>
          <w:p>
            <w:pPr>
              <w:pStyle w:val="3"/>
            </w:pPr>
            <w:r>
              <w:rPr>
                <w:rFonts w:hint="default"/>
                <w:lang w:val="sk-SK"/>
              </w:rPr>
              <w:t>143</w:t>
            </w:r>
            <w:r>
              <w:t>,-</w:t>
            </w:r>
          </w:p>
          <w:p>
            <w:pPr>
              <w:pStyle w:val="3"/>
            </w:pPr>
          </w:p>
        </w:tc>
      </w:tr>
    </w:tbl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18"/>
          <w:szCs w:val="18"/>
        </w:rPr>
      </w:pPr>
    </w:p>
    <w:p>
      <w:pPr>
        <w:pStyle w:val="3"/>
      </w:pPr>
    </w:p>
    <w:p>
      <w:pPr>
        <w:pStyle w:val="3"/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i/>
          <w:color w:val="000000"/>
          <w:sz w:val="18"/>
          <w:szCs w:val="18"/>
        </w:rPr>
      </w:pPr>
    </w:p>
    <w:p>
      <w:pPr>
        <w:pStyle w:val="3"/>
        <w:numPr>
          <w:ilvl w:val="0"/>
          <w:numId w:val="9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rFonts w:ascii="Arial Narrow" w:hAnsi="Arial Narrow" w:eastAsia="Arial Narrow" w:cs="Arial Narrow"/>
          <w:b/>
          <w:color w:val="000000"/>
          <w:sz w:val="22"/>
          <w:szCs w:val="22"/>
        </w:rPr>
      </w:pPr>
      <w:r>
        <w:rPr>
          <w:rFonts w:ascii="Arial Narrow" w:hAnsi="Arial Narrow" w:eastAsia="Arial Narrow" w:cs="Arial Narrow"/>
          <w:b/>
          <w:color w:val="000000"/>
          <w:sz w:val="22"/>
          <w:szCs w:val="22"/>
        </w:rPr>
        <w:t xml:space="preserve">Informácie k prílohe č. 3 časti F. písm. t) a u) o pohľadávkach zabezpečených záložným právom alebo inou formou zabezpečenia  </w:t>
      </w:r>
    </w:p>
    <w:p>
      <w:pPr>
        <w:pStyle w:val="3"/>
      </w:pPr>
    </w:p>
    <w:tbl>
      <w:tblPr>
        <w:tblStyle w:val="19"/>
        <w:tblW w:w="9466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878"/>
        <w:gridCol w:w="2331"/>
        <w:gridCol w:w="2257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4878" w:type="dxa"/>
            <w:vMerge w:val="restart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Opis predmetu záložného práva</w:t>
            </w:r>
          </w:p>
        </w:tc>
        <w:tc>
          <w:tcPr>
            <w:tcW w:w="4588" w:type="dxa"/>
            <w:gridSpan w:val="2"/>
            <w:tcBorders>
              <w:top w:val="single" w:color="000000" w:sz="12" w:space="0"/>
              <w:left w:val="single" w:color="000000" w:sz="12" w:space="0"/>
              <w:bottom w:val="nil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4878" w:type="dxa"/>
            <w:vMerge w:val="continue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>
            <w:pPr>
              <w:pStyle w:val="3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line="276" w:lineRule="auto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Hodnota predmetu záložného práva</w:t>
            </w:r>
          </w:p>
        </w:tc>
        <w:tc>
          <w:tcPr>
            <w:tcW w:w="2257" w:type="dxa"/>
            <w:tcBorders>
              <w:top w:val="single" w:color="000000" w:sz="12" w:space="0"/>
              <w:left w:val="single" w:color="000000" w:sz="12" w:space="0"/>
              <w:bottom w:val="nil"/>
            </w:tcBorders>
            <w:vAlign w:val="center"/>
          </w:tcPr>
          <w:p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Hodnota</w:t>
            </w: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br w:type="textWrapping"/>
            </w: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 pohľadávky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510" w:hRule="atLeast"/>
          <w:tblHeader/>
          <w:jc w:val="center"/>
        </w:trPr>
        <w:tc>
          <w:tcPr>
            <w:tcW w:w="4878" w:type="dxa"/>
            <w:tcBorders>
              <w:top w:val="single" w:color="000000" w:sz="12" w:space="0"/>
              <w:right w:val="single" w:color="000000" w:sz="12" w:space="0"/>
            </w:tcBorders>
            <w:vAlign w:val="center"/>
          </w:tcPr>
          <w:p>
            <w:pPr>
              <w:pStyle w:val="3"/>
            </w:pPr>
            <w:r>
              <w:t>Pohľadávky kryté záložným právom alebo inou formou zabezpečenia</w:t>
            </w:r>
          </w:p>
        </w:tc>
        <w:tc>
          <w:tcPr>
            <w:tcW w:w="2331" w:type="dxa"/>
            <w:tcBorders>
              <w:top w:val="single" w:color="000000" w:sz="12" w:space="0"/>
              <w:left w:val="single" w:color="000000" w:sz="12" w:space="0"/>
            </w:tcBorders>
            <w:vAlign w:val="center"/>
          </w:tcPr>
          <w:p>
            <w:pPr>
              <w:pStyle w:val="3"/>
            </w:pPr>
          </w:p>
        </w:tc>
        <w:tc>
          <w:tcPr>
            <w:tcW w:w="2257" w:type="dxa"/>
            <w:tcBorders>
              <w:top w:val="single" w:color="000000" w:sz="12" w:space="0"/>
            </w:tcBorders>
            <w:vAlign w:val="center"/>
          </w:tcPr>
          <w:p>
            <w:pPr>
              <w:pStyle w:val="3"/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4878" w:type="dxa"/>
            <w:tcBorders>
              <w:bottom w:val="single" w:color="000000" w:sz="12" w:space="0"/>
              <w:right w:val="single" w:color="000000" w:sz="12" w:space="0"/>
            </w:tcBorders>
            <w:vAlign w:val="center"/>
          </w:tcPr>
          <w:p>
            <w:pPr>
              <w:pStyle w:val="3"/>
            </w:pPr>
            <w:r>
              <w:t>Hodnota pohľadávok, na ktoré sa zriadilo záložné právo</w:t>
            </w:r>
          </w:p>
        </w:tc>
        <w:tc>
          <w:tcPr>
            <w:tcW w:w="2331" w:type="dxa"/>
            <w:tcBorders>
              <w:left w:val="single" w:color="000000" w:sz="12" w:space="0"/>
              <w:bottom w:val="single" w:color="000000" w:sz="12" w:space="0"/>
            </w:tcBorders>
            <w:vAlign w:val="center"/>
          </w:tcPr>
          <w:p>
            <w:pPr>
              <w:pStyle w:val="3"/>
              <w:jc w:val="center"/>
            </w:pPr>
            <w:r>
              <w:t>x</w:t>
            </w:r>
          </w:p>
        </w:tc>
        <w:tc>
          <w:tcPr>
            <w:tcW w:w="2257" w:type="dxa"/>
            <w:tcBorders>
              <w:bottom w:val="single" w:color="000000" w:sz="12" w:space="0"/>
            </w:tcBorders>
            <w:vAlign w:val="center"/>
          </w:tcPr>
          <w:p>
            <w:pPr>
              <w:pStyle w:val="3"/>
            </w:pPr>
          </w:p>
        </w:tc>
      </w:tr>
    </w:tbl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NÁKLADOCH A výnosoch</w:t>
      </w: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360"/>
        <w:rPr>
          <w:b/>
          <w:color w:val="000000"/>
          <w:sz w:val="18"/>
          <w:szCs w:val="18"/>
        </w:rPr>
      </w:pPr>
      <w:bookmarkStart w:id="5" w:name="_tyjcwt" w:colFirst="0" w:colLast="0"/>
      <w:bookmarkEnd w:id="5"/>
    </w:p>
    <w:p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Informácia o nákladoch a výnosoch, ktoré majú výnimočný rozsah alebo výskyt:</w:t>
      </w:r>
    </w:p>
    <w:p>
      <w:pPr>
        <w:pStyle w:val="3"/>
        <w:keepNext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Chars="0"/>
        <w:rPr>
          <w:b/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Chars="0"/>
        <w:rPr>
          <w:rFonts w:hint="default"/>
          <w:b w:val="0"/>
          <w:bCs/>
          <w:color w:val="000000"/>
          <w:sz w:val="18"/>
          <w:szCs w:val="18"/>
          <w:lang w:val="sk-SK"/>
        </w:rPr>
      </w:pPr>
      <w:r>
        <w:rPr>
          <w:rFonts w:hint="default"/>
          <w:b w:val="0"/>
          <w:bCs/>
          <w:color w:val="000000"/>
          <w:sz w:val="18"/>
          <w:szCs w:val="18"/>
          <w:lang w:val="sk-SK"/>
        </w:rPr>
        <w:t xml:space="preserve">        K poklesu tržieb v roku 2022 došlo hlavne z dôvodu, že firma bola 3 mesiace zatvorená kvôli prestavbe areálu firmy.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rFonts w:hint="default"/>
          <w:color w:val="000000"/>
          <w:sz w:val="18"/>
          <w:szCs w:val="18"/>
          <w:lang w:val="sk-SK"/>
        </w:rPr>
      </w:pPr>
      <w:r>
        <w:rPr>
          <w:rFonts w:hint="default"/>
          <w:color w:val="000000"/>
          <w:sz w:val="18"/>
          <w:szCs w:val="18"/>
          <w:lang w:val="sk-SK"/>
        </w:rPr>
        <w:t>Na účte 648 boli naúčtované výnosy vo výške 217 tis. Eur ako oprava počiatočného stavu na účte záväzkov.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r>
        <w:rPr>
          <w:b/>
          <w:smallCaps/>
          <w:color w:val="000000"/>
          <w:sz w:val="18"/>
          <w:szCs w:val="18"/>
        </w:rPr>
        <w:t>Informácie o iných aktívach a iných pasívach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Spoločnosť neeviduje iné aktíva a iné pasíva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Významné položky prenajatého majetku</w:t>
      </w:r>
    </w:p>
    <w:p>
      <w:pPr>
        <w:pStyle w:val="3"/>
        <w:rPr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Informácia o odpísaných pohľadávkach</w:t>
      </w:r>
    </w:p>
    <w:p>
      <w:pPr>
        <w:pStyle w:val="3"/>
        <w:rPr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Spoločnosť na podsúvahovej evidencii eviduje odpísané pohľadávky vo hodnote  0,- EUR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  <w:highlight w:val="yellow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  <w:highlight w:val="yellow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Informácia o poistení majetk</w:t>
      </w:r>
      <w:r>
        <w:rPr>
          <w:color w:val="000000"/>
          <w:sz w:val="18"/>
          <w:szCs w:val="18"/>
        </w:rPr>
        <w:t>u: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Celý majetok spoločnosti COMl s.r.o., je poistený v spoločnosti KOOPERATÍVA poisťovňa a.s.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18"/>
          <w:szCs w:val="18"/>
        </w:rPr>
      </w:pPr>
      <w:bookmarkStart w:id="6" w:name="_3dy6vkm" w:colFirst="0" w:colLast="0"/>
      <w:bookmarkEnd w:id="6"/>
      <w:r>
        <w:rPr>
          <w:b/>
          <w:smallCaps/>
          <w:color w:val="000000"/>
          <w:sz w:val="18"/>
          <w:szCs w:val="18"/>
        </w:rPr>
        <w:t>Informácie o skutočnostiach, ktoré nastali po dni, ku ktorému sa zostavuje účtovná závierka, do dňa zostavenia účtovnej závierky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Po 31. decembri 202</w:t>
      </w:r>
      <w:r>
        <w:rPr>
          <w:rFonts w:hint="default"/>
          <w:color w:val="000000"/>
          <w:sz w:val="18"/>
          <w:szCs w:val="18"/>
          <w:lang w:val="sk-SK"/>
        </w:rPr>
        <w:t>2</w:t>
      </w:r>
      <w:r>
        <w:rPr>
          <w:color w:val="000000"/>
          <w:sz w:val="18"/>
          <w:szCs w:val="18"/>
        </w:rPr>
        <w:t xml:space="preserve"> nenastali žiadne zmeny, ktoré by mali významný vplyv na verné zobrazenie skutočnosti, ktoré sú predmetom účtovníctva.</w:t>
      </w: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  <w:bookmarkStart w:id="7" w:name="_1t3h5sf" w:colFirst="0" w:colLast="0"/>
      <w:bookmarkEnd w:id="7"/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111" w:right="992" w:bottom="284" w:left="1418" w:header="425" w:footer="408" w:gutter="0"/>
      <w:pgNumType w:start="1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 xml:space="preserve">PAGE</w:instrText>
    </w:r>
    <w:r>
      <w:rPr>
        <w:color w:val="000000"/>
      </w:rPr>
      <w:fldChar w:fldCharType="separate"/>
    </w:r>
    <w:r>
      <w:rPr>
        <w:color w:val="000000"/>
      </w:rPr>
      <w:t>5</w:t>
    </w:r>
    <w:r>
      <w:rPr>
        <w:color w:val="000000"/>
      </w:rPr>
      <w:fldChar w:fldCharType="end"/>
    </w:r>
  </w:p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  <w:tab w:val="right" w:pos="9214"/>
      </w:tabs>
      <w:rPr>
        <w:color w:val="000000"/>
        <w:sz w:val="16"/>
        <w:szCs w:val="16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76" w:lineRule="auto"/>
      <w:rPr>
        <w:color w:val="000000"/>
        <w:sz w:val="18"/>
        <w:szCs w:val="18"/>
      </w:rPr>
    </w:pPr>
  </w:p>
  <w:tbl>
    <w:tblPr>
      <w:tblStyle w:val="21"/>
      <w:tblW w:w="9637" w:type="dxa"/>
      <w:jc w:val="center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0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cantSplit/>
        <w:trHeight w:val="330" w:hRule="atLeast"/>
        <w:tblHeader/>
        <w:jc w:val="center"/>
      </w:trPr>
      <w:tc>
        <w:tcPr>
          <w:tcW w:w="278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bottom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Poznámky Úč POD 3 - 01</w:t>
          </w:r>
        </w:p>
      </w:tc>
      <w:tc>
        <w:tcPr>
          <w:tcW w:w="431" w:type="dxa"/>
          <w:tcBorders>
            <w:top w:val="nil"/>
            <w:left w:val="nil"/>
            <w:bottom w:val="nil"/>
            <w:right w:val="nil"/>
          </w:tcBorders>
        </w:tcPr>
        <w:p>
          <w:pPr>
            <w:pStyle w:val="3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color="000000" w:sz="4" w:space="0"/>
          </w:tcBorders>
          <w:vAlign w:val="center"/>
        </w:tcPr>
        <w:p>
          <w:pPr>
            <w:pStyle w:val="3"/>
            <w:jc w:val="center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  <w:rPr>
              <w:color w:val="000000"/>
            </w:rPr>
          </w:pPr>
          <w:r>
            <w:t>3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431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  <w:vAlign w:val="center"/>
        </w:tcPr>
        <w:p>
          <w:pPr>
            <w:pStyle w:val="3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single" w:color="000000" w:sz="4" w:space="0"/>
            <w:bottom w:val="nil"/>
            <w:right w:val="nil"/>
          </w:tcBorders>
          <w:vAlign w:val="center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</w:pPr>
          <w: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5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1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1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6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5</w:t>
          </w:r>
        </w:p>
      </w:tc>
      <w:tc>
        <w:tcPr>
          <w:tcW w:w="29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8</w:t>
          </w:r>
        </w:p>
      </w:tc>
    </w:tr>
  </w:tbl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rPr>
        <w:color w:val="000000"/>
      </w:rPr>
    </w:pPr>
  </w:p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center" w:pos="4820"/>
        <w:tab w:val="right" w:pos="9072"/>
        <w:tab w:val="right" w:pos="9214"/>
      </w:tabs>
      <w:jc w:val="right"/>
      <w:rPr>
        <w:color w:val="000000"/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76" w:lineRule="auto"/>
      <w:rPr>
        <w:color w:val="000000"/>
        <w:sz w:val="18"/>
        <w:szCs w:val="18"/>
      </w:rPr>
    </w:pPr>
  </w:p>
  <w:tbl>
    <w:tblPr>
      <w:tblStyle w:val="20"/>
      <w:tblW w:w="8325" w:type="dxa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cantSplit/>
        <w:trHeight w:val="330" w:hRule="atLeast"/>
        <w:tblHeader/>
      </w:trPr>
      <w:tc>
        <w:tcPr>
          <w:tcW w:w="27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bottom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bottom"/>
        </w:tcPr>
        <w:p>
          <w:pPr>
            <w:pStyle w:val="3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vAlign w:val="bottom"/>
        </w:tcPr>
        <w:p>
          <w:pPr>
            <w:pStyle w:val="3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>
          <w:pPr>
            <w:pStyle w:val="3"/>
            <w:jc w:val="center"/>
          </w:pPr>
          <w:r>
            <w:t> </w:t>
          </w:r>
        </w:p>
      </w:tc>
    </w:tr>
  </w:tbl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center" w:pos="4820"/>
        <w:tab w:val="right" w:pos="9072"/>
        <w:tab w:val="right" w:pos="9214"/>
      </w:tabs>
      <w:jc w:val="right"/>
      <w:rPr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6A3DBC"/>
    <w:multiLevelType w:val="multilevel"/>
    <w:tmpl w:val="026A3DBC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45843A5"/>
    <w:multiLevelType w:val="multilevel"/>
    <w:tmpl w:val="045843A5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27CF6FBC"/>
    <w:multiLevelType w:val="multilevel"/>
    <w:tmpl w:val="27CF6FBC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29AD16FD"/>
    <w:multiLevelType w:val="multilevel"/>
    <w:tmpl w:val="29AD16FD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C86998"/>
    <w:multiLevelType w:val="multilevel"/>
    <w:tmpl w:val="2AC86998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2DCF1E74"/>
    <w:multiLevelType w:val="multilevel"/>
    <w:tmpl w:val="2DCF1E74"/>
    <w:lvl w:ilvl="0" w:tentative="0">
      <w:start w:val="1"/>
      <w:numFmt w:val="lowerLetter"/>
      <w:lvlText w:val="%1)"/>
      <w:lvlJc w:val="left"/>
      <w:pPr>
        <w:ind w:left="786" w:hanging="360"/>
      </w:p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4BF10FF9"/>
    <w:multiLevelType w:val="multilevel"/>
    <w:tmpl w:val="4BF10FF9"/>
    <w:lvl w:ilvl="0" w:tentative="0">
      <w:start w:val="1"/>
      <w:numFmt w:val="lowerLetter"/>
      <w:lvlText w:val="(%1)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57A81F07"/>
    <w:multiLevelType w:val="multilevel"/>
    <w:tmpl w:val="57A81F07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89F0E58"/>
    <w:multiLevelType w:val="multilevel"/>
    <w:tmpl w:val="589F0E58"/>
    <w:lvl w:ilvl="0" w:tentative="0">
      <w:start w:val="0"/>
      <w:numFmt w:val="bullet"/>
      <w:lvlText w:val="-"/>
      <w:lvlJc w:val="left"/>
      <w:pPr>
        <w:ind w:left="720" w:hanging="360"/>
      </w:pPr>
      <w:rPr>
        <w:rFonts w:ascii="Times New Roman" w:hAnsi="Times New Roman" w:eastAsia="Times New Roman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166347"/>
    <w:multiLevelType w:val="multilevel"/>
    <w:tmpl w:val="7E166347"/>
    <w:lvl w:ilvl="0" w:tentative="0">
      <w:start w:val="1"/>
      <w:numFmt w:val="lowerLetter"/>
      <w:lvlText w:val="%1)"/>
      <w:lvlJc w:val="left"/>
      <w:pPr>
        <w:ind w:left="786" w:hanging="360"/>
      </w:p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4"/>
  </w:num>
  <w:num w:numId="2">
    <w:abstractNumId w:val="9"/>
  </w:num>
  <w:num w:numId="3">
    <w:abstractNumId w:val="6"/>
  </w:num>
  <w:num w:numId="4">
    <w:abstractNumId w:val="3"/>
  </w:num>
  <w:num w:numId="5">
    <w:abstractNumId w:val="8"/>
  </w:num>
  <w:num w:numId="6">
    <w:abstractNumId w:val="2"/>
  </w:num>
  <w:num w:numId="7">
    <w:abstractNumId w:val="0"/>
  </w:num>
  <w:num w:numId="8">
    <w:abstractNumId w:val="5"/>
  </w:num>
  <w:num w:numId="9">
    <w:abstractNumId w:val="7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674CFE"/>
    <w:rsid w:val="003275FE"/>
    <w:rsid w:val="00344DBA"/>
    <w:rsid w:val="003D3483"/>
    <w:rsid w:val="004D775C"/>
    <w:rsid w:val="0064194B"/>
    <w:rsid w:val="00674CFE"/>
    <w:rsid w:val="007D2615"/>
    <w:rsid w:val="008810A2"/>
    <w:rsid w:val="00A53DA6"/>
    <w:rsid w:val="00AA0C7F"/>
    <w:rsid w:val="00C37BBF"/>
    <w:rsid w:val="00F17219"/>
    <w:rsid w:val="07312282"/>
    <w:rsid w:val="13024958"/>
    <w:rsid w:val="14655FC7"/>
    <w:rsid w:val="4211392A"/>
    <w:rsid w:val="77F67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paragraph" w:styleId="2">
    <w:name w:val="heading 1"/>
    <w:basedOn w:val="3"/>
    <w:next w:val="3"/>
    <w:uiPriority w:val="0"/>
    <w:pPr>
      <w:keepNext/>
      <w:ind w:left="786" w:hanging="360"/>
      <w:outlineLvl w:val="0"/>
    </w:pPr>
    <w:rPr>
      <w:b/>
      <w:smallCaps/>
      <w:sz w:val="18"/>
      <w:szCs w:val="18"/>
    </w:rPr>
  </w:style>
  <w:style w:type="paragraph" w:styleId="4">
    <w:name w:val="heading 2"/>
    <w:basedOn w:val="3"/>
    <w:next w:val="3"/>
    <w:uiPriority w:val="0"/>
    <w:pPr>
      <w:keepNext/>
      <w:ind w:left="360" w:hanging="360"/>
      <w:outlineLvl w:val="1"/>
    </w:pPr>
    <w:rPr>
      <w:b/>
      <w:sz w:val="18"/>
      <w:szCs w:val="18"/>
    </w:rPr>
  </w:style>
  <w:style w:type="paragraph" w:styleId="5">
    <w:name w:val="heading 3"/>
    <w:basedOn w:val="3"/>
    <w:next w:val="3"/>
    <w:uiPriority w:val="0"/>
    <w:pPr>
      <w:keepNext/>
      <w:spacing w:before="240" w:after="60"/>
      <w:outlineLvl w:val="2"/>
    </w:pPr>
    <w:rPr>
      <w:rFonts w:ascii="Cambria" w:hAnsi="Cambria" w:eastAsia="Cambria" w:cs="Cambria"/>
      <w:b/>
      <w:sz w:val="26"/>
      <w:szCs w:val="26"/>
    </w:rPr>
  </w:style>
  <w:style w:type="paragraph" w:styleId="6">
    <w:name w:val="heading 4"/>
    <w:basedOn w:val="3"/>
    <w:next w:val="3"/>
    <w:qFormat/>
    <w:uiPriority w:val="0"/>
    <w:pPr>
      <w:keepNext/>
      <w:spacing w:before="240" w:after="60"/>
      <w:outlineLvl w:val="3"/>
    </w:pPr>
    <w:rPr>
      <w:rFonts w:ascii="Arial Narrow" w:hAnsi="Arial Narrow" w:eastAsia="Arial Narrow" w:cs="Arial Narrow"/>
      <w:b/>
      <w:sz w:val="28"/>
      <w:szCs w:val="28"/>
    </w:rPr>
  </w:style>
  <w:style w:type="paragraph" w:styleId="7">
    <w:name w:val="heading 5"/>
    <w:basedOn w:val="3"/>
    <w:next w:val="3"/>
    <w:uiPriority w:val="0"/>
    <w:pPr>
      <w:spacing w:before="240" w:after="60"/>
      <w:outlineLvl w:val="4"/>
    </w:pPr>
    <w:rPr>
      <w:rFonts w:ascii="Arial Narrow" w:hAnsi="Arial Narrow" w:eastAsia="Arial Narrow" w:cs="Arial Narrow"/>
      <w:b/>
      <w:i/>
      <w:sz w:val="26"/>
      <w:szCs w:val="26"/>
    </w:rPr>
  </w:style>
  <w:style w:type="paragraph" w:styleId="8">
    <w:name w:val="heading 6"/>
    <w:basedOn w:val="3"/>
    <w:next w:val="3"/>
    <w:uiPriority w:val="0"/>
    <w:pPr>
      <w:keepNext/>
      <w:outlineLvl w:val="5"/>
    </w:pPr>
    <w:rPr>
      <w:b/>
      <w:smallCaps/>
      <w:sz w:val="32"/>
      <w:szCs w:val="32"/>
    </w:rPr>
  </w:style>
  <w:style w:type="character" w:default="1" w:styleId="9">
    <w:name w:val="Default Paragraph Font"/>
    <w:semiHidden/>
    <w:unhideWhenUsed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normal"/>
    <w:uiPriority w:val="0"/>
    <w:rPr>
      <w:rFonts w:ascii="Times New Roman" w:hAnsi="Times New Roman" w:eastAsia="Times New Roman" w:cs="Times New Roman"/>
      <w:lang w:val="sk-SK" w:eastAsia="sk-SK" w:bidi="ar-SA"/>
    </w:rPr>
  </w:style>
  <w:style w:type="paragraph" w:styleId="11">
    <w:name w:val="footer"/>
    <w:basedOn w:val="1"/>
    <w:link w:val="23"/>
    <w:semiHidden/>
    <w:unhideWhenUsed/>
    <w:qFormat/>
    <w:uiPriority w:val="99"/>
    <w:pPr>
      <w:tabs>
        <w:tab w:val="center" w:pos="4536"/>
        <w:tab w:val="right" w:pos="9072"/>
      </w:tabs>
    </w:pPr>
  </w:style>
  <w:style w:type="paragraph" w:styleId="12">
    <w:name w:val="header"/>
    <w:basedOn w:val="1"/>
    <w:link w:val="22"/>
    <w:semiHidden/>
    <w:unhideWhenUsed/>
    <w:qFormat/>
    <w:uiPriority w:val="99"/>
    <w:pPr>
      <w:tabs>
        <w:tab w:val="center" w:pos="4536"/>
        <w:tab w:val="right" w:pos="9072"/>
      </w:tabs>
    </w:pPr>
  </w:style>
  <w:style w:type="paragraph" w:styleId="13">
    <w:name w:val="Subtitle"/>
    <w:basedOn w:val="3"/>
    <w:next w:val="3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after="60"/>
      <w:jc w:val="center"/>
    </w:pPr>
    <w:rPr>
      <w:rFonts w:ascii="Cambria" w:hAnsi="Cambria" w:eastAsia="Cambria" w:cs="Cambria"/>
      <w:color w:val="000000"/>
      <w:sz w:val="22"/>
      <w:szCs w:val="22"/>
    </w:rPr>
  </w:style>
  <w:style w:type="paragraph" w:styleId="14">
    <w:name w:val="Title"/>
    <w:basedOn w:val="3"/>
    <w:next w:val="3"/>
    <w:uiPriority w:val="0"/>
    <w:pPr>
      <w:keepNext/>
      <w:spacing w:after="220"/>
      <w:jc w:val="center"/>
    </w:pPr>
    <w:rPr>
      <w:rFonts w:ascii="Arial Narrow" w:hAnsi="Arial Narrow" w:eastAsia="Arial Narrow" w:cs="Arial Narrow"/>
      <w:b/>
      <w:sz w:val="22"/>
      <w:szCs w:val="22"/>
    </w:rPr>
  </w:style>
  <w:style w:type="table" w:customStyle="1" w:styleId="15">
    <w:name w:val="Table Normal1"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6">
    <w:name w:val="_Style 13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7">
    <w:name w:val="_Style 14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8">
    <w:name w:val="_Style 15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9">
    <w:name w:val="_Style 16"/>
    <w:basedOn w:val="15"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20">
    <w:name w:val="_Style 17"/>
    <w:basedOn w:val="15"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21">
    <w:name w:val="_Style 18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character" w:customStyle="1" w:styleId="22">
    <w:name w:val="Hlavička Char"/>
    <w:basedOn w:val="9"/>
    <w:link w:val="12"/>
    <w:semiHidden/>
    <w:uiPriority w:val="99"/>
  </w:style>
  <w:style w:type="character" w:customStyle="1" w:styleId="23">
    <w:name w:val="Päta Char"/>
    <w:basedOn w:val="9"/>
    <w:link w:val="11"/>
    <w:semiHidden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1801</Words>
  <Characters>10272</Characters>
  <Lines>85</Lines>
  <Paragraphs>24</Paragraphs>
  <TotalTime>2</TotalTime>
  <ScaleCrop>false</ScaleCrop>
  <LinksUpToDate>false</LinksUpToDate>
  <CharactersWithSpaces>12049</CharactersWithSpaces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2022-06-24T06:00:00Z</dcterms:created>
  <dc:creator>PC</dc:creator>
  <cp:lastModifiedBy>Renáta Surmánková</cp:lastModifiedBy>
  <dcterms:modified xsi:type="dcterms:W3CDTF">2023-03-30T09:17:52Z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16571832BFD548B097B0AE04C53E3D07</vt:lpwstr>
  </property>
</Properties>
</file>