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767F" w:rsidRDefault="00502BAE">
      <w:r>
        <w:t xml:space="preserve">Poznámky </w:t>
      </w:r>
      <w:proofErr w:type="spellStart"/>
      <w:r>
        <w:t>Úč</w:t>
      </w:r>
      <w:proofErr w:type="spellEnd"/>
      <w:r>
        <w:t xml:space="preserve"> MÚJ 3-01        IČO:    </w:t>
      </w:r>
      <w:r w:rsidR="00C8740C">
        <w:t>52925382</w:t>
      </w:r>
      <w:r>
        <w:t xml:space="preserve">                     DIČ:</w:t>
      </w:r>
      <w:r w:rsidR="00C8740C">
        <w:t>2121177047</w:t>
      </w:r>
    </w:p>
    <w:p w:rsidR="00502BAE" w:rsidRDefault="00502BAE"/>
    <w:p w:rsidR="00502BAE" w:rsidRPr="00EE0835" w:rsidRDefault="00502BAE" w:rsidP="00EE0835">
      <w:pPr>
        <w:pStyle w:val="Odsekzoznamu"/>
        <w:numPr>
          <w:ilvl w:val="0"/>
          <w:numId w:val="1"/>
        </w:numPr>
        <w:spacing w:after="0"/>
        <w:rPr>
          <w:b/>
        </w:rPr>
      </w:pPr>
      <w:r w:rsidRPr="00EE0835">
        <w:rPr>
          <w:b/>
        </w:rPr>
        <w:t>Všeobecné údaje</w:t>
      </w:r>
    </w:p>
    <w:p w:rsidR="00502BAE" w:rsidRPr="00EE0835" w:rsidRDefault="00502BAE" w:rsidP="00EE0835">
      <w:pPr>
        <w:spacing w:after="0"/>
        <w:ind w:left="360"/>
        <w:rPr>
          <w:b/>
        </w:rPr>
      </w:pPr>
      <w:r w:rsidRPr="00EE0835">
        <w:rPr>
          <w:b/>
        </w:rPr>
        <w:t>Názov spoločnosti  a jej sídlo:</w:t>
      </w:r>
    </w:p>
    <w:p w:rsidR="00EE0835" w:rsidRDefault="005B17B6" w:rsidP="00EE0835">
      <w:pPr>
        <w:spacing w:after="0"/>
        <w:ind w:left="360"/>
      </w:pPr>
      <w:r>
        <w:t xml:space="preserve">TSG TECH s.r.o., </w:t>
      </w:r>
      <w:proofErr w:type="spellStart"/>
      <w:r>
        <w:t>Kellerova</w:t>
      </w:r>
      <w:proofErr w:type="spellEnd"/>
      <w:r>
        <w:t xml:space="preserve"> 897/8, 085 01  Bardejov</w:t>
      </w:r>
    </w:p>
    <w:p w:rsidR="00502BAE" w:rsidRDefault="00502BAE" w:rsidP="00EE0835">
      <w:pPr>
        <w:spacing w:after="0"/>
      </w:pPr>
    </w:p>
    <w:p w:rsidR="00502BAE" w:rsidRPr="00EE0835" w:rsidRDefault="00502BAE" w:rsidP="00EE0835">
      <w:pPr>
        <w:spacing w:after="0"/>
        <w:ind w:left="360"/>
        <w:rPr>
          <w:b/>
        </w:rPr>
      </w:pPr>
      <w:r w:rsidRPr="00EE0835">
        <w:rPr>
          <w:b/>
        </w:rPr>
        <w:t>Údaje o konsolidovanom celku:</w:t>
      </w:r>
    </w:p>
    <w:p w:rsidR="00502BAE" w:rsidRDefault="00502BAE" w:rsidP="00EE0835">
      <w:pPr>
        <w:spacing w:after="0"/>
        <w:ind w:left="360"/>
      </w:pPr>
      <w:r>
        <w:t>Spoločnosť nie je súčasťou konsolidovaného celku inej obchodnej spoločnosti.</w:t>
      </w:r>
    </w:p>
    <w:p w:rsidR="00502BAE" w:rsidRPr="00EE0835" w:rsidRDefault="00EE0835" w:rsidP="00EE0835">
      <w:pPr>
        <w:rPr>
          <w:b/>
        </w:rPr>
      </w:pPr>
      <w:r>
        <w:t xml:space="preserve">       </w:t>
      </w:r>
      <w:r w:rsidR="00502BAE" w:rsidRPr="00EE0835">
        <w:rPr>
          <w:b/>
        </w:rPr>
        <w:t>Priemerný prepočítaný počet zamestnancov:</w:t>
      </w:r>
      <w:r>
        <w:rPr>
          <w:b/>
        </w:rPr>
        <w:t xml:space="preserve"> 0</w:t>
      </w:r>
    </w:p>
    <w:p w:rsidR="00502BAE" w:rsidRPr="00EE0835" w:rsidRDefault="00502BAE" w:rsidP="00502BAE">
      <w:pPr>
        <w:pStyle w:val="Odsekzoznamu"/>
        <w:numPr>
          <w:ilvl w:val="0"/>
          <w:numId w:val="1"/>
        </w:numPr>
        <w:rPr>
          <w:b/>
        </w:rPr>
      </w:pPr>
      <w:r w:rsidRPr="00EE0835">
        <w:rPr>
          <w:b/>
        </w:rPr>
        <w:t>Informácie o prijatých postupoch</w:t>
      </w:r>
    </w:p>
    <w:p w:rsidR="00502BAE" w:rsidRDefault="00502BAE" w:rsidP="00502BAE">
      <w:pPr>
        <w:ind w:left="360"/>
      </w:pPr>
      <w:r>
        <w:t>Účtovná závierka bola zostavená za predpokladu nepretržitého trvania  spoločnosti.</w:t>
      </w:r>
    </w:p>
    <w:p w:rsidR="00502BAE" w:rsidRDefault="00502BAE" w:rsidP="00502BAE">
      <w:pPr>
        <w:ind w:left="360"/>
      </w:pPr>
      <w:r>
        <w:t>Spôsob oceňovania jednotlivých položiek majetku a záväzkov:</w:t>
      </w:r>
    </w:p>
    <w:tbl>
      <w:tblPr>
        <w:tblW w:w="10236" w:type="dxa"/>
        <w:tblInd w:w="70" w:type="dxa"/>
        <w:tblCellMar>
          <w:left w:w="70" w:type="dxa"/>
          <w:right w:w="70" w:type="dxa"/>
        </w:tblCellMar>
        <w:tblLook w:val="04A0"/>
      </w:tblPr>
      <w:tblGrid>
        <w:gridCol w:w="10236"/>
      </w:tblGrid>
      <w:tr w:rsidR="00502BAE" w:rsidRPr="00502BAE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502BA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71B1B">
              <w:rPr>
                <w:rFonts w:ascii="Calibri" w:eastAsia="Times New Roman" w:hAnsi="Calibri" w:cs="Times New Roman"/>
                <w:b/>
                <w:bCs/>
                <w:color w:val="000000"/>
              </w:rPr>
              <w:t>Ocenenie dlhodobého majetku:</w:t>
            </w:r>
          </w:p>
          <w:p w:rsidR="00502BAE" w:rsidRPr="00502BAE" w:rsidRDefault="00502BAE" w:rsidP="00502BAE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502BAE">
              <w:rPr>
                <w:rFonts w:ascii="Calibri" w:eastAsia="Times New Roman" w:hAnsi="Calibri" w:cs="Times New Roman"/>
                <w:bCs/>
                <w:color w:val="000000"/>
              </w:rPr>
              <w:t xml:space="preserve">Dlhodobý majetok nakupovaný sa oceňuje obstarávacou cenou, ktorá zahŕňa cenu obstarania a náklady </w:t>
            </w:r>
          </w:p>
        </w:tc>
      </w:tr>
      <w:tr w:rsidR="00502BAE" w:rsidRPr="00502BAE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502BAE" w:rsidRPr="00502BAE" w:rsidRDefault="00502BAE" w:rsidP="00502BAE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502BAE">
              <w:rPr>
                <w:rFonts w:ascii="Calibri" w:eastAsia="Times New Roman" w:hAnsi="Calibri" w:cs="Times New Roman"/>
                <w:bCs/>
                <w:color w:val="000000"/>
              </w:rPr>
              <w:t xml:space="preserve">súvisiace s obstaraním (clo, prepravu, montáž, poistné a pod.). </w:t>
            </w:r>
          </w:p>
        </w:tc>
      </w:tr>
      <w:tr w:rsidR="00502BAE" w:rsidRPr="00502BAE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502BAE" w:rsidRPr="00502BAE" w:rsidRDefault="00502BAE" w:rsidP="00502BAE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502BAE">
              <w:rPr>
                <w:rFonts w:ascii="Calibri" w:eastAsia="Times New Roman" w:hAnsi="Calibri" w:cs="Times New Roman"/>
                <w:bCs/>
                <w:color w:val="000000"/>
              </w:rPr>
              <w:t xml:space="preserve">Dlhodobý majetok vytvorený vlastnou činnosťou sa oceňuje vlastnými nákladmi. Vlastnými nákladmi sú </w:t>
            </w:r>
          </w:p>
        </w:tc>
      </w:tr>
      <w:tr w:rsidR="00502BAE" w:rsidRPr="00502BAE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502BAE" w:rsidRPr="00502BAE" w:rsidRDefault="00502BAE" w:rsidP="00502BAE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502BAE">
              <w:rPr>
                <w:rFonts w:ascii="Calibri" w:eastAsia="Times New Roman" w:hAnsi="Calibri" w:cs="Times New Roman"/>
                <w:bCs/>
                <w:color w:val="000000"/>
              </w:rPr>
              <w:t xml:space="preserve">všetky priame náklady vynaložené na výrobu alebo inú činnosť a nepriame náklady, ktoré sa vzťahujú na </w:t>
            </w:r>
          </w:p>
        </w:tc>
      </w:tr>
      <w:tr w:rsidR="00502BAE" w:rsidRPr="00502BAE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502BAE" w:rsidRPr="00502BAE" w:rsidRDefault="00502BAE" w:rsidP="00502BAE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502BAE">
              <w:rPr>
                <w:rFonts w:ascii="Calibri" w:eastAsia="Times New Roman" w:hAnsi="Calibri" w:cs="Times New Roman"/>
                <w:bCs/>
                <w:color w:val="000000"/>
              </w:rPr>
              <w:t xml:space="preserve">výrobu alebo inú činnosť. </w:t>
            </w:r>
          </w:p>
        </w:tc>
      </w:tr>
      <w:tr w:rsidR="00502BAE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Default="00971B1B" w:rsidP="00971B1B">
            <w:pPr>
              <w:spacing w:after="0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Ocenenie zásob:</w:t>
            </w:r>
          </w:p>
          <w:p w:rsidR="00502BAE" w:rsidRPr="00971B1B" w:rsidRDefault="00502BAE" w:rsidP="00971B1B">
            <w:pPr>
              <w:spacing w:after="0"/>
              <w:rPr>
                <w:rFonts w:ascii="Calibri" w:hAnsi="Calibri"/>
                <w:bCs/>
                <w:color w:val="000000"/>
              </w:rPr>
            </w:pPr>
            <w:r w:rsidRPr="00971B1B">
              <w:rPr>
                <w:rFonts w:ascii="Calibri" w:hAnsi="Calibri"/>
                <w:bCs/>
                <w:color w:val="000000"/>
              </w:rPr>
              <w:t xml:space="preserve">Zásoby sa oceňujú nižšou z nasledujúcich hodnôt:  obstarávacia cena (nakupované zásoby) alebo </w:t>
            </w:r>
          </w:p>
        </w:tc>
      </w:tr>
      <w:tr w:rsidR="00502BAE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502BAE" w:rsidRPr="00971B1B" w:rsidRDefault="00502BAE" w:rsidP="00971B1B">
            <w:pPr>
              <w:spacing w:after="0"/>
              <w:rPr>
                <w:rFonts w:ascii="Calibri" w:hAnsi="Calibri"/>
                <w:bCs/>
                <w:color w:val="000000"/>
              </w:rPr>
            </w:pPr>
            <w:r w:rsidRPr="00971B1B">
              <w:rPr>
                <w:rFonts w:ascii="Calibri" w:hAnsi="Calibri"/>
                <w:bCs/>
                <w:color w:val="000000"/>
              </w:rPr>
              <w:t>vlastné náklady (zásoby vytvorené vlastnou činnosťou) alebo čistá realizačná hodnota.</w:t>
            </w:r>
          </w:p>
        </w:tc>
      </w:tr>
      <w:tr w:rsidR="00502BAE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502BAE" w:rsidRPr="00971B1B" w:rsidRDefault="00502BAE" w:rsidP="00971B1B">
            <w:pPr>
              <w:spacing w:after="0"/>
              <w:rPr>
                <w:rFonts w:ascii="Calibri" w:hAnsi="Calibri"/>
                <w:bCs/>
                <w:color w:val="000000"/>
              </w:rPr>
            </w:pPr>
            <w:r w:rsidRPr="00971B1B">
              <w:rPr>
                <w:rFonts w:ascii="Calibri" w:hAnsi="Calibri"/>
                <w:bCs/>
                <w:color w:val="000000"/>
              </w:rPr>
              <w:t>Nakupované zásoby sa oceňujú váženým aritmetickým priemerom z obstarávacích cien.</w:t>
            </w:r>
          </w:p>
        </w:tc>
      </w:tr>
      <w:tr w:rsidR="00971B1B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/>
              <w:rPr>
                <w:rFonts w:ascii="Calibri" w:hAnsi="Calibri"/>
                <w:bCs/>
              </w:rPr>
            </w:pPr>
            <w:r w:rsidRPr="00971B1B">
              <w:rPr>
                <w:rFonts w:ascii="Calibri" w:hAnsi="Calibri"/>
                <w:bCs/>
              </w:rPr>
              <w:t xml:space="preserve">Pohľadávky pri ich vzniku sa oceňujú ich menovitou hodnotou; postúpené pohľadávky a pohľadávky </w:t>
            </w:r>
          </w:p>
        </w:tc>
      </w:tr>
      <w:tr w:rsidR="00971B1B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/>
              <w:rPr>
                <w:rFonts w:ascii="Calibri" w:hAnsi="Calibri"/>
                <w:bCs/>
              </w:rPr>
            </w:pPr>
            <w:r w:rsidRPr="00971B1B">
              <w:rPr>
                <w:rFonts w:ascii="Calibri" w:hAnsi="Calibri"/>
                <w:bCs/>
              </w:rPr>
              <w:t xml:space="preserve">nadobudnuté vkladom do základného imania sa oceňujú obstarávacou cenou vrátane nákladov súvisiacich </w:t>
            </w:r>
          </w:p>
        </w:tc>
      </w:tr>
      <w:tr w:rsidR="00971B1B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hAnsi="Calibri"/>
                <w:b/>
                <w:bCs/>
              </w:rPr>
            </w:pPr>
            <w:r w:rsidRPr="00971B1B">
              <w:rPr>
                <w:rFonts w:ascii="Calibri" w:hAnsi="Calibri"/>
                <w:b/>
                <w:bCs/>
              </w:rPr>
              <w:t>Ocenenie krátkodobého finančného majetku:</w:t>
            </w:r>
          </w:p>
          <w:p w:rsidR="00971B1B" w:rsidRPr="00971B1B" w:rsidRDefault="00971B1B" w:rsidP="00971B1B">
            <w:pPr>
              <w:spacing w:after="0" w:line="240" w:lineRule="auto"/>
              <w:rPr>
                <w:rFonts w:ascii="Calibri" w:hAnsi="Calibri"/>
                <w:bCs/>
              </w:rPr>
            </w:pPr>
            <w:r w:rsidRPr="00971B1B">
              <w:rPr>
                <w:rFonts w:ascii="Calibri" w:hAnsi="Calibri"/>
                <w:bCs/>
              </w:rPr>
              <w:t xml:space="preserve">Peňažné prostriedky a ceniny sa oceňujú ich menovitou hodnotou. </w:t>
            </w:r>
          </w:p>
        </w:tc>
      </w:tr>
      <w:tr w:rsidR="00971B1B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hAnsi="Calibri"/>
                <w:bCs/>
              </w:rPr>
            </w:pPr>
            <w:r w:rsidRPr="00971B1B">
              <w:rPr>
                <w:rFonts w:ascii="Calibri" w:hAnsi="Calibri"/>
                <w:bCs/>
              </w:rPr>
              <w:t>Zníženie ich hodnoty sa vyjadruje opravnou položkou.</w:t>
            </w:r>
          </w:p>
        </w:tc>
      </w:tr>
      <w:tr w:rsidR="00971B1B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hAnsi="Calibri"/>
                <w:bCs/>
              </w:rPr>
            </w:pPr>
            <w:r w:rsidRPr="00971B1B">
              <w:rPr>
                <w:rFonts w:ascii="Calibri" w:hAnsi="Calibri"/>
                <w:bCs/>
              </w:rPr>
              <w:t xml:space="preserve">Cenné papiere, dlhové cenná papiere na obchodovanie sa oceňujú obstarávacími cenami vrátane nákladov </w:t>
            </w:r>
          </w:p>
        </w:tc>
      </w:tr>
      <w:tr w:rsidR="00971B1B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hAnsi="Calibri"/>
                <w:bCs/>
              </w:rPr>
            </w:pPr>
            <w:r w:rsidRPr="00971B1B">
              <w:rPr>
                <w:rFonts w:ascii="Calibri" w:hAnsi="Calibri"/>
                <w:bCs/>
              </w:rPr>
              <w:t xml:space="preserve">súvisiacich s obstaraním. </w:t>
            </w:r>
          </w:p>
        </w:tc>
      </w:tr>
      <w:tr w:rsidR="00971B1B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 w:rsidRPr="00971B1B">
              <w:rPr>
                <w:rFonts w:ascii="Calibri" w:hAnsi="Calibri"/>
                <w:b/>
                <w:bCs/>
                <w:color w:val="000000"/>
              </w:rPr>
              <w:t>Ocenenie záväzkov vrátane rezerv, dlhopisov , pôžičiek a úverov</w:t>
            </w:r>
          </w:p>
          <w:p w:rsidR="00971B1B" w:rsidRPr="00971B1B" w:rsidRDefault="00971B1B" w:rsidP="00971B1B">
            <w:pPr>
              <w:spacing w:after="0" w:line="240" w:lineRule="auto"/>
              <w:rPr>
                <w:rFonts w:ascii="Calibri" w:hAnsi="Calibri"/>
                <w:bCs/>
                <w:color w:val="000000"/>
              </w:rPr>
            </w:pPr>
            <w:r w:rsidRPr="00971B1B">
              <w:rPr>
                <w:rFonts w:ascii="Calibri" w:hAnsi="Calibri"/>
                <w:bCs/>
                <w:color w:val="000000"/>
              </w:rPr>
              <w:t xml:space="preserve">Záväzky pri ich vzniku sa oceňujú menovitou hodnotou. Záväzky pri ich prevzatí sa oceňujú obstarávacou </w:t>
            </w:r>
          </w:p>
        </w:tc>
      </w:tr>
      <w:tr w:rsidR="00971B1B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hAnsi="Calibri"/>
                <w:bCs/>
                <w:color w:val="000000"/>
              </w:rPr>
            </w:pPr>
            <w:r w:rsidRPr="00971B1B">
              <w:rPr>
                <w:rFonts w:ascii="Calibri" w:hAnsi="Calibri"/>
                <w:bCs/>
                <w:color w:val="000000"/>
              </w:rPr>
              <w:t xml:space="preserve">cenou. Ak sa pri inventarizácii zistí, že suma záväzkov je iná ako ich výška v účtovníctve, uvedú sa záväzky </w:t>
            </w:r>
          </w:p>
        </w:tc>
      </w:tr>
      <w:tr w:rsidR="00971B1B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hAnsi="Calibri"/>
                <w:bCs/>
                <w:color w:val="000000"/>
              </w:rPr>
            </w:pPr>
            <w:r w:rsidRPr="00971B1B">
              <w:rPr>
                <w:rFonts w:ascii="Calibri" w:hAnsi="Calibri"/>
                <w:bCs/>
                <w:color w:val="000000"/>
              </w:rPr>
              <w:t xml:space="preserve">v účtovníctve a v účtovnej závierke v tomto zistenom ocenení. </w:t>
            </w:r>
          </w:p>
        </w:tc>
      </w:tr>
      <w:tr w:rsidR="00971B1B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hAnsi="Calibri"/>
                <w:bCs/>
                <w:color w:val="000000"/>
              </w:rPr>
            </w:pPr>
            <w:r w:rsidRPr="00971B1B">
              <w:rPr>
                <w:rFonts w:ascii="Calibri" w:hAnsi="Calibri"/>
                <w:bCs/>
                <w:color w:val="000000"/>
              </w:rPr>
              <w:t xml:space="preserve">Rezervy sú záväzky s neurčitým časovým vymedzením alebo výškou; tvoria sa na krytie známych rizík alebo </w:t>
            </w:r>
          </w:p>
        </w:tc>
      </w:tr>
      <w:tr w:rsidR="00971B1B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hAnsi="Calibri"/>
                <w:bCs/>
                <w:color w:val="000000"/>
              </w:rPr>
            </w:pPr>
            <w:r w:rsidRPr="00971B1B">
              <w:rPr>
                <w:rFonts w:ascii="Calibri" w:hAnsi="Calibri"/>
                <w:bCs/>
                <w:color w:val="000000"/>
              </w:rPr>
              <w:t>strát z podnikania. Oceňujú sa v očakávanej výške záväzku.</w:t>
            </w:r>
          </w:p>
        </w:tc>
      </w:tr>
      <w:tr w:rsidR="00EE0835" w:rsidRPr="00502BAE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EE0835" w:rsidRPr="00EE0835" w:rsidRDefault="00EE0835" w:rsidP="002A406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EE0835">
              <w:rPr>
                <w:rFonts w:ascii="Calibri" w:eastAsia="Times New Roman" w:hAnsi="Calibri" w:cs="Times New Roman"/>
                <w:b/>
                <w:bCs/>
                <w:color w:val="000000"/>
              </w:rPr>
              <w:t>Odpisy dlhodobého nehmotného majetku sú stanovené vychádzajúc z predpokladanej doby jeho</w:t>
            </w:r>
          </w:p>
          <w:p w:rsidR="00EE0835" w:rsidRPr="00502BAE" w:rsidRDefault="00EE0835" w:rsidP="002A4060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502BAE">
              <w:rPr>
                <w:rFonts w:ascii="Calibri" w:eastAsia="Times New Roman" w:hAnsi="Calibri" w:cs="Times New Roman"/>
                <w:bCs/>
                <w:color w:val="000000"/>
              </w:rPr>
              <w:t xml:space="preserve">používania a predpokladaného priebehu jeho opotrebenia. Odpisovať sa začína prvým dňom mesiaca </w:t>
            </w:r>
          </w:p>
        </w:tc>
      </w:tr>
      <w:tr w:rsidR="00EE0835" w:rsidRPr="00502BAE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EE0835" w:rsidRPr="00502BAE" w:rsidRDefault="00EE0835" w:rsidP="002A4060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502BAE">
              <w:rPr>
                <w:rFonts w:ascii="Calibri" w:eastAsia="Times New Roman" w:hAnsi="Calibri" w:cs="Times New Roman"/>
                <w:bCs/>
                <w:color w:val="000000"/>
              </w:rPr>
              <w:t>uvedenia dlhodobého majetku do používania. Drobný dlhodobý nehmotný majetok, ktorého obstarávacia</w:t>
            </w:r>
          </w:p>
        </w:tc>
      </w:tr>
      <w:tr w:rsidR="00EE0835" w:rsidRPr="00502BAE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EE0835" w:rsidRPr="00502BAE" w:rsidRDefault="00EE0835" w:rsidP="002A4060">
            <w:pPr>
              <w:spacing w:after="0" w:line="240" w:lineRule="auto"/>
              <w:rPr>
                <w:rFonts w:ascii="Calibri" w:eastAsia="Times New Roman" w:hAnsi="Calibri" w:cs="Times New Roman"/>
                <w:bCs/>
              </w:rPr>
            </w:pPr>
            <w:r w:rsidRPr="00502BAE">
              <w:rPr>
                <w:rFonts w:ascii="Calibri" w:eastAsia="Times New Roman" w:hAnsi="Calibri" w:cs="Times New Roman"/>
                <w:bCs/>
              </w:rPr>
              <w:t xml:space="preserve">cena (resp. vlastné náklady) je  2400 EUR a nižšia, sa odpisuje jednorazovo pri uvedení do používania. </w:t>
            </w:r>
          </w:p>
        </w:tc>
      </w:tr>
      <w:tr w:rsidR="00EE0835" w:rsidRPr="00502BAE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EE0835" w:rsidRPr="00502BAE" w:rsidRDefault="00EE0835" w:rsidP="00502BAE">
            <w:pPr>
              <w:spacing w:after="0" w:line="240" w:lineRule="auto"/>
              <w:rPr>
                <w:rFonts w:ascii="Calibri" w:eastAsia="Times New Roman" w:hAnsi="Calibri" w:cs="Times New Roman"/>
                <w:bCs/>
              </w:rPr>
            </w:pPr>
          </w:p>
        </w:tc>
      </w:tr>
    </w:tbl>
    <w:p w:rsidR="00502BAE" w:rsidRPr="00971B1B" w:rsidRDefault="00502BAE" w:rsidP="00502BAE">
      <w:pPr>
        <w:ind w:left="360"/>
      </w:pPr>
    </w:p>
    <w:tbl>
      <w:tblPr>
        <w:tblW w:w="9954" w:type="dxa"/>
        <w:tblInd w:w="212" w:type="dxa"/>
        <w:tblCellMar>
          <w:left w:w="70" w:type="dxa"/>
          <w:right w:w="70" w:type="dxa"/>
        </w:tblCellMar>
        <w:tblLook w:val="04A0"/>
      </w:tblPr>
      <w:tblGrid>
        <w:gridCol w:w="9954"/>
      </w:tblGrid>
      <w:tr w:rsidR="00502BAE" w:rsidRPr="00502BAE" w:rsidTr="00EE0835">
        <w:trPr>
          <w:trHeight w:val="300"/>
        </w:trPr>
        <w:tc>
          <w:tcPr>
            <w:tcW w:w="9954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502BAE" w:rsidRPr="00502BAE" w:rsidRDefault="00502BAE" w:rsidP="00502BA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502BAE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Odpisy dlhodobého hmotného majetku sú stanovené vychádzajúc z predpokladanej doby jeho </w:t>
            </w:r>
          </w:p>
        </w:tc>
      </w:tr>
      <w:tr w:rsidR="00502BAE" w:rsidRPr="00502BAE" w:rsidTr="00EE0835">
        <w:trPr>
          <w:trHeight w:val="300"/>
        </w:trPr>
        <w:tc>
          <w:tcPr>
            <w:tcW w:w="9954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502BAE" w:rsidRPr="00502BAE" w:rsidRDefault="00502BAE" w:rsidP="00502BAE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502BAE">
              <w:rPr>
                <w:rFonts w:ascii="Calibri" w:eastAsia="Times New Roman" w:hAnsi="Calibri" w:cs="Times New Roman"/>
                <w:bCs/>
                <w:color w:val="000000"/>
              </w:rPr>
              <w:t xml:space="preserve">používania a predpokladaného priebehu jeho opotrebenia. Odpisovať sa začína prvým dňom mesiaca </w:t>
            </w:r>
          </w:p>
        </w:tc>
      </w:tr>
      <w:tr w:rsidR="00502BAE" w:rsidRPr="00502BAE" w:rsidTr="00EE0835">
        <w:trPr>
          <w:trHeight w:val="300"/>
        </w:trPr>
        <w:tc>
          <w:tcPr>
            <w:tcW w:w="9954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502BAE" w:rsidRPr="00502BAE" w:rsidRDefault="00502BAE" w:rsidP="00502BAE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502BAE">
              <w:rPr>
                <w:rFonts w:ascii="Calibri" w:eastAsia="Times New Roman" w:hAnsi="Calibri" w:cs="Times New Roman"/>
                <w:bCs/>
                <w:color w:val="000000"/>
              </w:rPr>
              <w:t xml:space="preserve"> uvedenia dlhodobého majetku do používania. Drobný dlhodobý hmotný majetok, ktorého obstarávacia</w:t>
            </w:r>
          </w:p>
        </w:tc>
      </w:tr>
      <w:tr w:rsidR="00502BAE" w:rsidRPr="00502BAE" w:rsidTr="00EE0835">
        <w:trPr>
          <w:trHeight w:val="300"/>
        </w:trPr>
        <w:tc>
          <w:tcPr>
            <w:tcW w:w="9954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5977E1" w:rsidRDefault="00502BAE" w:rsidP="005977E1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</w:rPr>
            </w:pPr>
            <w:r w:rsidRPr="00502BAE">
              <w:rPr>
                <w:rFonts w:ascii="Calibri" w:eastAsia="Times New Roman" w:hAnsi="Calibri" w:cs="Times New Roman"/>
                <w:bCs/>
              </w:rPr>
              <w:t xml:space="preserve">cena (resp. vlastné náklady) je  1700 EUR a nižšia, sa odpisuje jednorazovo pri uvedení do používania. </w:t>
            </w:r>
            <w:r w:rsidR="005977E1">
              <w:rPr>
                <w:rFonts w:ascii="Times New Roman" w:eastAsia="MS Gothic" w:hAnsi="Times New Roman" w:cs="Times New Roman"/>
              </w:rPr>
              <w:t xml:space="preserve">Odpisový plán účtovných odpisov </w:t>
            </w:r>
            <w:r w:rsidR="005977E1">
              <w:rPr>
                <w:rFonts w:ascii="Times New Roman" w:eastAsia="MS Gothic" w:hAnsi="Times New Roman" w:cs="Times New Roman"/>
                <w:b/>
              </w:rPr>
              <w:t>dlhodobého hmotného majetku</w:t>
            </w:r>
            <w:r w:rsidR="005977E1">
              <w:rPr>
                <w:rFonts w:ascii="Times New Roman" w:eastAsia="MS Gothic" w:hAnsi="Times New Roman" w:cs="Times New Roman"/>
              </w:rPr>
              <w:t xml:space="preserve"> podnikateľ zostavil </w:t>
            </w:r>
            <w:r w:rsidR="005977E1">
              <w:rPr>
                <w:rFonts w:ascii="Times New Roman" w:eastAsia="MS Gothic" w:hAnsi="Times New Roman" w:cs="Times New Roman"/>
              </w:rPr>
              <w:tab/>
              <w:t xml:space="preserve">interným predpisom tak, že za základ vzal metódy používané pri vyčísľovaní daňových </w:t>
            </w:r>
            <w:r w:rsidR="005977E1">
              <w:rPr>
                <w:rFonts w:ascii="Times New Roman" w:eastAsia="MS Gothic" w:hAnsi="Times New Roman" w:cs="Times New Roman"/>
              </w:rPr>
              <w:tab/>
              <w:t xml:space="preserve">odpisov. Odpisové sadzby pre </w:t>
            </w:r>
            <w:r w:rsidR="005977E1">
              <w:rPr>
                <w:rFonts w:ascii="Times New Roman" w:eastAsia="MS Gothic" w:hAnsi="Times New Roman" w:cs="Times New Roman"/>
              </w:rPr>
              <w:lastRenderedPageBreak/>
              <w:t xml:space="preserve">účtovné a daňové odpisy podnikateľa </w:t>
            </w:r>
            <w:r w:rsidR="005977E1">
              <w:rPr>
                <w:rFonts w:ascii="Times New Roman" w:eastAsia="MS Gothic" w:hAnsi="Times New Roman" w:cs="Times New Roman"/>
                <w:b/>
              </w:rPr>
              <w:t>sa rovnajú</w:t>
            </w:r>
            <w:r w:rsidR="005977E1">
              <w:rPr>
                <w:rFonts w:ascii="Times New Roman" w:eastAsia="MS Gothic" w:hAnsi="Times New Roman" w:cs="Times New Roman"/>
              </w:rPr>
              <w:t>.</w:t>
            </w:r>
          </w:p>
          <w:p w:rsidR="00502BAE" w:rsidRPr="00502BAE" w:rsidRDefault="00502BAE" w:rsidP="00502BAE">
            <w:pPr>
              <w:spacing w:after="0" w:line="240" w:lineRule="auto"/>
              <w:rPr>
                <w:rFonts w:ascii="Calibri" w:eastAsia="Times New Roman" w:hAnsi="Calibri" w:cs="Times New Roman"/>
                <w:bCs/>
              </w:rPr>
            </w:pPr>
          </w:p>
        </w:tc>
      </w:tr>
    </w:tbl>
    <w:p w:rsidR="00502BAE" w:rsidRDefault="00502BAE" w:rsidP="00502BAE">
      <w:pPr>
        <w:ind w:left="360"/>
      </w:pPr>
    </w:p>
    <w:p w:rsidR="00EE0835" w:rsidRPr="00E85C88" w:rsidRDefault="00E85C88" w:rsidP="00502BAE">
      <w:pPr>
        <w:ind w:left="360"/>
      </w:pPr>
      <w:r w:rsidRPr="00E85C88">
        <w:t xml:space="preserve">Poznámky  </w:t>
      </w:r>
      <w:proofErr w:type="spellStart"/>
      <w:r w:rsidRPr="00E85C88">
        <w:t>Úč</w:t>
      </w:r>
      <w:proofErr w:type="spellEnd"/>
      <w:r w:rsidRPr="00E85C88">
        <w:t xml:space="preserve"> MÚJ 3-01</w:t>
      </w:r>
    </w:p>
    <w:p w:rsidR="00971B1B" w:rsidRPr="00971B1B" w:rsidRDefault="00E85C88" w:rsidP="00E85C88">
      <w:pPr>
        <w:rPr>
          <w:b/>
        </w:rPr>
      </w:pPr>
      <w:r>
        <w:rPr>
          <w:b/>
        </w:rPr>
        <w:t xml:space="preserve">      </w:t>
      </w:r>
      <w:r w:rsidR="00971B1B" w:rsidRPr="00971B1B">
        <w:rPr>
          <w:b/>
        </w:rPr>
        <w:t>Ocenenie dotácií</w:t>
      </w:r>
    </w:p>
    <w:tbl>
      <w:tblPr>
        <w:tblW w:w="1008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0080"/>
      </w:tblGrid>
      <w:tr w:rsidR="00971B1B" w:rsidRPr="00971B1B" w:rsidTr="00971B1B">
        <w:trPr>
          <w:trHeight w:val="300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971B1B">
              <w:rPr>
                <w:rFonts w:ascii="Calibri" w:eastAsia="Times New Roman" w:hAnsi="Calibri" w:cs="Times New Roman"/>
                <w:bCs/>
                <w:color w:val="000000"/>
              </w:rPr>
              <w:t>Dotácie na hospodársku činnosť  sa  vykazujú ako výnosy budúcich období a do výkazu ziskov a strát sa</w:t>
            </w:r>
          </w:p>
        </w:tc>
      </w:tr>
      <w:tr w:rsidR="00971B1B" w:rsidRPr="00971B1B" w:rsidTr="00971B1B">
        <w:trPr>
          <w:trHeight w:val="300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971B1B">
              <w:rPr>
                <w:rFonts w:ascii="Calibri" w:eastAsia="Times New Roman" w:hAnsi="Calibri" w:cs="Times New Roman"/>
                <w:bCs/>
                <w:color w:val="000000"/>
              </w:rPr>
              <w:t xml:space="preserve">rozpúšťajú ako výnosy z hospodárskej činnosti v časovej a vecnej súvislosti s vynaložením nákladov na </w:t>
            </w:r>
          </w:p>
        </w:tc>
      </w:tr>
      <w:tr w:rsidR="00971B1B" w:rsidRPr="00971B1B" w:rsidTr="00971B1B">
        <w:trPr>
          <w:trHeight w:val="300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971B1B">
              <w:rPr>
                <w:rFonts w:ascii="Calibri" w:eastAsia="Times New Roman" w:hAnsi="Calibri" w:cs="Times New Roman"/>
                <w:bCs/>
                <w:color w:val="000000"/>
              </w:rPr>
              <w:t>príslušný účel.</w:t>
            </w:r>
          </w:p>
        </w:tc>
      </w:tr>
      <w:tr w:rsidR="00971B1B" w:rsidRPr="00971B1B" w:rsidTr="00971B1B">
        <w:trPr>
          <w:trHeight w:val="300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971B1B">
              <w:rPr>
                <w:rFonts w:ascii="Calibri" w:eastAsia="Times New Roman" w:hAnsi="Calibri" w:cs="Times New Roman"/>
                <w:bCs/>
                <w:color w:val="000000"/>
              </w:rPr>
              <w:t xml:space="preserve">Dotácie na obstaranie dlhodobého hmotného majetku a dlhodobého nehmotného majetku sa najskôr </w:t>
            </w:r>
          </w:p>
        </w:tc>
      </w:tr>
      <w:tr w:rsidR="00971B1B" w:rsidRPr="00971B1B" w:rsidTr="00971B1B">
        <w:trPr>
          <w:trHeight w:val="300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971B1B">
              <w:rPr>
                <w:rFonts w:ascii="Calibri" w:eastAsia="Times New Roman" w:hAnsi="Calibri" w:cs="Times New Roman"/>
                <w:bCs/>
                <w:color w:val="000000"/>
              </w:rPr>
              <w:t xml:space="preserve">vykazujú ako výnosy budúcich období a do výkazu ziskov a strát sa rozpúšťajú v časovej a vecnej súvislosti </w:t>
            </w:r>
          </w:p>
        </w:tc>
      </w:tr>
      <w:tr w:rsidR="00971B1B" w:rsidRPr="00971B1B" w:rsidTr="00971B1B">
        <w:trPr>
          <w:trHeight w:val="300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971B1B">
              <w:rPr>
                <w:rFonts w:ascii="Calibri" w:eastAsia="Times New Roman" w:hAnsi="Calibri" w:cs="Times New Roman"/>
                <w:bCs/>
                <w:color w:val="000000"/>
              </w:rPr>
              <w:t xml:space="preserve">so zaúčtovaním odpisov z tohto dlhodobého majetku. </w:t>
            </w:r>
          </w:p>
        </w:tc>
      </w:tr>
    </w:tbl>
    <w:p w:rsidR="00F15962" w:rsidRPr="00EE0835" w:rsidRDefault="00971B1B" w:rsidP="00F15962">
      <w:pPr>
        <w:rPr>
          <w:b/>
        </w:rPr>
      </w:pPr>
      <w:r w:rsidRPr="00971B1B">
        <w:rPr>
          <w:b/>
        </w:rPr>
        <w:t>Informácie o významných opravách chýb minulých účtovných období</w:t>
      </w:r>
      <w:r>
        <w:rPr>
          <w:b/>
        </w:rPr>
        <w:t>:</w:t>
      </w:r>
      <w:r w:rsidR="00EE0835">
        <w:rPr>
          <w:b/>
        </w:rPr>
        <w:t xml:space="preserve"> </w:t>
      </w:r>
      <w:r w:rsidRPr="00F15962">
        <w:t xml:space="preserve">V bežnom účtovnom období spoločnosť </w:t>
      </w:r>
      <w:r w:rsidR="00F15962" w:rsidRPr="00EE0835">
        <w:rPr>
          <w:b/>
        </w:rPr>
        <w:t xml:space="preserve">nevykonala </w:t>
      </w:r>
      <w:r w:rsidR="00F15962" w:rsidRPr="00F15962">
        <w:t>významné opravy chýb minulých účtovných období.</w:t>
      </w:r>
    </w:p>
    <w:p w:rsidR="00F15962" w:rsidRDefault="00F15962" w:rsidP="00F15962">
      <w:pPr>
        <w:pStyle w:val="Odsekzoznamu"/>
        <w:numPr>
          <w:ilvl w:val="0"/>
          <w:numId w:val="1"/>
        </w:numPr>
        <w:spacing w:after="0" w:line="240" w:lineRule="auto"/>
        <w:rPr>
          <w:rFonts w:ascii="Calibri" w:eastAsia="Times New Roman" w:hAnsi="Calibri" w:cs="Times New Roman"/>
          <w:b/>
          <w:bCs/>
          <w:color w:val="000000"/>
        </w:rPr>
      </w:pPr>
      <w:r>
        <w:rPr>
          <w:rFonts w:ascii="Calibri" w:eastAsia="Times New Roman" w:hAnsi="Calibri" w:cs="Times New Roman"/>
          <w:b/>
          <w:bCs/>
          <w:color w:val="000000"/>
        </w:rPr>
        <w:t>Informácie, ktoré vysvetľujú a dopĺňajú súvahu a výkaz ziskov a strát</w:t>
      </w:r>
    </w:p>
    <w:p w:rsidR="00F15962" w:rsidRDefault="00F15962" w:rsidP="00F15962">
      <w:pPr>
        <w:spacing w:after="0" w:line="240" w:lineRule="auto"/>
        <w:ind w:left="360"/>
        <w:rPr>
          <w:rFonts w:ascii="Calibri" w:eastAsia="Times New Roman" w:hAnsi="Calibri" w:cs="Times New Roman"/>
          <w:b/>
          <w:bCs/>
          <w:color w:val="000000"/>
        </w:rPr>
      </w:pPr>
    </w:p>
    <w:p w:rsidR="00F15962" w:rsidRDefault="00F15962" w:rsidP="00F15962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 w:rsidRPr="00F15962">
        <w:rPr>
          <w:rFonts w:ascii="Calibri" w:eastAsia="Times New Roman" w:hAnsi="Calibri" w:cs="Times New Roman"/>
          <w:bCs/>
          <w:color w:val="000000"/>
        </w:rPr>
        <w:t xml:space="preserve">Spoločnosť neúčtovala o položkách nákladov a výnosov, ktoré majú výnimočný rozsah alebo výskyt. </w:t>
      </w:r>
    </w:p>
    <w:p w:rsidR="00F15962" w:rsidRPr="00F15962" w:rsidRDefault="00EE0835" w:rsidP="00EE0835">
      <w:pPr>
        <w:spacing w:after="0" w:line="240" w:lineRule="auto"/>
        <w:rPr>
          <w:rFonts w:ascii="Calibri" w:eastAsia="Times New Roman" w:hAnsi="Calibri" w:cs="Times New Roman"/>
          <w:b/>
          <w:bCs/>
          <w:color w:val="000000"/>
        </w:rPr>
      </w:pPr>
      <w:r>
        <w:rPr>
          <w:rFonts w:ascii="Calibri" w:eastAsia="Times New Roman" w:hAnsi="Calibri" w:cs="Times New Roman"/>
          <w:bCs/>
          <w:color w:val="000000"/>
        </w:rPr>
        <w:t xml:space="preserve">       </w:t>
      </w:r>
      <w:r w:rsidR="00F15962" w:rsidRPr="00F15962">
        <w:rPr>
          <w:rFonts w:ascii="Calibri" w:eastAsia="Times New Roman" w:hAnsi="Calibri" w:cs="Times New Roman"/>
          <w:b/>
          <w:bCs/>
          <w:color w:val="000000"/>
        </w:rPr>
        <w:t>Informácie o záväzkoch:</w:t>
      </w:r>
    </w:p>
    <w:p w:rsidR="00F15962" w:rsidRDefault="00F15962" w:rsidP="00F15962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>
        <w:rPr>
          <w:rFonts w:ascii="Calibri" w:eastAsia="Times New Roman" w:hAnsi="Calibri" w:cs="Times New Roman"/>
          <w:bCs/>
          <w:color w:val="000000"/>
        </w:rPr>
        <w:t>Suma záväzkov so zostatkovou dobou splatnosti dlhšou ako päť rokov:</w:t>
      </w:r>
      <w:r w:rsidR="00EE0835">
        <w:rPr>
          <w:rFonts w:ascii="Calibri" w:eastAsia="Times New Roman" w:hAnsi="Calibri" w:cs="Times New Roman"/>
          <w:bCs/>
          <w:color w:val="000000"/>
        </w:rPr>
        <w:t xml:space="preserve"> 0</w:t>
      </w:r>
    </w:p>
    <w:p w:rsidR="00F15962" w:rsidRDefault="00F15962" w:rsidP="00F15962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>
        <w:rPr>
          <w:rFonts w:ascii="Calibri" w:eastAsia="Times New Roman" w:hAnsi="Calibri" w:cs="Times New Roman"/>
          <w:bCs/>
          <w:color w:val="000000"/>
        </w:rPr>
        <w:t>Suma zabezpečených záväzkov (spôsob zabezpečenia):  0</w:t>
      </w:r>
    </w:p>
    <w:p w:rsidR="00C156E9" w:rsidRPr="00EE0835" w:rsidRDefault="00F15962" w:rsidP="00EE0835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>
        <w:rPr>
          <w:rFonts w:ascii="Calibri" w:eastAsia="Times New Roman" w:hAnsi="Calibri" w:cs="Times New Roman"/>
          <w:b/>
          <w:bCs/>
          <w:color w:val="000000"/>
        </w:rPr>
        <w:t xml:space="preserve">Informácie o vlastných akciách:  </w:t>
      </w:r>
      <w:r w:rsidRPr="00F15962">
        <w:rPr>
          <w:rFonts w:ascii="Calibri" w:eastAsia="Times New Roman" w:hAnsi="Calibri" w:cs="Times New Roman"/>
          <w:bCs/>
          <w:color w:val="000000"/>
        </w:rPr>
        <w:t>spoločnosť neeviduje vlastné akcie</w:t>
      </w:r>
    </w:p>
    <w:p w:rsid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/>
          <w:bCs/>
          <w:color w:val="000000"/>
        </w:rPr>
      </w:pPr>
    </w:p>
    <w:p w:rsidR="00C156E9" w:rsidRDefault="00C156E9" w:rsidP="00C156E9">
      <w:pPr>
        <w:pStyle w:val="Odsekzoznamu"/>
        <w:numPr>
          <w:ilvl w:val="0"/>
          <w:numId w:val="1"/>
        </w:numPr>
        <w:spacing w:after="0" w:line="240" w:lineRule="auto"/>
        <w:rPr>
          <w:rFonts w:ascii="Calibri" w:eastAsia="Times New Roman" w:hAnsi="Calibri" w:cs="Times New Roman"/>
          <w:b/>
          <w:bCs/>
          <w:color w:val="000000"/>
        </w:rPr>
      </w:pPr>
      <w:r>
        <w:rPr>
          <w:rFonts w:ascii="Calibri" w:eastAsia="Times New Roman" w:hAnsi="Calibri" w:cs="Times New Roman"/>
          <w:b/>
          <w:bCs/>
          <w:color w:val="000000"/>
        </w:rPr>
        <w:t>Informácie o orgánoch účtovnej jednotky:</w:t>
      </w:r>
    </w:p>
    <w:p w:rsid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/>
          <w:bCs/>
          <w:color w:val="000000"/>
        </w:rPr>
      </w:pPr>
    </w:p>
    <w:p w:rsid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/>
          <w:bCs/>
          <w:color w:val="000000"/>
        </w:rPr>
      </w:pPr>
      <w:r>
        <w:rPr>
          <w:rFonts w:ascii="Calibri" w:eastAsia="Times New Roman" w:hAnsi="Calibri" w:cs="Times New Roman"/>
          <w:b/>
          <w:bCs/>
          <w:color w:val="000000"/>
        </w:rPr>
        <w:t>Výška záruk alebo iných zabezpečení pre členov štatutárneho orgánu, dozorného orgánu a iného orgánu účtovnej jednotky: 0</w:t>
      </w:r>
    </w:p>
    <w:p w:rsid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/>
          <w:bCs/>
          <w:color w:val="000000"/>
        </w:rPr>
      </w:pPr>
      <w:r>
        <w:rPr>
          <w:rFonts w:ascii="Calibri" w:eastAsia="Times New Roman" w:hAnsi="Calibri" w:cs="Times New Roman"/>
          <w:b/>
          <w:bCs/>
          <w:color w:val="000000"/>
        </w:rPr>
        <w:t>Pôžičky poskytnuté členom štatutárneho orgánu, dozorného orgánu a iného orgánu účtovnej jednotky:</w:t>
      </w:r>
    </w:p>
    <w:p w:rsidR="00C156E9" w:rsidRPr="00971BB9" w:rsidRDefault="00971BB9" w:rsidP="00C156E9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 w:rsidRPr="00971BB9">
        <w:rPr>
          <w:rFonts w:ascii="Calibri" w:eastAsia="Times New Roman" w:hAnsi="Calibri" w:cs="Times New Roman"/>
          <w:bCs/>
          <w:color w:val="000000"/>
        </w:rPr>
        <w:t xml:space="preserve">Spoločnosť  </w:t>
      </w:r>
      <w:r w:rsidRPr="00971BB9">
        <w:rPr>
          <w:rFonts w:ascii="Calibri" w:eastAsia="Times New Roman" w:hAnsi="Calibri" w:cs="Times New Roman"/>
          <w:b/>
          <w:bCs/>
          <w:color w:val="000000"/>
        </w:rPr>
        <w:t xml:space="preserve">neposkytla </w:t>
      </w:r>
      <w:r w:rsidRPr="00971BB9">
        <w:rPr>
          <w:rFonts w:ascii="Calibri" w:eastAsia="Times New Roman" w:hAnsi="Calibri" w:cs="Times New Roman"/>
          <w:bCs/>
          <w:color w:val="000000"/>
        </w:rPr>
        <w:t>členom štatutárneho, dozorného  alebo iného orgánu  pôžičky . K poskytnutým pôžičkám uvádza:</w:t>
      </w:r>
    </w:p>
    <w:p w:rsidR="00C156E9" w:rsidRDefault="00C156E9" w:rsidP="00EE0835">
      <w:pPr>
        <w:spacing w:after="0" w:line="240" w:lineRule="auto"/>
        <w:rPr>
          <w:rFonts w:ascii="Calibri" w:eastAsia="Times New Roman" w:hAnsi="Calibri" w:cs="Times New Roman"/>
          <w:b/>
          <w:bCs/>
          <w:color w:val="000000"/>
        </w:rPr>
      </w:pPr>
      <w:r>
        <w:rPr>
          <w:rFonts w:ascii="Calibri" w:eastAsia="Times New Roman" w:hAnsi="Calibri" w:cs="Times New Roman"/>
          <w:b/>
          <w:bCs/>
          <w:color w:val="000000"/>
        </w:rPr>
        <w:t xml:space="preserve">                                                                                      </w:t>
      </w:r>
      <w:r w:rsidR="00EE0835">
        <w:rPr>
          <w:rFonts w:ascii="Calibri" w:eastAsia="Times New Roman" w:hAnsi="Calibri" w:cs="Times New Roman"/>
          <w:b/>
          <w:bCs/>
          <w:color w:val="000000"/>
        </w:rPr>
        <w:t xml:space="preserve">         </w:t>
      </w:r>
      <w:r>
        <w:rPr>
          <w:rFonts w:ascii="Calibri" w:eastAsia="Times New Roman" w:hAnsi="Calibri" w:cs="Times New Roman"/>
          <w:b/>
          <w:bCs/>
          <w:color w:val="000000"/>
        </w:rPr>
        <w:t xml:space="preserve">  Štatutárny orgán          Dozorný orgán        Iný orgán                 </w:t>
      </w:r>
    </w:p>
    <w:p w:rsidR="00C156E9" w:rsidRPr="00C156E9" w:rsidRDefault="00C156E9" w:rsidP="00CF52F4">
      <w:pPr>
        <w:spacing w:after="0" w:line="240" w:lineRule="auto"/>
        <w:ind w:left="360"/>
        <w:rPr>
          <w:rFonts w:ascii="Calibri" w:eastAsia="Times New Roman" w:hAnsi="Calibri" w:cs="Times New Roman"/>
          <w:b/>
          <w:bCs/>
          <w:color w:val="000000"/>
        </w:rPr>
      </w:pPr>
      <w:r>
        <w:rPr>
          <w:rFonts w:ascii="Calibri" w:eastAsia="Times New Roman" w:hAnsi="Calibri" w:cs="Times New Roman"/>
          <w:b/>
          <w:bCs/>
          <w:color w:val="000000"/>
        </w:rPr>
        <w:t>Celková suma pôžičiek k 31.12.20</w:t>
      </w:r>
      <w:r w:rsidR="00A67CB5">
        <w:rPr>
          <w:rFonts w:ascii="Calibri" w:eastAsia="Times New Roman" w:hAnsi="Calibri" w:cs="Times New Roman"/>
          <w:b/>
          <w:bCs/>
          <w:color w:val="000000"/>
        </w:rPr>
        <w:t>2</w:t>
      </w:r>
      <w:r w:rsidR="005B17B6">
        <w:rPr>
          <w:rFonts w:ascii="Calibri" w:eastAsia="Times New Roman" w:hAnsi="Calibri" w:cs="Times New Roman"/>
          <w:b/>
          <w:bCs/>
          <w:color w:val="000000"/>
        </w:rPr>
        <w:t>2</w:t>
      </w:r>
      <w:r>
        <w:rPr>
          <w:rFonts w:ascii="Calibri" w:eastAsia="Times New Roman" w:hAnsi="Calibri" w:cs="Times New Roman"/>
          <w:b/>
          <w:bCs/>
          <w:color w:val="000000"/>
        </w:rPr>
        <w:t xml:space="preserve">: </w:t>
      </w:r>
      <w:r w:rsidR="00123DBE">
        <w:rPr>
          <w:rFonts w:ascii="Calibri" w:eastAsia="Times New Roman" w:hAnsi="Calibri" w:cs="Times New Roman"/>
          <w:b/>
          <w:bCs/>
          <w:color w:val="000000"/>
        </w:rPr>
        <w:t xml:space="preserve">                             0                                          </w:t>
      </w:r>
      <w:proofErr w:type="spellStart"/>
      <w:r w:rsidR="00123DBE">
        <w:rPr>
          <w:rFonts w:ascii="Calibri" w:eastAsia="Times New Roman" w:hAnsi="Calibri" w:cs="Times New Roman"/>
          <w:b/>
          <w:bCs/>
          <w:color w:val="000000"/>
        </w:rPr>
        <w:t>0</w:t>
      </w:r>
      <w:proofErr w:type="spellEnd"/>
      <w:r w:rsidR="00123DBE">
        <w:rPr>
          <w:rFonts w:ascii="Calibri" w:eastAsia="Times New Roman" w:hAnsi="Calibri" w:cs="Times New Roman"/>
          <w:b/>
          <w:bCs/>
          <w:color w:val="000000"/>
        </w:rPr>
        <w:t xml:space="preserve">                           </w:t>
      </w:r>
      <w:proofErr w:type="spellStart"/>
      <w:r w:rsidR="00123DBE">
        <w:rPr>
          <w:rFonts w:ascii="Calibri" w:eastAsia="Times New Roman" w:hAnsi="Calibri" w:cs="Times New Roman"/>
          <w:b/>
          <w:bCs/>
          <w:color w:val="000000"/>
        </w:rPr>
        <w:t>0</w:t>
      </w:r>
      <w:proofErr w:type="spellEnd"/>
    </w:p>
    <w:p w:rsidR="00C156E9" w:rsidRP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 w:rsidRPr="00C156E9">
        <w:rPr>
          <w:rFonts w:ascii="Calibri" w:eastAsia="Times New Roman" w:hAnsi="Calibri" w:cs="Times New Roman"/>
          <w:bCs/>
          <w:color w:val="000000"/>
        </w:rPr>
        <w:t>Celková suma splatených pôžičiek k 31.12.20</w:t>
      </w:r>
      <w:r w:rsidR="00A67CB5">
        <w:rPr>
          <w:rFonts w:ascii="Calibri" w:eastAsia="Times New Roman" w:hAnsi="Calibri" w:cs="Times New Roman"/>
          <w:bCs/>
          <w:color w:val="000000"/>
        </w:rPr>
        <w:t>2</w:t>
      </w:r>
      <w:r w:rsidR="005B17B6">
        <w:rPr>
          <w:rFonts w:ascii="Calibri" w:eastAsia="Times New Roman" w:hAnsi="Calibri" w:cs="Times New Roman"/>
          <w:bCs/>
          <w:color w:val="000000"/>
        </w:rPr>
        <w:t>2</w:t>
      </w:r>
    </w:p>
    <w:p w:rsidR="00C156E9" w:rsidRP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 w:rsidRPr="00C156E9">
        <w:rPr>
          <w:rFonts w:ascii="Calibri" w:eastAsia="Times New Roman" w:hAnsi="Calibri" w:cs="Times New Roman"/>
          <w:bCs/>
          <w:color w:val="000000"/>
        </w:rPr>
        <w:t>Celková suma odpustených pôžičiek a odpísaných</w:t>
      </w:r>
    </w:p>
    <w:p w:rsidR="00C156E9" w:rsidRP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 w:rsidRPr="00C156E9">
        <w:rPr>
          <w:rFonts w:ascii="Calibri" w:eastAsia="Times New Roman" w:hAnsi="Calibri" w:cs="Times New Roman"/>
          <w:bCs/>
          <w:color w:val="000000"/>
        </w:rPr>
        <w:t>pôžičiek k 31.12.20</w:t>
      </w:r>
      <w:r w:rsidR="00A67CB5">
        <w:rPr>
          <w:rFonts w:ascii="Calibri" w:eastAsia="Times New Roman" w:hAnsi="Calibri" w:cs="Times New Roman"/>
          <w:bCs/>
          <w:color w:val="000000"/>
        </w:rPr>
        <w:t>2</w:t>
      </w:r>
      <w:r w:rsidR="005B17B6">
        <w:rPr>
          <w:rFonts w:ascii="Calibri" w:eastAsia="Times New Roman" w:hAnsi="Calibri" w:cs="Times New Roman"/>
          <w:bCs/>
          <w:color w:val="000000"/>
        </w:rPr>
        <w:t>2</w:t>
      </w:r>
    </w:p>
    <w:p w:rsidR="00C156E9" w:rsidRDefault="00EE0835" w:rsidP="00EE0835">
      <w:pPr>
        <w:spacing w:after="0" w:line="240" w:lineRule="auto"/>
        <w:rPr>
          <w:rFonts w:ascii="Calibri" w:eastAsia="Times New Roman" w:hAnsi="Calibri" w:cs="Times New Roman"/>
          <w:b/>
          <w:bCs/>
          <w:color w:val="000000"/>
        </w:rPr>
      </w:pPr>
      <w:r>
        <w:rPr>
          <w:rFonts w:ascii="Calibri" w:eastAsia="Times New Roman" w:hAnsi="Calibri" w:cs="Times New Roman"/>
          <w:b/>
          <w:bCs/>
          <w:color w:val="000000"/>
        </w:rPr>
        <w:t xml:space="preserve">       </w:t>
      </w:r>
      <w:r w:rsidR="00C156E9">
        <w:rPr>
          <w:rFonts w:ascii="Calibri" w:eastAsia="Times New Roman" w:hAnsi="Calibri" w:cs="Times New Roman"/>
          <w:b/>
          <w:bCs/>
          <w:color w:val="000000"/>
        </w:rPr>
        <w:t>Hlavné podmienky poskytnutých pôžičiek:</w:t>
      </w:r>
    </w:p>
    <w:p w:rsidR="00C156E9" w:rsidRP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 w:rsidRPr="00C156E9">
        <w:rPr>
          <w:rFonts w:ascii="Calibri" w:eastAsia="Times New Roman" w:hAnsi="Calibri" w:cs="Times New Roman"/>
          <w:bCs/>
          <w:color w:val="000000"/>
        </w:rPr>
        <w:t>Úroky:</w:t>
      </w:r>
    </w:p>
    <w:p w:rsidR="00C156E9" w:rsidRP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 w:rsidRPr="00C156E9">
        <w:rPr>
          <w:rFonts w:ascii="Calibri" w:eastAsia="Times New Roman" w:hAnsi="Calibri" w:cs="Times New Roman"/>
          <w:bCs/>
          <w:color w:val="000000"/>
        </w:rPr>
        <w:t>Výška pôžičky:</w:t>
      </w:r>
    </w:p>
    <w:p w:rsidR="00C156E9" w:rsidRP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 w:rsidRPr="00C156E9">
        <w:rPr>
          <w:rFonts w:ascii="Calibri" w:eastAsia="Times New Roman" w:hAnsi="Calibri" w:cs="Times New Roman"/>
          <w:bCs/>
          <w:color w:val="000000"/>
        </w:rPr>
        <w:t>Dátum poskytnutia:</w:t>
      </w:r>
    </w:p>
    <w:p w:rsidR="00C156E9" w:rsidRP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 w:rsidRPr="00C156E9">
        <w:rPr>
          <w:rFonts w:ascii="Calibri" w:eastAsia="Times New Roman" w:hAnsi="Calibri" w:cs="Times New Roman"/>
          <w:bCs/>
          <w:color w:val="000000"/>
        </w:rPr>
        <w:t>Dátum splatnosti:</w:t>
      </w:r>
    </w:p>
    <w:p w:rsid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 w:rsidRPr="00C156E9">
        <w:rPr>
          <w:rFonts w:ascii="Calibri" w:eastAsia="Times New Roman" w:hAnsi="Calibri" w:cs="Times New Roman"/>
          <w:bCs/>
          <w:color w:val="000000"/>
        </w:rPr>
        <w:t>Výška splátky:</w:t>
      </w:r>
    </w:p>
    <w:p w:rsid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>
        <w:rPr>
          <w:rFonts w:ascii="Calibri" w:eastAsia="Times New Roman" w:hAnsi="Calibri" w:cs="Times New Roman"/>
          <w:bCs/>
          <w:color w:val="000000"/>
        </w:rPr>
        <w:t>Suma plnenia  (finančného alebo iného)</w:t>
      </w:r>
    </w:p>
    <w:p w:rsid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>
        <w:rPr>
          <w:rFonts w:ascii="Calibri" w:eastAsia="Times New Roman" w:hAnsi="Calibri" w:cs="Times New Roman"/>
          <w:bCs/>
          <w:color w:val="000000"/>
        </w:rPr>
        <w:t>na súkromné účely:</w:t>
      </w:r>
    </w:p>
    <w:p w:rsidR="00C156E9" w:rsidRP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</w:p>
    <w:p w:rsidR="00F15962" w:rsidRPr="00971BB9" w:rsidRDefault="00F15962" w:rsidP="00C156E9">
      <w:pPr>
        <w:pStyle w:val="Odsekzoznamu"/>
        <w:numPr>
          <w:ilvl w:val="0"/>
          <w:numId w:val="1"/>
        </w:numPr>
        <w:spacing w:after="0" w:line="240" w:lineRule="auto"/>
        <w:rPr>
          <w:rFonts w:ascii="Calibri" w:eastAsia="Times New Roman" w:hAnsi="Calibri" w:cs="Times New Roman"/>
          <w:b/>
          <w:bCs/>
          <w:color w:val="000000"/>
        </w:rPr>
      </w:pPr>
      <w:r w:rsidRPr="00C156E9">
        <w:rPr>
          <w:rFonts w:ascii="Calibri" w:eastAsia="Times New Roman" w:hAnsi="Calibri" w:cs="Times New Roman"/>
          <w:b/>
          <w:bCs/>
          <w:color w:val="000000"/>
        </w:rPr>
        <w:t xml:space="preserve">Informácie o povinnostiach účtovnej jednotky: </w:t>
      </w:r>
      <w:r w:rsidRPr="00C156E9">
        <w:rPr>
          <w:rFonts w:ascii="Calibri" w:eastAsia="Times New Roman" w:hAnsi="Calibri" w:cs="Times New Roman"/>
          <w:bCs/>
          <w:color w:val="000000"/>
        </w:rPr>
        <w:t>spoločnosť neeviduje finančné povinnosti, ktoré sa nevykazujú</w:t>
      </w:r>
      <w:r w:rsidR="00971BB9">
        <w:rPr>
          <w:rFonts w:ascii="Calibri" w:eastAsia="Times New Roman" w:hAnsi="Calibri" w:cs="Times New Roman"/>
          <w:bCs/>
          <w:color w:val="000000"/>
        </w:rPr>
        <w:t xml:space="preserve"> v</w:t>
      </w:r>
      <w:r w:rsidR="00971BB9">
        <w:rPr>
          <w:rFonts w:ascii="Calibri" w:eastAsia="Times New Roman" w:hAnsi="Calibri" w:cs="Times New Roman"/>
          <w:b/>
          <w:bCs/>
          <w:color w:val="000000"/>
        </w:rPr>
        <w:t> </w:t>
      </w:r>
      <w:r w:rsidRPr="00C156E9">
        <w:rPr>
          <w:rFonts w:ascii="Calibri" w:eastAsia="Times New Roman" w:hAnsi="Calibri" w:cs="Times New Roman"/>
          <w:bCs/>
          <w:color w:val="000000"/>
        </w:rPr>
        <w:t>súvahe</w:t>
      </w:r>
      <w:r w:rsidR="00971BB9">
        <w:rPr>
          <w:rFonts w:ascii="Calibri" w:eastAsia="Times New Roman" w:hAnsi="Calibri" w:cs="Times New Roman"/>
          <w:bCs/>
          <w:color w:val="000000"/>
        </w:rPr>
        <w:t>.</w:t>
      </w:r>
    </w:p>
    <w:p w:rsidR="00971BB9" w:rsidRPr="00C156E9" w:rsidRDefault="00971BB9" w:rsidP="00C156E9">
      <w:pPr>
        <w:pStyle w:val="Odsekzoznamu"/>
        <w:numPr>
          <w:ilvl w:val="0"/>
          <w:numId w:val="1"/>
        </w:numPr>
        <w:spacing w:after="0" w:line="240" w:lineRule="auto"/>
        <w:rPr>
          <w:rFonts w:ascii="Calibri" w:eastAsia="Times New Roman" w:hAnsi="Calibri" w:cs="Times New Roman"/>
          <w:b/>
          <w:bCs/>
          <w:color w:val="000000"/>
        </w:rPr>
      </w:pPr>
      <w:r>
        <w:rPr>
          <w:rFonts w:ascii="Calibri" w:eastAsia="Times New Roman" w:hAnsi="Calibri" w:cs="Times New Roman"/>
          <w:b/>
          <w:bCs/>
          <w:color w:val="000000"/>
        </w:rPr>
        <w:t xml:space="preserve">Informácie o udelení výlučného práva alebo osobitného práva, ktorým sa udelilo právo poskytovať služby vo verejnom záujme:  </w:t>
      </w:r>
      <w:r w:rsidRPr="00971BB9">
        <w:rPr>
          <w:rFonts w:ascii="Calibri" w:eastAsia="Times New Roman" w:hAnsi="Calibri" w:cs="Times New Roman"/>
          <w:bCs/>
          <w:color w:val="000000"/>
        </w:rPr>
        <w:t>nebolo udelené</w:t>
      </w:r>
    </w:p>
    <w:p w:rsidR="00F15962" w:rsidRPr="00F15962" w:rsidRDefault="00F15962" w:rsidP="00F15962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</w:p>
    <w:sectPr w:rsidR="00F15962" w:rsidRPr="00F15962" w:rsidSect="00502BA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287739"/>
    <w:multiLevelType w:val="hybridMultilevel"/>
    <w:tmpl w:val="B62056A0"/>
    <w:lvl w:ilvl="0" w:tplc="C0925754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CE42309"/>
    <w:multiLevelType w:val="hybridMultilevel"/>
    <w:tmpl w:val="F61876A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</w:compat>
  <w:rsids>
    <w:rsidRoot w:val="00502BAE"/>
    <w:rsid w:val="00090E7E"/>
    <w:rsid w:val="00123DBE"/>
    <w:rsid w:val="00132780"/>
    <w:rsid w:val="00156B41"/>
    <w:rsid w:val="001723EC"/>
    <w:rsid w:val="001828B0"/>
    <w:rsid w:val="001A02AD"/>
    <w:rsid w:val="002451FF"/>
    <w:rsid w:val="00352FEC"/>
    <w:rsid w:val="00502BAE"/>
    <w:rsid w:val="0050767F"/>
    <w:rsid w:val="005977E1"/>
    <w:rsid w:val="005B17B6"/>
    <w:rsid w:val="00760872"/>
    <w:rsid w:val="00835A58"/>
    <w:rsid w:val="008E68A5"/>
    <w:rsid w:val="00971B1B"/>
    <w:rsid w:val="00971BB9"/>
    <w:rsid w:val="00A00DED"/>
    <w:rsid w:val="00A67CB5"/>
    <w:rsid w:val="00C156E9"/>
    <w:rsid w:val="00C8740C"/>
    <w:rsid w:val="00CF52F4"/>
    <w:rsid w:val="00DA7DDF"/>
    <w:rsid w:val="00E85C88"/>
    <w:rsid w:val="00EA6963"/>
    <w:rsid w:val="00EE0835"/>
    <w:rsid w:val="00F15962"/>
    <w:rsid w:val="00F75C95"/>
    <w:rsid w:val="00F80C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0767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502BA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742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2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2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5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2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9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7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2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7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831</Words>
  <Characters>4739</Characters>
  <Application>Microsoft Office Word</Application>
  <DocSecurity>0</DocSecurity>
  <Lines>39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Server</dc:creator>
  <cp:keywords/>
  <dc:description/>
  <cp:lastModifiedBy>Lenovo</cp:lastModifiedBy>
  <cp:revision>27</cp:revision>
  <cp:lastPrinted>2022-03-17T11:27:00Z</cp:lastPrinted>
  <dcterms:created xsi:type="dcterms:W3CDTF">2015-02-28T19:05:00Z</dcterms:created>
  <dcterms:modified xsi:type="dcterms:W3CDTF">2023-03-31T10:35:00Z</dcterms:modified>
</cp:coreProperties>
</file>