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rPr>
          <w:rFonts w:cs="Arial"/>
          <w:szCs w:val="22"/>
        </w:rPr>
      </w:pPr>
    </w:p>
    <w:p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MAON SK s.r.o.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Mierová 22, </w:t>
            </w:r>
            <w:r>
              <w:rPr>
                <w:rFonts w:hint="default" w:cs="Arial"/>
                <w:szCs w:val="22"/>
                <w:lang w:val="sk-SK"/>
              </w:rPr>
              <w:t xml:space="preserve">937 01  </w:t>
            </w:r>
            <w:r>
              <w:rPr>
                <w:rFonts w:cs="Arial"/>
                <w:szCs w:val="22"/>
              </w:rPr>
              <w:t>Želiezovce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52783863          DIČ:  2121131056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SK NACE: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 xml:space="preserve">47.11.0 </w:t>
            </w:r>
            <w:r>
              <w:rPr>
                <w:rFonts w:hint="default"/>
                <w:szCs w:val="22"/>
                <w:lang w:val="sk-SK"/>
              </w:rPr>
              <w:t>MALOOBCHOD V NEŠPECIALIZOVANÝCH PREDAJNIACH NAJMÄ S POTRAVINAMI, NÁPOJMI A TABAKOM</w:t>
            </w:r>
          </w:p>
        </w:tc>
      </w:tr>
    </w:tbl>
    <w:p>
      <w:pPr>
        <w:jc w:val="both"/>
        <w:rPr>
          <w:rFonts w:cs="Arial"/>
          <w:b/>
          <w:bCs/>
          <w:szCs w:val="22"/>
        </w:rPr>
      </w:pPr>
    </w:p>
    <w:p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 xml:space="preserve">b) </w:t>
      </w:r>
      <w:r>
        <w:rPr>
          <w:rFonts w:hint="default" w:cs="Arial"/>
          <w:szCs w:val="22"/>
          <w:lang w:val="sk-SK"/>
        </w:rPr>
        <w:t>Údaje o konsolidovanom celku</w:t>
      </w:r>
    </w:p>
    <w:p>
      <w:pPr>
        <w:jc w:val="both"/>
        <w:rPr>
          <w:rFonts w:cs="Arial"/>
          <w:szCs w:val="22"/>
        </w:rPr>
      </w:pPr>
      <w:r>
        <w:rPr>
          <w:rFonts w:hint="default" w:cs="Arial"/>
          <w:szCs w:val="22"/>
          <w:lang w:val="sk-SK"/>
        </w:rPr>
        <w:t>Účtovná jednotka nie je súčasťou konsolidovaného celku.</w:t>
      </w:r>
    </w:p>
    <w:p>
      <w:pPr>
        <w:spacing w:after="120"/>
        <w:jc w:val="both"/>
        <w:rPr>
          <w:rFonts w:cs="Arial"/>
          <w:b/>
          <w:szCs w:val="22"/>
        </w:rPr>
      </w:pPr>
      <w:r>
        <w:rPr>
          <w:rFonts w:cs="Arial"/>
          <w:szCs w:val="22"/>
        </w:rPr>
        <w:t>c) Informácie o počte zamestnancov</w:t>
      </w:r>
      <w:r>
        <w:rPr>
          <w:b/>
          <w:szCs w:val="22"/>
        </w:rPr>
        <w:t xml:space="preserve">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2,2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</w:tr>
    </w:tbl>
    <w:p>
      <w:pPr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b/>
          <w:szCs w:val="22"/>
        </w:rPr>
      </w:pPr>
    </w:p>
    <w:p>
      <w:pPr>
        <w:numPr>
          <w:ilvl w:val="0"/>
          <w:numId w:val="1"/>
        </w:numPr>
        <w:ind w:right="-468"/>
        <w:jc w:val="both"/>
        <w:rPr>
          <w:rFonts w:hint="default" w:cs="Arial"/>
          <w:b/>
          <w:szCs w:val="22"/>
          <w:lang w:val="sk-SK"/>
        </w:rPr>
      </w:pPr>
      <w:r>
        <w:rPr>
          <w:rFonts w:hint="default" w:cs="Arial"/>
          <w:b/>
          <w:szCs w:val="22"/>
          <w:lang w:val="sk-SK"/>
        </w:rPr>
        <w:t>Informácie o prijatých postupoch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hint="default" w:cs="Arial"/>
          <w:szCs w:val="22"/>
          <w:lang w:val="sk-SK"/>
        </w:rPr>
        <w:t>1.</w:t>
      </w:r>
      <w:r>
        <w:rPr>
          <w:rFonts w:cs="Arial"/>
          <w:szCs w:val="22"/>
        </w:rPr>
        <w:t xml:space="preserve">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 </w:t>
      </w:r>
    </w:p>
    <w:p>
      <w:pPr>
        <w:ind w:right="-468"/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 xml:space="preserve"> </w:t>
      </w:r>
      <w:r>
        <w:rPr>
          <w:rFonts w:hint="default" w:cs="Arial"/>
          <w:szCs w:val="22"/>
          <w:lang w:val="sk-SK"/>
        </w:rPr>
        <w:t>Ú</w:t>
      </w:r>
      <w:r>
        <w:rPr>
          <w:rFonts w:cs="Arial"/>
          <w:szCs w:val="22"/>
        </w:rPr>
        <w:t>čtovná závierka bola zostavená za predpokladu nepretržitého trvania</w:t>
      </w:r>
      <w:r>
        <w:rPr>
          <w:rFonts w:hint="default" w:cs="Arial"/>
          <w:szCs w:val="22"/>
          <w:lang w:val="sk-SK"/>
        </w:rPr>
        <w:t>.</w:t>
      </w:r>
    </w:p>
    <w:p>
      <w:pPr>
        <w:numPr>
          <w:ilvl w:val="0"/>
          <w:numId w:val="2"/>
        </w:numPr>
        <w:ind w:right="-468"/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Spôsob oceňovania jednotlivých položiek majetku a záväzkov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Dlhodobý hmotný majetok a náklady spojené s jeho obstaraním - spôsob ocenenia - obstarávacia cena.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Zásoby obstarané kúpou a náklady spojené s ich obstaraním - spôsob ocenenia - obstarávacia cena.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Pohľadávky - spôsob ocenenia - menovitá hodnota.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Krátkodobý finančný majetok - spôsob ocenenia - menovitá hodnota.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Záväzky, rezervy, dlhopisy, pôžičky - spôsob ocenenia - menovitá hodnota.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 w:cs="Arial"/>
          <w:szCs w:val="22"/>
          <w:lang w:val="sk-SK"/>
        </w:rPr>
      </w:pPr>
    </w:p>
    <w:p>
      <w:pPr>
        <w:numPr>
          <w:ilvl w:val="0"/>
          <w:numId w:val="2"/>
        </w:numPr>
        <w:ind w:right="-468"/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Spôsob zostavenia odpisového plánu pre jednotlivé druhy dlhodobého hmotného majetku a dlhodobého nehmotného majetku, pičom sa uvádza doba odpisovania, použité sadzby odpisov a odpisové metódy pri určení odpisov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Dlhodobý hmotný majetok: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Auto - doba odpisovania: 4 roky, odpis. skupina:1., odpisová metóda: rovnomerné odpisovanie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Budova - doba odpisovania: 20 rokov, odpis. skupina:5., odpisová metóda: rovnomerné odpisovanie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/>
          <w:szCs w:val="22"/>
          <w:lang w:val="sk-SK"/>
        </w:rPr>
      </w:pPr>
      <w:r>
        <w:rPr>
          <w:rFonts w:hint="default"/>
          <w:szCs w:val="22"/>
          <w:lang w:val="sk-SK"/>
        </w:rPr>
        <w:t>Odpisový plán účtovných odpisov dlhodobého hmotného majetku podnikateľ zostavil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/>
          <w:szCs w:val="22"/>
          <w:lang w:val="sk-SK"/>
        </w:rPr>
      </w:pPr>
      <w:r>
        <w:rPr>
          <w:rFonts w:hint="default"/>
          <w:szCs w:val="22"/>
          <w:lang w:val="sk-SK"/>
        </w:rPr>
        <w:t>interným predpisom tak, že za základ vzal metódy používané pri vyčísľovaní daňových</w:t>
      </w:r>
    </w:p>
    <w:p>
      <w:pPr>
        <w:numPr>
          <w:ilvl w:val="0"/>
          <w:numId w:val="0"/>
        </w:numPr>
        <w:ind w:right="-468" w:rightChars="0"/>
        <w:jc w:val="both"/>
        <w:rPr>
          <w:rFonts w:hint="default"/>
          <w:szCs w:val="22"/>
          <w:lang w:val="sk-SK"/>
        </w:rPr>
      </w:pPr>
      <w:r>
        <w:rPr>
          <w:rFonts w:hint="default"/>
          <w:szCs w:val="22"/>
          <w:lang w:val="sk-SK"/>
        </w:rPr>
        <w:t>odpisov. Odpisové sadzby pre účtovné a daňové odpisy podnikateľa sa rovnajú.</w:t>
      </w:r>
    </w:p>
    <w:p>
      <w:pPr>
        <w:numPr>
          <w:ilvl w:val="0"/>
          <w:numId w:val="2"/>
        </w:numPr>
        <w:ind w:left="0" w:leftChars="0" w:right="-468" w:rightChars="0" w:firstLine="0" w:firstLineChars="0"/>
        <w:jc w:val="both"/>
        <w:rPr>
          <w:rFonts w:hint="default"/>
          <w:szCs w:val="22"/>
          <w:lang w:val="sk-SK"/>
        </w:rPr>
      </w:pPr>
      <w:r>
        <w:rPr>
          <w:rFonts w:hint="default"/>
          <w:szCs w:val="22"/>
          <w:lang w:val="sk-SK"/>
        </w:rPr>
        <w:t>Zmeny účtovných zásad a zmeny účtovných metód s uvedením dôvodu týchto zmien a vyčíslením ich vplyvu na finančnú hodnotu majetku, záväzkov, základného imania a výsledku hospodárenia účtovnej jednotky</w:t>
      </w:r>
    </w:p>
    <w:p>
      <w:pPr>
        <w:numPr>
          <w:ilvl w:val="0"/>
          <w:numId w:val="2"/>
        </w:numPr>
        <w:ind w:left="0" w:leftChars="0" w:right="-468" w:rightChars="0" w:firstLine="0" w:firstLineChars="0"/>
        <w:jc w:val="both"/>
        <w:rPr>
          <w:rFonts w:hint="default"/>
          <w:szCs w:val="22"/>
          <w:lang w:val="sk-SK"/>
        </w:rPr>
      </w:pPr>
      <w:r>
        <w:rPr>
          <w:rFonts w:hint="default"/>
          <w:szCs w:val="22"/>
          <w:lang w:val="sk-SK"/>
        </w:rPr>
        <w:t>Informácie o dotáciách a ich oceňovaní v účtovníctve</w:t>
      </w:r>
    </w:p>
    <w:p>
      <w:pPr>
        <w:numPr>
          <w:ilvl w:val="0"/>
          <w:numId w:val="0"/>
        </w:numPr>
        <w:ind w:leftChars="0" w:right="-468" w:rightChars="0"/>
        <w:jc w:val="both"/>
        <w:rPr>
          <w:rFonts w:hint="default"/>
          <w:szCs w:val="22"/>
          <w:lang w:val="sk-SK"/>
        </w:rPr>
      </w:pPr>
      <w:r>
        <w:rPr>
          <w:rFonts w:hint="default"/>
          <w:szCs w:val="22"/>
          <w:lang w:val="sk-SK"/>
        </w:rPr>
        <w:t>Účtovnej jednotke bola poskytnutá dotácia na základe dohody č. 21/15/054/160 zo dňa 21.12.2021.</w:t>
      </w:r>
    </w:p>
    <w:p>
      <w:pPr>
        <w:pStyle w:val="334"/>
        <w:jc w:val="both"/>
        <w:rPr>
          <w:rFonts w:hint="default"/>
          <w:lang w:val="sk-SK"/>
        </w:rPr>
      </w:pPr>
      <w:r>
        <w:rPr>
          <w:rFonts w:hint="default"/>
          <w:b w:val="0"/>
          <w:bCs/>
          <w:sz w:val="22"/>
          <w:szCs w:val="22"/>
          <w:u w:val="none"/>
          <w:lang w:val="sk-SK"/>
        </w:rPr>
        <w:t>Dotácia poskytnutá podľa</w:t>
      </w:r>
      <w:r>
        <w:rPr>
          <w:rFonts w:hint="default"/>
          <w:b w:val="0"/>
          <w:bCs/>
          <w:sz w:val="24"/>
          <w:szCs w:val="24"/>
          <w:u w:val="none"/>
          <w:lang w:val="sk-SK"/>
        </w:rPr>
        <w:t xml:space="preserve"> </w:t>
      </w:r>
      <w:r>
        <w:rPr>
          <w:b w:val="0"/>
          <w:sz w:val="22"/>
          <w:szCs w:val="22"/>
          <w:u w:val="none"/>
        </w:rPr>
        <w:t xml:space="preserve"> § 54 ods. 1 písm. a) zákona č. 5/2004 Z. z. o službách zamestnanosti</w:t>
      </w:r>
      <w:r>
        <w:rPr>
          <w:rFonts w:hint="default"/>
          <w:b w:val="0"/>
          <w:sz w:val="22"/>
          <w:szCs w:val="22"/>
          <w:u w:val="none"/>
          <w:lang w:val="sk-SK"/>
        </w:rPr>
        <w:t>.</w:t>
      </w:r>
    </w:p>
    <w:p>
      <w:pPr>
        <w:numPr>
          <w:ilvl w:val="0"/>
          <w:numId w:val="0"/>
        </w:numPr>
        <w:ind w:leftChars="0" w:right="-468" w:rightChars="0"/>
        <w:jc w:val="both"/>
        <w:rPr>
          <w:rFonts w:hint="default"/>
          <w:szCs w:val="22"/>
          <w:lang w:val="sk-SK"/>
        </w:rPr>
      </w:pPr>
    </w:p>
    <w:p>
      <w:pPr>
        <w:numPr>
          <w:ilvl w:val="0"/>
          <w:numId w:val="1"/>
        </w:numPr>
        <w:ind w:left="0" w:leftChars="0" w:right="-468" w:firstLine="0" w:firstLineChars="0"/>
        <w:jc w:val="both"/>
        <w:rPr>
          <w:rFonts w:hint="default" w:cs="Arial"/>
          <w:b/>
          <w:bCs/>
          <w:szCs w:val="22"/>
          <w:lang w:val="sk-SK"/>
        </w:rPr>
      </w:pPr>
      <w:r>
        <w:rPr>
          <w:rFonts w:hint="default" w:cs="Arial"/>
          <w:b/>
          <w:bCs/>
          <w:szCs w:val="22"/>
          <w:lang w:val="sk-SK"/>
        </w:rPr>
        <w:t>Informácie, ktoré vysvetľujú a dopĺňajú súvahu a výkaz ziskov s strát</w:t>
      </w:r>
    </w:p>
    <w:p>
      <w:pPr>
        <w:numPr>
          <w:ilvl w:val="0"/>
          <w:numId w:val="0"/>
        </w:numPr>
        <w:ind w:leftChars="0" w:right="-468" w:rightChars="0"/>
        <w:jc w:val="both"/>
        <w:rPr>
          <w:rFonts w:hint="default"/>
          <w:b/>
          <w:bCs/>
          <w:szCs w:val="22"/>
          <w:lang w:val="sk-SK"/>
        </w:rPr>
      </w:pPr>
      <w:r>
        <w:rPr>
          <w:rFonts w:hint="default"/>
          <w:b/>
          <w:bCs/>
          <w:szCs w:val="22"/>
          <w:lang w:val="sk-SK"/>
        </w:rPr>
        <w:t>2 Informácie o záväzkoch, a to</w:t>
      </w:r>
    </w:p>
    <w:p>
      <w:pPr>
        <w:numPr>
          <w:ilvl w:val="0"/>
          <w:numId w:val="0"/>
        </w:numPr>
        <w:ind w:leftChars="0" w:right="-468" w:rightChars="0"/>
        <w:jc w:val="both"/>
        <w:rPr>
          <w:rFonts w:hint="default"/>
          <w:b w:val="0"/>
          <w:bCs w:val="0"/>
          <w:szCs w:val="22"/>
          <w:lang w:val="sk-SK"/>
        </w:rPr>
      </w:pPr>
      <w:r>
        <w:rPr>
          <w:rFonts w:hint="default"/>
          <w:b w:val="0"/>
          <w:bCs w:val="0"/>
          <w:szCs w:val="22"/>
          <w:lang w:val="sk-SK"/>
        </w:rPr>
        <w:t>Krátkodobé záväzky spolu:</w:t>
      </w:r>
    </w:p>
    <w:p>
      <w:pPr>
        <w:numPr>
          <w:ilvl w:val="0"/>
          <w:numId w:val="0"/>
        </w:numPr>
        <w:ind w:leftChars="0" w:right="-468" w:rightChars="0"/>
        <w:jc w:val="both"/>
        <w:rPr>
          <w:rFonts w:hint="default"/>
          <w:b w:val="0"/>
          <w:bCs w:val="0"/>
          <w:szCs w:val="22"/>
          <w:lang w:val="sk-SK"/>
        </w:rPr>
      </w:pPr>
      <w:bookmarkStart w:id="0" w:name="_GoBack"/>
      <w:bookmarkEnd w:id="0"/>
      <w:r>
        <w:rPr>
          <w:rFonts w:hint="default"/>
          <w:b w:val="0"/>
          <w:bCs w:val="0"/>
          <w:szCs w:val="22"/>
          <w:lang w:val="sk-SK"/>
        </w:rPr>
        <w:t xml:space="preserve">Záväzky so zostatkovou dobou splatnosti do jedného roka </w:t>
      </w:r>
    </w:p>
    <w:p>
      <w:pPr>
        <w:numPr>
          <w:ilvl w:val="0"/>
          <w:numId w:val="0"/>
        </w:numPr>
        <w:ind w:leftChars="0" w:right="-468" w:rightChars="0"/>
        <w:jc w:val="both"/>
        <w:rPr>
          <w:rFonts w:hint="default"/>
          <w:b w:val="0"/>
          <w:bCs w:val="0"/>
          <w:szCs w:val="22"/>
          <w:lang w:val="sk-SK"/>
        </w:rPr>
      </w:pPr>
      <w:r>
        <w:rPr>
          <w:rFonts w:hint="default"/>
          <w:b w:val="0"/>
          <w:bCs w:val="0"/>
          <w:szCs w:val="22"/>
          <w:lang w:val="sk-SK"/>
        </w:rPr>
        <w:t>Bežné obdobie: 55 194 EUR</w:t>
      </w:r>
    </w:p>
    <w:p>
      <w:pPr>
        <w:numPr>
          <w:ilvl w:val="0"/>
          <w:numId w:val="0"/>
        </w:numPr>
        <w:ind w:leftChars="0" w:right="-468" w:rightChars="0"/>
        <w:jc w:val="both"/>
        <w:rPr>
          <w:rFonts w:hint="default" w:cs="Arial"/>
          <w:b w:val="0"/>
          <w:bCs w:val="0"/>
          <w:szCs w:val="22"/>
          <w:lang w:val="sk-SK"/>
        </w:rPr>
      </w:pPr>
      <w:r>
        <w:rPr>
          <w:rFonts w:hint="default"/>
          <w:b w:val="0"/>
          <w:bCs w:val="0"/>
          <w:szCs w:val="22"/>
          <w:lang w:val="sk-SK"/>
        </w:rPr>
        <w:t xml:space="preserve"> Bezprostredne predchádz.obdobie: 153 356 EUR</w:t>
      </w:r>
    </w:p>
    <w:p/>
    <w:p/>
    <w:p>
      <w:pPr>
        <w:spacing w:after="0" w:line="240" w:lineRule="auto"/>
        <w:rPr>
          <w:szCs w:val="22"/>
        </w:rPr>
      </w:pPr>
    </w:p>
    <w:p>
      <w:pPr>
        <w:pStyle w:val="25"/>
        <w:spacing w:before="0" w:beforeAutospacing="0" w:after="0"/>
        <w:jc w:val="both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0000009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52783863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2121131056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CFBC723"/>
    <w:multiLevelType w:val="singleLevel"/>
    <w:tmpl w:val="FCFBC723"/>
    <w:lvl w:ilvl="0" w:tentative="0">
      <w:start w:val="2"/>
      <w:numFmt w:val="decimal"/>
      <w:suff w:val="space"/>
      <w:lvlText w:val="%1."/>
      <w:lvlJc w:val="left"/>
    </w:lvl>
  </w:abstractNum>
  <w:abstractNum w:abstractNumId="1">
    <w:nsid w:val="3E4F95F2"/>
    <w:multiLevelType w:val="singleLevel"/>
    <w:tmpl w:val="3E4F95F2"/>
    <w:lvl w:ilvl="0" w:tentative="0">
      <w:start w:val="2"/>
      <w:numFmt w:val="upperLetter"/>
      <w:suff w:val="space"/>
      <w:lvlText w:val="%1.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A6F4FA9"/>
    <w:rsid w:val="1CA9717A"/>
    <w:rsid w:val="1DB92CE9"/>
    <w:rsid w:val="306C19BD"/>
    <w:rsid w:val="4C183022"/>
    <w:rsid w:val="59742BD5"/>
    <w:rsid w:val="6A7D7A15"/>
    <w:rsid w:val="6B8C0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qFormat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  <w:style w:type="paragraph" w:customStyle="1" w:styleId="334">
    <w:name w:val="Základný text 2"/>
    <w:basedOn w:val="1"/>
    <w:qFormat/>
    <w:uiPriority w:val="6"/>
    <w:pPr>
      <w:jc w:val="center"/>
    </w:pPr>
    <w:rPr>
      <w:b/>
      <w:sz w:val="32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27</Pages>
  <Words>5713</Words>
  <Characters>32565</Characters>
  <Lines>271</Lines>
  <Paragraphs>76</Paragraphs>
  <TotalTime>4</TotalTime>
  <ScaleCrop>false</ScaleCrop>
  <LinksUpToDate>false</LinksUpToDate>
  <CharactersWithSpaces>38202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2023-03-30T12:42:52Z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445939A7EDF34A069640DE17973240A9</vt:lpwstr>
  </property>
</Properties>
</file>