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94452" w14:textId="22F93DB3" w:rsidR="00EB6A65" w:rsidRDefault="0055379F">
      <w:r>
        <w:t>V účtovnom roku 2022 nebol pohyb</w:t>
      </w:r>
    </w:p>
    <w:p w14:paraId="55EAE20E" w14:textId="77777777" w:rsidR="0055379F" w:rsidRDefault="0055379F"/>
    <w:sectPr w:rsidR="0055379F" w:rsidSect="005B7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B27"/>
    <w:rsid w:val="0047623E"/>
    <w:rsid w:val="0055379F"/>
    <w:rsid w:val="005B79D7"/>
    <w:rsid w:val="00BE2B27"/>
    <w:rsid w:val="00EB6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69BAF"/>
  <w15:chartTrackingRefBased/>
  <w15:docId w15:val="{47DE389F-4FFD-4FE1-BB6B-221A8328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Rolf Thielbörger</dc:creator>
  <cp:keywords/>
  <dc:description/>
  <cp:lastModifiedBy>Rolf Thielbörger</cp:lastModifiedBy>
  <cp:revision>2</cp:revision>
  <dcterms:created xsi:type="dcterms:W3CDTF">2023-03-31T10:29:00Z</dcterms:created>
  <dcterms:modified xsi:type="dcterms:W3CDTF">2023-03-31T10:29:00Z</dcterms:modified>
</cp:coreProperties>
</file>