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activeX/_rels/activeX11.xml.rels" ContentType="application/vnd.openxmlformats-package.relationships+xml"/>
  <Override PartName="/word/activeX/_rels/activeX10.xml.rels" ContentType="application/vnd.openxmlformats-package.relationships+xml"/>
  <Override PartName="/word/activeX/_rels/activeX9.xml.rels" ContentType="application/vnd.openxmlformats-package.relationships+xml"/>
  <Override PartName="/word/activeX/_rels/activeX6.xml.rels" ContentType="application/vnd.openxmlformats-package.relationships+xml"/>
  <Override PartName="/word/activeX/_rels/activeX8.xml.rels" ContentType="application/vnd.openxmlformats-package.relationships+xml"/>
  <Override PartName="/word/activeX/_rels/activeX5.xml.rels" ContentType="application/vnd.openxmlformats-package.relationships+xml"/>
  <Override PartName="/word/activeX/_rels/activeX7.xml.rels" ContentType="application/vnd.openxmlformats-package.relationships+xml"/>
  <Override PartName="/word/activeX/_rels/activeX4.xml.rels" ContentType="application/vnd.openxmlformats-package.relationships+xml"/>
  <Override PartName="/word/activeX/_rels/activeX1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activeX7.bin" ContentType="application/vnd.ms-office.activeX"/>
  <Override PartName="/word/activeX/activeX6.xml" ContentType="application/vnd.ms-office.activeX+xml"/>
  <Override PartName="/word/activeX/activeX6.bin" ContentType="application/vnd.ms-office.activeX"/>
  <Override PartName="/word/activeX/activeX5.xml" ContentType="application/vnd.ms-office.activeX+xml"/>
  <Override PartName="/word/activeX/activeX5.bin" ContentType="application/vnd.ms-office.activeX"/>
  <Override PartName="/word/activeX/activeX4.xml" ContentType="application/vnd.ms-office.activeX+xml"/>
  <Override PartName="/word/activeX/activeX11.bin" ContentType="application/vnd.ms-office.activeX"/>
  <Override PartName="/word/activeX/activeX4.bin" ContentType="application/vnd.ms-office.activeX"/>
  <Override PartName="/word/activeX/activeX11.xml" ContentType="application/vnd.ms-office.activeX+xml"/>
  <Override PartName="/word/activeX/activeX7.xml" ContentType="application/vnd.ms-office.activeX+xml"/>
  <Override PartName="/word/activeX/activeX10.xml" ContentType="application/vnd.ms-office.activeX+xml"/>
  <Override PartName="/word/activeX/activeX3.xml" ContentType="application/vnd.ms-office.activeX+xml"/>
  <Override PartName="/word/activeX/activeX10.bin" ContentType="application/vnd.ms-office.activeX"/>
  <Override PartName="/word/activeX/activeX9.xml" ContentType="application/vnd.ms-office.activeX+xml"/>
  <Override PartName="/word/activeX/activeX9.bin" ContentType="application/vnd.ms-office.activeX"/>
  <Override PartName="/word/activeX/activeX8.xml" ContentType="application/vnd.ms-office.activeX+xml"/>
  <Override PartName="/word/activeX/activeX8.bin" ContentType="application/vnd.ms-office.activeX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keepNext w:val="false"/>
        <w:keepLines w:val="false"/>
        <w:spacing w:lineRule="auto" w:line="276" w:before="240" w:after="0"/>
        <w:ind w:left="0" w:right="0" w:hanging="0"/>
        <w:rPr/>
      </w:pPr>
      <w:r>
        <w:rPr/>
        <w:t>Čl. I Všeobecné údaje o účtovnej jednotke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>
          <w:rFonts w:ascii="Times New Roman" w:hAnsi="Times New Roman"/>
          <w:b/>
          <w:b/>
          <w:sz w:val="28"/>
          <w:szCs w:val="26"/>
          <w:lang w:eastAsia="sk-SK"/>
        </w:rPr>
      </w:pPr>
      <w:r>
        <w:rPr>
          <w:rFonts w:ascii="Times New Roman" w:hAnsi="Times New Roman"/>
          <w:b/>
          <w:sz w:val="28"/>
          <w:szCs w:val="26"/>
          <w:lang w:eastAsia="sk-SK"/>
        </w:rPr>
        <w:t>Čl. I (1) , (3) Všeobecné údaje</w:t>
      </w:r>
      <w:bookmarkStart w:id="0" w:name="_GoBack"/>
      <w:bookmarkEnd w:id="0"/>
    </w:p>
    <w:p>
      <w:pPr>
        <w:pStyle w:val="Normal"/>
        <w:spacing w:before="60" w:after="120"/>
        <w:ind w:left="11" w:right="0" w:hanging="11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 (1) Obchodné meno účtovnej jednotky:</w:t>
        <w:tab/>
        <w:tab/>
        <w:t>Crimson Crest s.r.o.</w:t>
      </w:r>
    </w:p>
    <w:p>
      <w:pPr>
        <w:pStyle w:val="Normal"/>
        <w:spacing w:before="60" w:after="120"/>
        <w:ind w:left="0" w:right="395" w:firstLine="68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 </w:t>
      </w:r>
      <w:r>
        <w:rPr>
          <w:rFonts w:eastAsia="Arial" w:cs="Arial" w:ascii="Times New Roman" w:hAnsi="Times New Roman"/>
          <w:lang w:eastAsia="sk-SK"/>
        </w:rPr>
        <w:t>Sídlo účtovnej jednotky:</w:t>
        <w:tab/>
        <w:tab/>
        <w:tab/>
        <w:t>Němcovej 20, 040 01 Košice – mestská časť Sever</w:t>
      </w:r>
    </w:p>
    <w:p>
      <w:pPr>
        <w:pStyle w:val="Normal"/>
        <w:spacing w:before="60" w:after="120"/>
        <w:ind w:left="11" w:right="0" w:hanging="11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Čl. I (3) Priemerný prepočítaný počet zamestnancov: </w:t>
        <w:tab/>
        <w:t>0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>
          <w:rFonts w:ascii="Times New Roman" w:hAnsi="Times New Roman" w:eastAsia="Arial"/>
          <w:b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 (2) Údaje o konsolidovanom celku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(2) Údaje o konsolidovanom celku: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a)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konsolidujúcej účtovnej jednotky</w:t>
      </w:r>
      <w:r>
        <w:rPr>
          <w:rFonts w:eastAsia="Arial" w:cs="Arial" w:ascii="Times New Roman" w:hAnsi="Times New Roman"/>
          <w:lang w:eastAsia="sk-SK"/>
        </w:rPr>
        <w:t>, ktorá zostavuje konsolidovanú účtovnú závierku za tú skupinu účtovných jednotiek konsolidovaného celku, ktorého súčasťou je aj účtovná jednotka: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tabs>
          <w:tab w:val="clear" w:pos="708"/>
          <w:tab w:val="center" w:pos="784" w:leader="none"/>
          <w:tab w:val="center" w:pos="2262" w:leader="none"/>
        </w:tabs>
        <w:spacing w:before="60" w:after="120"/>
        <w:rPr/>
      </w:pPr>
      <w:r>
        <w:rPr>
          <w:rFonts w:eastAsia="Arial" w:cs="Arial" w:ascii="Times New Roman" w:hAnsi="Times New Roman"/>
          <w:b/>
          <w:lang w:eastAsia="sk-SK"/>
        </w:rPr>
        <w:t>povi</w:t>
      </w:r>
      <w:r>
        <w:rPr>
          <w:rFonts w:eastAsia="Arial" w:cs="Arial" w:ascii="Times New Roman" w:hAnsi="Times New Roman"/>
          <w:b/>
          <w:lang w:eastAsia="sk-SK"/>
        </w:rPr>
        <w:t>n</w:t>
        <w:pict>
          <v:shapetype id="shapetype_201" coordsize="21600,21600" o:spt="201" path="m,l,21600l21600,21600l21600,xe">
            <v:stroke joinstyle="miter"/>
            <v:path shadowok="f" o:extrusionok="f" strokeok="f" fillok="f" o:connecttype="rect"/>
            <o:lock v:ext="edit" shapetype="t"/>
          </v:shapetype>
          <v:shape id="control_shape_0" style="position:absolute;margin-left:321.45pt;margin-top:-2.2pt;width:32.7pt;height:16.9pt;mso-position-vertical:center" type="#shapetype_201"/>
          <w:control r:id="rId2" w:name="unnamed0" w:shapeid="control_shape_0"/>
        </w:pict>
        <w:pict>
          <v:shape id="control_shape_1" style="position:absolute;margin-left:261.65pt;margin-top:-2.2pt;width:41.6pt;height:16.9pt;mso-position-vertical:center" type="#shapetype_201"/>
          <w:control r:id="rId3" w:name="unnamed0" w:shapeid="control_shape_1"/>
        </w:pict>
      </w:r>
      <w:r>
        <w:rPr>
          <w:rFonts w:eastAsia="Arial" w:cs="Arial" w:ascii="Times New Roman" w:hAnsi="Times New Roman"/>
          <w:b/>
          <w:lang w:eastAsia="sk-SK"/>
        </w:rPr>
        <w:t>nosť zostaviť konsolidovanú účtovnú závierku:</w:t>
      </w:r>
      <w:r>
        <w:rPr>
          <w:rFonts w:eastAsia="Arial" w:cs="Arial" w:ascii="Times New Roman" w:hAnsi="Times New Roman"/>
          <w:lang w:eastAsia="sk-SK"/>
        </w:rPr>
        <w:tab/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1.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4">
        <w:r>
          <w:rPr>
            <w:rFonts w:eastAsia="Arial" w:cs="Arial" w:ascii="Times New Roman" w:hAnsi="Times New Roman"/>
            <w:u w:val="single"/>
            <w:lang w:eastAsia="sk-SK"/>
          </w:rPr>
          <w:t>§ 22 ods. 8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materskej účtovnej jednotky</w:t>
      </w:r>
      <w:r>
        <w:rPr>
          <w:rFonts w:eastAsia="Arial" w:cs="Arial" w:ascii="Times New Roman" w:hAnsi="Times New Roman"/>
          <w:lang w:eastAsia="sk-SK"/>
        </w:rPr>
        <w:t xml:space="preserve"> zostavujúcej konsolidovanú účtovnú závierku podľa osobitných predpisov: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2. 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5">
        <w:r>
          <w:rPr>
            <w:rFonts w:eastAsia="Arial" w:cs="Arial" w:ascii="Times New Roman" w:hAnsi="Times New Roman"/>
            <w:u w:val="single"/>
            <w:lang w:eastAsia="sk-SK"/>
          </w:rPr>
          <w:t>§ 22 ods. 12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dcérskych účtovných jednotiek</w:t>
      </w:r>
      <w:r>
        <w:rPr>
          <w:rFonts w:eastAsia="Arial" w:cs="Arial" w:ascii="Times New Roman" w:hAnsi="Times New Roman"/>
          <w:lang w:eastAsia="sk-SK"/>
        </w:rPr>
        <w:t xml:space="preserve">: </w:t>
      </w:r>
    </w:p>
    <w:p>
      <w:pPr>
        <w:pStyle w:val="Normal"/>
        <w:spacing w:before="240" w:after="0"/>
        <w:rPr>
          <w:rFonts w:ascii="Times New Roman" w:hAnsi="Times New Roman" w:eastAsia="Arial"/>
          <w:b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II Informácie o prijatých postupoch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>
          <w:rFonts w:ascii="Times New Roman" w:hAnsi="Times New Roman" w:eastAsia="Calibri Light" w:cs="Calibri Light"/>
          <w:b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(1) Nepretržité pokračovanie účtovnej jednotky</w:t>
      </w:r>
    </w:p>
    <w:p>
      <w:pPr>
        <w:pStyle w:val="Normal"/>
        <w:spacing w:before="60" w:after="12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(1) Účtovná závierka je zostavená za splnenia predpokladu, že účtovná jednotka bude nepretržite pokračovať vo svojej činnosti: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2" style="position:absolute;margin-left:31.45pt;margin-top:-1.8pt;width:41.6pt;height:16.9pt;mso-position-vertical:center" type="#shapetype_201"/>
          <w:control r:id="rId6" w:name="unnamed0" w:shapeid="control_shape_2"/>
        </w:pict>
      </w:r>
      <w:r>
        <w:pict>
          <v:shape id="control_shape_3" style="position:absolute;margin-left:83.6pt;margin-top:-1.8pt;width:32.7pt;height:16.9pt;mso-position-vertical:center" type="#shapetype_201"/>
          <w:control r:id="rId7" w:name="unnamed0" w:shapeid="control_shape_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>
          <w:rFonts w:ascii="Times New Roman" w:hAnsi="Times New Roman" w:eastAsia="Calibri Light" w:cs="Calibri Light"/>
          <w:b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(2) Spôsob oceňovania jednotlivých položiek majetku a záväzkov</w:t>
      </w:r>
    </w:p>
    <w:p>
      <w:pPr>
        <w:pStyle w:val="Normal"/>
        <w:spacing w:before="60" w:after="120"/>
        <w:ind w:left="11" w:right="0" w:hanging="11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 záväzkov</w:t>
      </w:r>
    </w:p>
    <w:tbl>
      <w:tblPr>
        <w:tblW w:w="10482" w:type="dxa"/>
        <w:jc w:val="left"/>
        <w:tblInd w:w="44" w:type="dxa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685"/>
        <w:gridCol w:w="3544"/>
        <w:gridCol w:w="3253"/>
      </w:tblGrid>
      <w:tr>
        <w:trPr>
          <w:trHeight w:val="338" w:hRule="atLeast"/>
        </w:trPr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70" w:right="0" w:hanging="0"/>
              <w:jc w:val="center"/>
              <w:rPr>
                <w:rFonts w:ascii="Times New Roman" w:hAnsi="Times New Roman" w:eastAsia="Arial" w:cs="Times New Roman"/>
                <w:b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Popis položky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66" w:right="0" w:hanging="0"/>
              <w:jc w:val="center"/>
              <w:rPr>
                <w:rFonts w:ascii="Times New Roman" w:hAnsi="Times New Roman" w:eastAsia="Arial" w:cs="Times New Roman"/>
                <w:b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Ocenenie majetku a záväzkov</w:t>
            </w:r>
          </w:p>
        </w:tc>
        <w:tc>
          <w:tcPr>
            <w:tcW w:w="325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67" w:right="0" w:hanging="0"/>
              <w:jc w:val="center"/>
              <w:rPr>
                <w:rFonts w:ascii="Times New Roman" w:hAnsi="Times New Roman" w:eastAsia="Arial" w:cs="Times New Roman"/>
                <w:b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Poznámka k oceneniu</w:t>
            </w:r>
          </w:p>
        </w:tc>
      </w:tr>
      <w:tr>
        <w:trPr>
          <w:trHeight w:val="289" w:hRule="atLeast"/>
        </w:trPr>
        <w:tc>
          <w:tcPr>
            <w:tcW w:w="368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x</w:t>
            </w:r>
          </w:p>
        </w:tc>
        <w:tc>
          <w:tcPr>
            <w:tcW w:w="325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hmotný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x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x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obstarané kúpou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x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vytvorené vlastnou činnosťou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x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Pohľadávky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Menovitou hodnotou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Krátkodobý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Menovitou hodnotou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Peňažné prostriedky</w:t>
            </w:r>
          </w:p>
        </w:tc>
      </w:tr>
      <w:tr>
        <w:trPr>
          <w:trHeight w:val="289" w:hRule="atLeas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 xml:space="preserve">Záväzky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Menovitou hodnotou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Rezervy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Menovitou hodnotou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Ocenené v očakávanej výške záväzku</w:t>
            </w:r>
          </w:p>
        </w:tc>
      </w:tr>
      <w:tr>
        <w:trPr>
          <w:trHeight w:val="289" w:hRule="atLeas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Dlhopisy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x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Pôžičky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x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Úvery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x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Derivátové operácie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x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6"/>
          <w:lang w:eastAsia="sk-SK"/>
        </w:rPr>
        <w:t xml:space="preserve">Čl. II (2) Spôsob oceňovania jednotlivých položiek majetku a záväzkov (účtovanie </w:t>
        <w:br/>
        <w:t>a úbytok zásob</w:t>
      </w:r>
      <w:r>
        <w:rPr>
          <w:rFonts w:eastAsia="Times New Roman" w:cs="Times New Roman" w:ascii="Times New Roman" w:hAnsi="Times New Roman"/>
          <w:bCs/>
          <w:sz w:val="28"/>
          <w:szCs w:val="26"/>
          <w:lang w:eastAsia="sk-SK"/>
        </w:rPr>
        <w:t>)</w:t>
      </w:r>
    </w:p>
    <w:p>
      <w:pPr>
        <w:pStyle w:val="Normal"/>
        <w:spacing w:before="60" w:after="120"/>
        <w:ind w:left="11" w:right="0" w:hanging="11"/>
        <w:rPr/>
      </w:pPr>
      <w:r>
        <w:rPr/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 záväzkov (účtovanie a úbytok zásob)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Pri účtovaní zásob postupovala účtovná jednotka podľa § 43 postupov účtovania v PÚ:</w:t>
      </w:r>
    </w:p>
    <w:p>
      <w:pPr>
        <w:pStyle w:val="Normal"/>
        <w:spacing w:before="60" w:after="120"/>
        <w:ind w:left="10" w:right="0" w:firstLine="698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ab/>
      </w:r>
      <w:r>
        <w:pict>
          <v:shape id="control_shape_4" style="position:absolute;margin-left:34pt;margin-top:-1.8pt;width:146.05pt;height:16.9pt;mso-position-vertical:center" type="#shapetype_201"/>
          <w:control r:id="rId8" w:name="unnamed0" w:shapeid="control_shape_4"/>
        </w:pict>
      </w:r>
    </w:p>
    <w:p>
      <w:pPr>
        <w:pStyle w:val="Normal"/>
        <w:spacing w:before="60" w:after="120"/>
        <w:ind w:left="10" w:right="0" w:firstLine="698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5" style="position:absolute;margin-left:34pt;margin-top:-1.8pt;width:146.05pt;height:16.9pt;mso-position-vertical:center" type="#shapetype_201"/>
          <w:control r:id="rId9" w:name="unnamed0" w:shapeid="control_shape_5"/>
        </w:pict>
      </w:r>
    </w:p>
    <w:p>
      <w:pPr>
        <w:pStyle w:val="Normal"/>
        <w:spacing w:before="60" w:after="120"/>
        <w:ind w:left="10" w:right="0" w:hanging="11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Úbytok zásob rovnakého druhu účtovná jednotka oceňovala:</w:t>
      </w:r>
    </w:p>
    <w:p>
      <w:pPr>
        <w:pStyle w:val="Normal"/>
        <w:spacing w:before="60" w:after="120"/>
        <w:ind w:left="21" w:right="0" w:firstLine="687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6" style="position:absolute;margin-left:34pt;margin-top:-1.8pt;width:401pt;height:16.9pt;mso-position-vertical:center" type="#shapetype_201"/>
          <w:control r:id="rId10" w:name="unnamed0" w:shapeid="control_shape_6"/>
        </w:pict>
      </w:r>
    </w:p>
    <w:p>
      <w:pPr>
        <w:pStyle w:val="Normal"/>
        <w:spacing w:before="60" w:after="120"/>
        <w:ind w:left="21" w:right="0" w:firstLine="687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7" style="position:absolute;margin-left:34pt;margin-top:-2.2pt;width:469.2pt;height:16.9pt;mso-position-vertical:center" type="#shapetype_201"/>
          <w:control r:id="rId11" w:name="unnamed0" w:shapeid="control_shape_7"/>
        </w:pict>
      </w:r>
    </w:p>
    <w:p>
      <w:pPr>
        <w:pStyle w:val="Normal"/>
        <w:spacing w:before="60" w:after="120"/>
        <w:ind w:left="21" w:right="0" w:firstLine="687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8" style="position:absolute;margin-left:34pt;margin-top:-2.2pt;width:401pt;height:16.9pt;mso-position-vertical:center" type="#shapetype_201"/>
          <w:control r:id="rId12" w:name="unnamed0" w:shapeid="control_shape_8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>
          <w:rFonts w:ascii="Times New Roman" w:hAnsi="Times New Roman" w:eastAsia="Times New Roman" w:cs="Times New Roman"/>
          <w:b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left="10" w:right="142" w:hanging="10"/>
        <w:rPr/>
      </w:pPr>
      <w:r>
        <w:rPr>
          <w:rFonts w:eastAsia="Arial" w:cs="Arial" w:ascii="Times New Roman" w:hAnsi="Times New Roman"/>
          <w:lang w:eastAsia="sk-SK"/>
        </w:rPr>
        <w:t>Dodržané základné zásady najmä: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left="86" w:right="142" w:hanging="86"/>
        <w:rPr/>
      </w:pPr>
      <w:r>
        <w:rPr>
          <w:rFonts w:eastAsia="Arial" w:cs="Arial" w:ascii="Times New Roman" w:hAnsi="Times New Roman"/>
          <w:lang w:eastAsia="sk-SK"/>
        </w:rPr>
        <w:t>zásada dosiahnutia verného a pravdivého obrazu,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left="86" w:right="142" w:hanging="86"/>
        <w:rPr/>
      </w:pPr>
      <w:r>
        <w:rPr>
          <w:rFonts w:eastAsia="Arial" w:cs="Arial" w:ascii="Times New Roman" w:hAnsi="Times New Roman"/>
          <w:lang w:eastAsia="sk-SK"/>
        </w:rPr>
        <w:t>zásada bilančnej kontinuity,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left="86" w:right="142" w:hanging="86"/>
        <w:rPr/>
      </w:pPr>
      <w:r>
        <w:rPr>
          <w:rFonts w:eastAsia="Arial" w:cs="Arial" w:ascii="Times New Roman" w:hAnsi="Times New Roman"/>
          <w:lang w:eastAsia="sk-SK"/>
        </w:rPr>
        <w:t>akruálny princíp,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left="86" w:right="142" w:hanging="86"/>
        <w:rPr/>
      </w:pPr>
      <w:r>
        <w:rPr>
          <w:rFonts w:eastAsia="Arial" w:cs="Arial" w:ascii="Times New Roman" w:hAnsi="Times New Roman"/>
          <w:lang w:eastAsia="sk-SK"/>
        </w:rPr>
        <w:t>zásada stálosti metód,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left="86" w:right="142" w:hanging="86"/>
        <w:rPr/>
      </w:pPr>
      <w:r>
        <w:rPr>
          <w:rFonts w:eastAsia="Arial" w:cs="Arial" w:ascii="Times New Roman" w:hAnsi="Times New Roman"/>
          <w:lang w:eastAsia="sk-SK"/>
        </w:rPr>
        <w:t>zásada nepretržitosti pokračovania účtovnej jednotky vo svojej činnosti,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left="86" w:right="142" w:hanging="86"/>
        <w:rPr/>
      </w:pPr>
      <w:r>
        <w:rPr>
          <w:rFonts w:eastAsia="Arial" w:cs="Arial" w:ascii="Times New Roman" w:hAnsi="Times New Roman"/>
          <w:lang w:eastAsia="sk-SK"/>
        </w:rPr>
        <w:t>zásada zákazu kompenzácie,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left="86" w:right="142" w:hanging="86"/>
        <w:rPr/>
      </w:pPr>
      <w:r>
        <w:rPr>
          <w:rFonts w:eastAsia="Arial" w:cs="Arial" w:ascii="Times New Roman" w:hAnsi="Times New Roman"/>
          <w:lang w:eastAsia="sk-SK"/>
        </w:rPr>
        <w:t>zásada dokladovosti,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left="86" w:right="142" w:hanging="86"/>
        <w:rPr/>
      </w:pPr>
      <w:r>
        <w:rPr>
          <w:rFonts w:eastAsia="Arial" w:cs="Arial" w:ascii="Times New Roman" w:hAnsi="Times New Roman"/>
          <w:lang w:eastAsia="sk-SK"/>
        </w:rPr>
        <w:t>zásada opatrnosti,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left="86" w:right="142" w:hanging="86"/>
        <w:rPr/>
      </w:pPr>
      <w:r>
        <w:rPr>
          <w:rFonts w:eastAsia="Arial" w:cs="Arial" w:ascii="Times New Roman" w:hAnsi="Times New Roman"/>
          <w:lang w:eastAsia="sk-SK"/>
        </w:rPr>
        <w:t>prednosť podstaty pred formou,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left="86" w:right="142" w:hanging="86"/>
        <w:rPr/>
      </w:pPr>
      <w:r>
        <w:rPr>
          <w:rFonts w:eastAsia="Arial" w:cs="Arial" w:ascii="Times New Roman" w:hAnsi="Times New Roman"/>
          <w:lang w:eastAsia="sk-SK"/>
        </w:rPr>
        <w:t>oceňovacie zásady,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left="86" w:right="142" w:hanging="86"/>
        <w:rPr/>
      </w:pPr>
      <w:r>
        <w:rPr>
          <w:rFonts w:eastAsia="Arial" w:cs="Arial" w:ascii="Times New Roman" w:hAnsi="Times New Roman"/>
          <w:lang w:eastAsia="sk-SK"/>
        </w:rPr>
        <w:t>vecné a časové priraďovanie nákladov k výnosom, a k nim využité účtovné metódy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Účtovné metódy a zásady boli aplikované v rámci plat. zákona o účtovníctve, s osobitosťami:</w:t>
      </w:r>
    </w:p>
    <w:tbl>
      <w:tblPr>
        <w:tblW w:w="10448" w:type="dxa"/>
        <w:jc w:val="left"/>
        <w:tblInd w:w="15" w:type="dxa"/>
        <w:tblCellMar>
          <w:top w:w="30" w:type="dxa"/>
          <w:left w:w="115" w:type="dxa"/>
          <w:bottom w:w="0" w:type="dxa"/>
          <w:right w:w="115" w:type="dxa"/>
        </w:tblCellMar>
      </w:tblPr>
      <w:tblGrid>
        <w:gridCol w:w="6190"/>
        <w:gridCol w:w="2125"/>
        <w:gridCol w:w="2133"/>
      </w:tblGrid>
      <w:tr>
        <w:trPr>
          <w:trHeight w:val="382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zmeny zásady alebo metódy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Dôvod zmeny</w:t>
            </w:r>
          </w:p>
        </w:tc>
        <w:tc>
          <w:tcPr>
            <w:tcW w:w="2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Vyčíslenie vplyvu na fin. hodnotu majetku, záväzkov,</w:t>
            </w:r>
          </w:p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základného imania, výsledku hospodárenia</w:t>
            </w:r>
          </w:p>
        </w:tc>
      </w:tr>
      <w:tr>
        <w:trPr>
          <w:trHeight w:val="289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0" w:right="0" w:hanging="0"/>
        <w:outlineLvl w:val="1"/>
        <w:rPr/>
      </w:pPr>
      <w:r>
        <w:rPr/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0" w:right="0" w:hanging="10"/>
        <w:outlineLvl w:val="0"/>
        <w:rPr>
          <w:rFonts w:ascii="Times New Roman" w:hAnsi="Times New Roman" w:eastAsia="Arial" w:cs="Arial"/>
          <w:b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  <w:t>Čl. III Informácie, ktoré vysvetľujú a dopĺňajú súvahu a výkaz ziskov a strát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>
          <w:rFonts w:ascii="Times New Roman" w:hAnsi="Times New Roman" w:eastAsia="Arial" w:cs="Times New Roman"/>
          <w:b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  <w:t>Čl. III (1) Náklady/výnosy, ktoré majú výnimočný rozsah alebo výskyt (suma a dôvody)</w:t>
      </w:r>
    </w:p>
    <w:p>
      <w:pPr>
        <w:pStyle w:val="Normal"/>
        <w:spacing w:before="60" w:after="120"/>
        <w:ind w:left="11" w:right="0" w:hanging="11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Účtovná jednotka nemá náplň pre túto položku.</w:t>
      </w:r>
    </w:p>
    <w:p>
      <w:pPr>
        <w:pStyle w:val="Normal"/>
        <w:spacing w:before="240" w:after="0"/>
        <w:ind w:left="11" w:right="0" w:hanging="11"/>
        <w:rPr>
          <w:rFonts w:ascii="Times New Roman" w:hAnsi="Times New Roman" w:eastAsia="Arial" w:cs="Times New Roman"/>
          <w:b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  <w:t>Čl. III (2) a) Celková suma záväzkov so zostatkovou dobou splatnosti dlhšou ako 5 rokov</w:t>
      </w:r>
    </w:p>
    <w:p>
      <w:pPr>
        <w:pStyle w:val="Normal"/>
        <w:spacing w:before="60" w:after="120"/>
        <w:ind w:left="11" w:right="0" w:hanging="11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Účtovná jednotka nemá náplň pre túto položku.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>
          <w:rFonts w:ascii="Times New Roman" w:hAnsi="Times New Roman" w:eastAsia="Times New Roman" w:cs="Times New Roman"/>
          <w:b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(4) Informácie o vytvorení kapitálového fondu z príspevkov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(4) Informácie, či účtovná jednotka vytvorila kapitálový fond z príspevkov podľa § 123 ods. 2 a 217a Obchodného zákonníka</w:t>
      </w:r>
    </w:p>
    <w:p>
      <w:pPr>
        <w:pStyle w:val="Normal"/>
        <w:spacing w:before="60" w:after="120"/>
        <w:rPr/>
      </w:pPr>
      <w:r>
        <w:rPr>
          <w:rFonts w:eastAsia="Arial" w:cs="Times New Roman" w:ascii="Times New Roman" w:hAnsi="Times New Roman"/>
          <w:lang w:eastAsia="sk-SK"/>
        </w:rPr>
        <w:tab/>
      </w:r>
      <w:r>
        <w:rPr>
          <w:rFonts w:eastAsia="Arial" w:cs="Arial" w:ascii="Times New Roman" w:hAnsi="Times New Roman"/>
          <w:color w:val="000000"/>
          <w:lang w:eastAsia="sk-SK"/>
        </w:rPr>
        <w:t xml:space="preserve"> </w:t>
      </w:r>
      <w:r>
        <w:pict>
          <v:shape id="control_shape_9" style="position:absolute;margin-left:34pt;margin-top:-1.8pt;width:43.6pt;height:16.9pt;mso-position-vertical:center" type="#shapetype_201"/>
          <w:control r:id="rId13" w:name="unnamed0" w:shapeid="control_shape_9"/>
        </w:pict>
      </w:r>
      <w:r>
        <w:pict>
          <v:shape id="control_shape_10" style="position:absolute;margin-left:95.8pt;margin-top:-1.8pt;width:43.6pt;height:16.9pt;mso-position-vertical:center" type="#shapetype_201"/>
          <w:control r:id="rId14" w:name="unnamed0" w:shapeid="control_shape_10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-5" w:right="0" w:hanging="10"/>
        <w:outlineLvl w:val="0"/>
        <w:rPr>
          <w:rFonts w:ascii="Times New Roman" w:hAnsi="Times New Roman" w:eastAsia="Arial" w:cs="Arial"/>
          <w:b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  <w:t>Miesto pre ďalšie záznamy:</w:t>
      </w:r>
    </w:p>
    <w:p>
      <w:pPr>
        <w:pStyle w:val="Normal"/>
        <w:spacing w:before="0" w:after="184"/>
        <w:ind w:left="10" w:right="141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144" w:after="288"/>
        <w:ind w:left="0" w:right="964" w:hanging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144" w:after="288"/>
        <w:ind w:left="0" w:right="964" w:hanging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0" w:after="40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60" w:after="120"/>
        <w:ind w:left="11" w:right="0" w:hanging="11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rPr>
          <w:rFonts w:ascii="Times New Roman" w:hAnsi="Times New Roman" w:eastAsia="Arial"/>
          <w:b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spacing w:before="0" w:after="200"/>
        <w:ind w:left="-709" w:right="-709" w:hanging="0"/>
        <w:rPr/>
      </w:pPr>
      <w:r>
        <w:rPr/>
      </w:r>
    </w:p>
    <w:sectPr>
      <w:headerReference w:type="default" r:id="rId15"/>
      <w:type w:val="nextPage"/>
      <w:pgSz w:w="11906" w:h="16838"/>
      <w:pgMar w:left="794" w:right="794" w:header="68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698625" cy="172720"/>
              <wp:effectExtent l="0" t="0" r="0" b="0"/>
              <wp:wrapNone/>
              <wp:docPr id="1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8120" cy="17208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spacing w:lineRule="auto" w:line="240" w:before="0" w:after="0"/>
                            <w:ind w:left="0" w:right="0" w:firstLine="17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stroked="t" style="position:absolute;margin-left:14.3pt;margin-top:2.55pt;width:133.65pt;height:13.5pt">
              <w10:wrap type="square"/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e"/>
                      <w:spacing w:lineRule="auto" w:line="240" w:before="0" w:after="0"/>
                      <w:ind w:left="0" w:right="0" w:firstLine="17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Zhlav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6405" cy="245745"/>
              <wp:effectExtent l="0" t="0" r="0" b="0"/>
              <wp:wrapSquare wrapText="bothSides"/>
              <wp:docPr id="3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5840" cy="245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62" w:type="dxa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stroked="f" style="position:absolute;margin-left:301.25pt;margin-top:29.15pt;width:235.05pt;height:19.2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62" w:type="dxa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9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9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9</w:t>
                          </w:r>
                        </w:p>
                      </w:tc>
                    </w:tr>
                  </w:tbl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86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Arial" w:hAnsi="Arial" w:cs="Aria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sk-SK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next w:val="Normal"/>
    <w:qFormat/>
    <w:pPr>
      <w:keepNext w:val="true"/>
      <w:keepLines/>
      <w:widowControl/>
      <w:suppressAutoHyphens w:val="true"/>
      <w:overflowPunct w:val="true"/>
      <w:bidi w:val="0"/>
      <w:spacing w:lineRule="auto" w:line="247" w:before="120" w:after="236"/>
      <w:ind w:left="10" w:right="0" w:hanging="10"/>
      <w:jc w:val="left"/>
      <w:outlineLvl w:val="0"/>
    </w:pPr>
    <w:rPr>
      <w:rFonts w:ascii="Times New Roman" w:hAnsi="Times New Roman" w:eastAsia="Arial" w:cs="Arial"/>
      <w:b/>
      <w:color w:val="000000"/>
      <w:kern w:val="0"/>
      <w:sz w:val="32"/>
      <w:szCs w:val="22"/>
      <w:lang w:val="sk-SK" w:eastAsia="sk-SK" w:bidi="ar-SA"/>
    </w:rPr>
  </w:style>
  <w:style w:type="paragraph" w:styleId="Nadpis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DefaultParagraphFont">
    <w:name w:val="Default Paragraph Font"/>
    <w:qFormat/>
    <w:rPr/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</w:rPr>
  </w:style>
  <w:style w:type="character" w:styleId="HlavikaChar">
    <w:name w:val="Hlavička Char"/>
    <w:basedOn w:val="DefaultParagraphFont"/>
    <w:qFormat/>
    <w:rPr/>
  </w:style>
  <w:style w:type="character" w:styleId="PtaChar">
    <w:name w:val="Päta Char"/>
    <w:basedOn w:val="DefaultParagraphFont"/>
    <w:qFormat/>
    <w:rPr/>
  </w:style>
  <w:style w:type="character" w:styleId="Nadpis1Char">
    <w:name w:val="Nadpis 1 Char"/>
    <w:basedOn w:val="DefaultParagraphFont"/>
    <w:qFormat/>
    <w:rPr>
      <w:rFonts w:ascii="Times New Roman" w:hAnsi="Times New Roman" w:eastAsia="Arial" w:cs="Arial"/>
      <w:b/>
      <w:color w:val="000000"/>
      <w:sz w:val="32"/>
      <w:lang w:eastAsia="sk-SK"/>
    </w:rPr>
  </w:style>
  <w:style w:type="character" w:styleId="Nadpis2Char">
    <w:name w:val="Nadpis 2 Char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komentraChar">
    <w:name w:val="Text komentára Char"/>
    <w:basedOn w:val="DefaultParagraphFont"/>
    <w:qFormat/>
    <w:rPr>
      <w:rFonts w:ascii="Times New Roman" w:hAnsi="Times New Roman" w:eastAsia="Arial" w:cs="Arial"/>
      <w:sz w:val="20"/>
      <w:szCs w:val="20"/>
      <w:lang w:eastAsia="sk-SK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Internetovodkaz">
    <w:name w:val="Internetový odkaz"/>
    <w:rPr>
      <w:color w:val="000080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qFormat/>
    <w:pPr>
      <w:spacing w:lineRule="auto" w:line="240" w:before="0" w:after="863"/>
      <w:ind w:left="10" w:right="6300" w:hanging="10"/>
    </w:pPr>
    <w:rPr>
      <w:rFonts w:ascii="Times New Roman" w:hAnsi="Times New Roman" w:eastAsia="Arial" w:cs="Arial"/>
      <w:sz w:val="20"/>
      <w:szCs w:val="20"/>
      <w:lang w:eastAsia="sk-SK"/>
    </w:rPr>
  </w:style>
  <w:style w:type="paragraph" w:styleId="Obsahrmce">
    <w:name w:val="Obsah rámce"/>
    <w:basedOn w:val="Normal"/>
    <w:qFormat/>
    <w:pPr/>
    <w:rPr/>
  </w:style>
  <w:style w:type="paragraph" w:styleId="Obsahtabulky">
    <w:name w:val="Obsah tabulky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hyperlink" Target="aspi://module=&apos;ASPI&apos;&amp;link=&apos;431/2002 Z.z.%252322&apos;&amp;ucin-k-dni=&apos;18. 7.2021&apos;" TargetMode="External"/><Relationship Id="rId5" Type="http://schemas.openxmlformats.org/officeDocument/2006/relationships/hyperlink" Target="aspi://module=&apos;ASPI&apos;&amp;link=&apos;431/2002 Z.z.%252322&apos;&amp;ucin-k-dni=&apos;18. 7.2021&apos;" TargetMode="External"/><Relationship Id="rId6" Type="http://schemas.openxmlformats.org/officeDocument/2006/relationships/control" Target="activeX/activeX3.xml"/><Relationship Id="rId7" Type="http://schemas.openxmlformats.org/officeDocument/2006/relationships/control" Target="activeX/activeX4.xml"/><Relationship Id="rId8" Type="http://schemas.openxmlformats.org/officeDocument/2006/relationships/control" Target="activeX/activeX5.xml"/><Relationship Id="rId9" Type="http://schemas.openxmlformats.org/officeDocument/2006/relationships/control" Target="activeX/activeX6.xml"/><Relationship Id="rId10" Type="http://schemas.openxmlformats.org/officeDocument/2006/relationships/control" Target="activeX/activeX7.xml"/><Relationship Id="rId11" Type="http://schemas.openxmlformats.org/officeDocument/2006/relationships/control" Target="activeX/activeX8.xml"/><Relationship Id="rId12" Type="http://schemas.openxmlformats.org/officeDocument/2006/relationships/control" Target="activeX/activeX9.xml"/><Relationship Id="rId13" Type="http://schemas.openxmlformats.org/officeDocument/2006/relationships/control" Target="activeX/activeX10.xml"/><Relationship Id="rId14" Type="http://schemas.openxmlformats.org/officeDocument/2006/relationships/control" Target="activeX/activeX11.xml"/><Relationship Id="rId15" Type="http://schemas.openxmlformats.org/officeDocument/2006/relationships/header" Target="header1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Application>LibreOffice/6.4.7.2$Linux_X86_64 LibreOffice_project/40$Build-2</Application>
  <Pages>3</Pages>
  <Words>524</Words>
  <Characters>2931</Characters>
  <CharactersWithSpaces>3365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2021-08-04T08:24:00Z</dcterms:created>
  <dc:creator>Michaela</dc:creator>
  <dc:description/>
  <dc:language>sk-SK</dc:language>
  <cp:lastModifiedBy/>
  <dcterms:modified xsi:type="dcterms:W3CDTF">2023-03-23T10:22:41Z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