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r>
        <w:rPr>
          <w:rFonts w:ascii="Arial" w:hAnsi="Arial" w:cs="Arial"/>
          <w:sz w:val="22"/>
          <w:szCs w:val="22"/>
        </w:rPr>
        <w:t>Trial Trnava, s.r.o.</w:t>
      </w:r>
    </w:p>
    <w:p>
      <w:pPr>
        <w:pStyle w:val="Default"/>
        <w:spacing w:before="14" w:after="2"/>
      </w:pPr>
      <w:r>
        <w:rPr>
          <w:rFonts w:ascii="Arial" w:hAnsi="Arial" w:cs="Arial"/>
          <w:sz w:val="22"/>
          <w:szCs w:val="22"/>
        </w:rPr>
        <w:t>Skladová 2</w:t>
      </w:r>
    </w:p>
    <w:p>
      <w:pPr>
        <w:pStyle w:val="Default"/>
        <w:spacing w:before="14" w:after="2"/>
      </w:pPr>
      <w:r>
        <w:rPr>
          <w:rFonts w:ascii="Arial" w:hAnsi="Arial" w:cs="Arial"/>
          <w:sz w:val="22"/>
          <w:szCs w:val="22"/>
        </w:rPr>
        <w:t xml:space="preserve">91701 Trnava </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TRIAL TRNAVA, s.r.o.</w:t>
      </w:r>
    </w:p>
    <w:p>
      <w:pPr>
        <w:pStyle w:val="Default"/>
        <w:spacing w:before="14" w:after="2"/>
      </w:pPr>
      <w:r>
        <w:rPr>
          <w:rFonts w:ascii="Arial" w:hAnsi="Arial" w:cs="Arial"/>
          <w:sz w:val="20"/>
          <w:szCs w:val="20"/>
        </w:rPr>
        <w:t>Skladová 2</w:t>
      </w:r>
    </w:p>
    <w:p>
      <w:pPr>
        <w:pStyle w:val="Default"/>
        <w:spacing w:before="14" w:after="2"/>
      </w:pPr>
      <w:r>
        <w:rPr>
          <w:rFonts w:ascii="Arial" w:hAnsi="Arial" w:cs="Arial"/>
          <w:sz w:val="20"/>
          <w:szCs w:val="20"/>
        </w:rPr>
        <w:t xml:space="preserve">91701 Trnava </w:t>
      </w:r>
    </w:p>
    <w:p>
      <w:pPr>
        <w:pStyle w:val="Default"/>
        <w:spacing w:before="14" w:after="2"/>
      </w:pPr>
      <w:r>
        <w:rPr>
          <w:rFonts w:ascii="Arial" w:hAnsi="Arial" w:cs="Arial"/>
          <w:sz w:val="20"/>
          <w:szCs w:val="20"/>
        </w:rPr>
        <w:t>DIČ: 2020164784</w:t>
      </w:r>
    </w:p>
    <w:p>
      <w:pPr>
        <w:pStyle w:val="Default"/>
        <w:spacing w:before="14" w:after="2"/>
      </w:pPr>
      <w:r>
        <w:rPr>
          <w:rFonts w:ascii="Arial" w:hAnsi="Arial" w:cs="Arial"/>
          <w:sz w:val="20"/>
          <w:szCs w:val="20"/>
        </w:rPr>
        <w:t>IČO: 36234915</w:t>
      </w:r>
    </w:p>
    <w:p>
      <w:pPr>
        <w:pStyle w:val="Default"/>
        <w:spacing w:before="14" w:after="2"/>
      </w:pPr>
      <w:r>
        <w:rPr>
          <w:rFonts w:ascii="Arial" w:hAnsi="Arial" w:cs="Arial"/>
          <w:sz w:val="20"/>
          <w:szCs w:val="20"/>
        </w:rPr>
        <w:t>vložka: 11791/T</w:t>
      </w: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p>
    <w:p>
      <w:pPr>
        <w:rPr>
          <w:rFonts/>
          <w:sz w:val="24"/>
          <w:szCs w:val="24"/>
        </w:rPr>
        <w:pStyle w:val="Default"/>
        <w:spacing w:before="14" w:after="2"/>
      </w:pPr>
    </w:p>
    <w:p>
      <w:pPr>
        <w:pStyle w:val="Default"/>
        <w:spacing w:before="14" w:after="2"/>
      </w:pPr>
      <w:r>
        <w:rPr>
          <w:rFonts w:ascii="Arial" w:hAnsi="Arial" w:cs="Arial"/>
          <w:sz w:val="20"/>
          <w:szCs w:val="20"/>
          <w:b/>
        </w:rPr>
        <w:t xml:space="preserve">b) Opis hospodárskej činnosti účtovnej jednotky </w:t>
      </w:r>
    </w:p>
    <w:p>
      <w:pPr>
        <w:pStyle w:val="Default"/>
        <w:spacing w:before="14" w:after="2"/>
      </w:pPr>
      <w:r>
        <w:rPr>
          <w:rFonts w:ascii="Arial" w:hAnsi="Arial" w:cs="Arial"/>
          <w:sz w:val="20"/>
          <w:szCs w:val="20"/>
        </w:rPr>
        <w:t xml:space="preserve">kúpa tovaru za účelom jeho predaja konečnému spotrebiteľovi (maloobchod) v rozsahu voľnej živnosti </w:t>
      </w:r>
    </w:p>
    <w:p>
      <w:pPr>
        <w:pStyle w:val="Default"/>
        <w:spacing w:before="14" w:after="2"/>
      </w:pPr>
      <w:r>
        <w:rPr>
          <w:rFonts w:ascii="Arial" w:hAnsi="Arial" w:cs="Arial"/>
          <w:sz w:val="20"/>
          <w:szCs w:val="20"/>
        </w:rPr>
        <w:t xml:space="preserve">kúpa tovaru za účelom jeho predaja iným prevádzkovateľom živnosti (veľkoobchod) v rozsahu voľnej živnosti </w:t>
      </w:r>
    </w:p>
    <w:p>
      <w:pPr>
        <w:pStyle w:val="Default"/>
        <w:spacing w:before="14" w:after="2"/>
      </w:pPr>
      <w:r>
        <w:rPr>
          <w:rFonts w:ascii="Arial" w:hAnsi="Arial" w:cs="Arial"/>
          <w:sz w:val="20"/>
          <w:szCs w:val="20"/>
        </w:rPr>
        <w:t xml:space="preserve">sprostredkovateľská činnosť (s výnimkou činností vylúčených z pôsobnosti živnostenského zákona) </w:t>
      </w:r>
    </w:p>
    <w:p>
      <w:pPr>
        <w:pStyle w:val="Default"/>
        <w:spacing w:before="14" w:after="2"/>
      </w:pPr>
      <w:r>
        <w:rPr>
          <w:rFonts w:ascii="Arial" w:hAnsi="Arial" w:cs="Arial"/>
          <w:sz w:val="20"/>
          <w:szCs w:val="20"/>
        </w:rPr>
        <w:t xml:space="preserve">výroba a montáž kovových, drevených, plastových, drevohliníkových okien, dverí, konštrukcií zimných záhrad a presklených priečelí </w:t>
      </w:r>
    </w:p>
    <w:p>
      <w:pPr>
        <w:pStyle w:val="Default"/>
        <w:spacing w:before="14" w:after="2"/>
      </w:pPr>
      <w:r>
        <w:rPr>
          <w:rFonts w:ascii="Arial" w:hAnsi="Arial" w:cs="Arial"/>
          <w:sz w:val="20"/>
          <w:szCs w:val="20"/>
        </w:rPr>
        <w:t xml:space="preserve">výroba a montáž automatických dverí a protipožiarnych uzáverov </w:t>
      </w:r>
    </w:p>
    <w:p>
      <w:pPr>
        <w:pStyle w:val="Default"/>
        <w:spacing w:before="14" w:after="2"/>
      </w:pPr>
      <w:r>
        <w:rPr>
          <w:rFonts w:ascii="Arial" w:hAnsi="Arial" w:cs="Arial"/>
          <w:sz w:val="20"/>
          <w:szCs w:val="20"/>
        </w:rPr>
        <w:t xml:space="preserve">samostatné konštruktérstvo v strojárstve </w:t>
      </w:r>
    </w:p>
    <w:p>
      <w:pPr>
        <w:pStyle w:val="Default"/>
        <w:spacing w:before="14" w:after="2"/>
      </w:pPr>
      <w:r>
        <w:rPr>
          <w:rFonts w:ascii="Arial" w:hAnsi="Arial" w:cs="Arial"/>
          <w:sz w:val="20"/>
          <w:szCs w:val="20"/>
        </w:rPr>
        <w:t xml:space="preserve">zámočníctvo </w:t>
      </w:r>
    </w:p>
    <w:p>
      <w:pPr>
        <w:pStyle w:val="Default"/>
        <w:spacing w:before="14" w:after="2"/>
      </w:pPr>
      <w:r>
        <w:rPr>
          <w:rFonts w:ascii="Arial" w:hAnsi="Arial" w:cs="Arial"/>
          <w:sz w:val="20"/>
          <w:szCs w:val="20"/>
        </w:rPr>
        <w:t xml:space="preserve">kovoobrábanie </w:t>
      </w:r>
    </w:p>
    <w:p>
      <w:pPr>
        <w:rPr>
          <w:rFonts/>
          <w:sz w:val="20"/>
          <w:szCs w:val="20"/>
          <w:b/>
        </w:rPr>
        <w:pStyle w:val="Default"/>
        <w:spacing w:before="14" w:after="2"/>
      </w:pP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6</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7</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6</w:t>
            </w:r>
          </w:p>
        </w:tc>
        <w:tc>
          <w:tcPr>
            <w:tcW w:w="2874" w:type="dxa"/>
            <w:tcBorders>
              <w:left w:val="single" w:sz="12" w:space="0" w:color="auto"/>
            </w:tcBorders>
            <w:tcMar>
              <w:top w:type="dxa" w:w="75"/>
            </w:tcMar>
            <w:vAlign w:val="center"/>
          </w:tcPr>
          <w:p>
            <w:pPr>
              <w:jc w:val="center"/>
              <w:spacing w:after="2"/>
            </w:pPr>
            <w:r>
              <w:rPr>
                <w:lang w:val="sk-SK"/>
                <w:sz w:val="18"/>
                <w:szCs w:val="18"/>
              </w:rPr>
              <w:t>7</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3</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3</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pPr>
        <w:pStyle w:val="Default"/>
        <w:spacing w:before="14" w:after="2"/>
      </w:pPr>
    </w:p>
    <w:p>
      <w:pPr>
        <w:pStyle w:val="Default"/>
        <w:spacing w:before="14" w:after="2"/>
      </w:pPr>
      <w:r>
        <w:rPr>
          <w:rFonts w:ascii="Cambria" w:hAnsi="Cambria" w:cs="Cambria"/>
          <w:sz w:val="24"/>
          <w:szCs w:val="24"/>
        </w:rPr>
        <w:t xml:space="preserve"> </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r>
        <w:rPr>
          <w:rFonts w:ascii="Cambria" w:hAnsi="Cambria" w:cs="Cambria"/>
          <w:sz w:val="24"/>
          <w:szCs w:val="24"/>
        </w:rPr>
        <w:t xml:space="preserve"> </w:t>
      </w:r>
      <w:r>
        <w:rPr>
          <w:rFonts w:ascii="Cambria" w:hAnsi="Cambria" w:cs="Cambria"/>
          <w:sz w:val="22"/>
          <w:szCs w:val="22"/>
        </w:rPr>
        <w:t>Spoločnosť Trial TRNAVA , s. r.o. zostavuje riadnu účtovnú závierku k poslednému dňu účtovného obdobia, tedak 31.12.2022 za predpokladu nepretržitého pokračovania činnosti. Poznámky sú predložené v jednom exemplárii príslušnému daňovému úradu k termínu uvedenom v záhlaví formulárov súvahy a výkazu ziskov a strát.</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r>
        <w:rPr>
          <w:rFonts w:ascii="Arial" w:hAnsi="Arial" w:cs="Arial"/>
          <w:sz w:val="20"/>
          <w:szCs w:val="20"/>
        </w:rPr>
        <w:t>Účtovná závierka za bezprostredne predchádzajúce obdobie bola schválená valným zhromaždením dňa 31.03.2021..</w:t>
      </w: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pPr>
        <w:pStyle w:val="Default"/>
        <w:spacing w:before="14" w:after="2"/>
      </w:pPr>
      <w:r>
        <w:rPr>
          <w:rFonts w:ascii="Cambria" w:hAnsi="Cambria" w:cs="Cambria"/>
          <w:sz w:val="22"/>
          <w:szCs w:val="22"/>
        </w:rPr>
        <w:t>Spoločnosť vlastní dlhodobý majetok odpisovaný .</w:t>
      </w:r>
    </w:p>
    <w:p>
      <w:pPr>
        <w:pStyle w:val="Default"/>
        <w:spacing w:before="14" w:after="2"/>
      </w:pPr>
      <w:r>
        <w:rPr>
          <w:rFonts w:ascii="Cambria" w:hAnsi="Cambria" w:cs="Cambria"/>
          <w:sz w:val="22"/>
          <w:szCs w:val="22"/>
        </w:rPr>
        <w:t>- Zostavený odpisový plán účtovných odpisov dlhodobého majetku vychádzal z požiadavky zákona č.595/2003 Z.z</w:t>
      </w:r>
    </w:p>
    <w:p>
      <w:pPr>
        <w:rPr>
          <w:rFonts/>
          <w:sz w:val="22"/>
          <w:szCs w:val="22"/>
        </w:rPr>
        <w:pStyle w:val="Default"/>
        <w:spacing w:before="14" w:after="2"/>
      </w:pPr>
    </w:p>
    <w:p>
      <w:pPr>
        <w:rPr>
          <w:rFonts/>
          <w:sz w:val="22"/>
          <w:szCs w:val="22"/>
        </w:rPr>
        <w:pStyle w:val="Default"/>
        <w:spacing w:before="14" w:after="2"/>
      </w:pPr>
    </w:p>
    <w:p>
      <w:pPr>
        <w:pStyle w:val="Default"/>
        <w:spacing w:before="14" w:after="2"/>
      </w:pPr>
      <w:r>
        <w:rPr>
          <w:rFonts w:ascii="Cambria" w:hAnsi="Cambria" w:cs="Cambria"/>
          <w:sz w:val="22"/>
          <w:szCs w:val="22"/>
          <w:b/>
          <w:i/>
        </w:rPr>
        <w:t>Spôsob oceňovania</w:t>
      </w:r>
    </w:p>
    <w:p>
      <w:pPr>
        <w:pStyle w:val="Default"/>
        <w:spacing w:before="14" w:after="2"/>
      </w:pPr>
      <w:r>
        <w:rPr>
          <w:rFonts w:ascii="Arial" w:hAnsi="Arial" w:cs="Arial"/>
          <w:sz w:val="20"/>
          <w:szCs w:val="20"/>
        </w:rPr>
        <w:t>Pohľadávky pri ich vzniku sa oceňujú menovitou hodnotou.</w:t>
      </w:r>
    </w:p>
    <w:p>
      <w:pPr>
        <w:pStyle w:val="Default"/>
        <w:spacing w:before="14" w:after="2"/>
      </w:pPr>
    </w:p>
    <w:p>
      <w:pPr>
        <w:pStyle w:val="Default"/>
        <w:spacing w:before="14" w:after="2"/>
      </w:pPr>
      <w:r>
        <w:rPr>
          <w:rFonts w:ascii="Arial" w:hAnsi="Arial" w:cs="Arial"/>
          <w:sz w:val="20"/>
          <w:szCs w:val="20"/>
        </w:rPr>
        <w:t>Peňažné prostriedky a ceniny sa oceňujú ich menovitou hodnotou.</w:t>
      </w:r>
    </w:p>
    <w:p>
      <w:pPr>
        <w:pStyle w:val="Default"/>
        <w:spacing w:before="14" w:after="2"/>
      </w:pPr>
    </w:p>
    <w:p>
      <w:pPr>
        <w:pStyle w:val="Default"/>
        <w:spacing w:before="14" w:after="2"/>
      </w:pPr>
      <w:r>
        <w:rPr>
          <w:rFonts w:ascii="Arial" w:hAnsi="Arial" w:cs="Arial"/>
          <w:sz w:val="20"/>
          <w:szCs w:val="20"/>
        </w:rPr>
        <w:t xml:space="preserve">Náklady budúcich období  sa vykazujú vo výške, ktorá je potrebná na dodržanie zásady vecnej a časovej súvislosti s účtovným obdobím. </w:t>
      </w:r>
    </w:p>
    <w:p>
      <w:pPr>
        <w:pStyle w:val="Default"/>
        <w:spacing w:before="14" w:after="2"/>
      </w:pPr>
    </w:p>
    <w:p>
      <w:pPr>
        <w:pStyle w:val="Default"/>
        <w:spacing w:before="14" w:after="2"/>
      </w:pPr>
      <w:r>
        <w:rPr>
          <w:rFonts w:ascii="Arial" w:hAnsi="Arial" w:cs="Arial"/>
          <w:sz w:val="20"/>
          <w:szCs w:val="20"/>
        </w:rPr>
        <w:t>Rezervy sú záväzky s neurčitým časovým vymedzením alebo výškou a tvoria sa na krytie známych rizík alebo strát z podnikania. Oceňujú sa v očakávanej výške záväzku.</w:t>
      </w:r>
    </w:p>
    <w:p>
      <w:pPr>
        <w:pStyle w:val="Default"/>
        <w:spacing w:before="14" w:after="2"/>
      </w:pPr>
    </w:p>
    <w:p>
      <w:pPr>
        <w:pStyle w:val="Default"/>
        <w:spacing w:before="14" w:after="2"/>
      </w:pPr>
      <w:r>
        <w:rPr>
          <w:rFonts w:ascii="Arial" w:hAnsi="Arial" w:cs="Arial"/>
          <w:sz w:val="20"/>
          <w:szCs w:val="20"/>
        </w:rPr>
        <w:t>Záväzky pri ich vzniku sa oceňujú menovitou hodnotou. Záväzky  pri  ich prevzatí sa oceňujú obstarávacou cenou.</w:t>
      </w:r>
    </w:p>
    <w:p>
      <w:pPr>
        <w:pStyle w:val="Default"/>
        <w:spacing w:before="14" w:after="2"/>
      </w:pPr>
    </w:p>
    <w:p>
      <w:pPr>
        <w:pStyle w:val="Default"/>
        <w:spacing w:before="14" w:after="2"/>
      </w:pPr>
      <w:r>
        <w:rPr>
          <w:rFonts w:ascii="Arial" w:hAnsi="Arial" w:cs="Arial"/>
          <w:sz w:val="20"/>
          <w:szCs w:val="20"/>
        </w:rPr>
        <w:t>Tržby za vlastné výkony  neobsahujú daň z pridanej hodnoty.</w:t>
      </w:r>
    </w:p>
    <w:p>
      <w:pPr>
        <w:pStyle w:val="Default"/>
        <w:spacing w:before="14" w:after="2"/>
      </w:pPr>
      <w:r>
        <w:rPr>
          <w:rFonts w:ascii="Arial" w:hAnsi="Arial" w:cs="Arial"/>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pPr>
        <w:pStyle w:val="Default"/>
        <w:spacing w:before="14" w:after="2"/>
      </w:pPr>
      <w:r>
        <w:rPr>
          <w:rFonts w:ascii="Arial" w:hAnsi="Arial" w:cs="Arial"/>
          <w:sz w:val="20"/>
          <w:szCs w:val="20"/>
        </w:rPr>
        <w:t xml:space="preserve">Účtovná závierka obchodnej spoločnosti k 31. 12. 2016 bola schválená za predchádzajúce účtovné obdobie valným zhromaždením obchodnej spoločnosti dňa 28.06.2017. </w:t>
      </w:r>
    </w:p>
    <w:p>
      <w:pPr>
        <w:pStyle w:val="Default"/>
        <w:spacing w:before="14" w:after="2"/>
      </w:pPr>
      <w:r>
        <w:rPr>
          <w:rFonts w:ascii="Arial" w:hAnsi="Arial" w:cs="Arial"/>
          <w:sz w:val="20"/>
          <w:szCs w:val="20"/>
        </w:rPr>
        <w:t xml:space="preserve">  Informácie o použitých účtovných zásadách a účtovných metódach  </w:t>
      </w:r>
    </w:p>
    <w:p>
      <w:pPr>
        <w:pStyle w:val="Default"/>
        <w:spacing w:before="14" w:after="2"/>
      </w:pPr>
      <w:r>
        <w:rPr>
          <w:rFonts w:ascii="Arial" w:hAnsi="Arial" w:cs="Arial"/>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pPr>
        <w:pStyle w:val="Default"/>
        <w:spacing w:before="14" w:after="2"/>
      </w:pPr>
      <w:r>
        <w:rPr>
          <w:rFonts w:ascii="Arial" w:hAnsi="Arial" w:cs="Arial"/>
          <w:sz w:val="20"/>
          <w:szCs w:val="20"/>
        </w:rPr>
        <w:t xml:space="preserve">. Nehmotný majetok, ktorého obstarávacia cena je 2 400 € (do 28. 2. 2009: 1 660 €) a nižšia, s dobou použiteľnosti dlhšou ako jeden rok, sa účtuje na účet 518 – Ostatné služby. </w:t>
      </w:r>
    </w:p>
    <w:p>
      <w:pPr>
        <w:pStyle w:val="Default"/>
        <w:spacing w:before="14" w:after="2"/>
      </w:pPr>
      <w:r>
        <w:rPr>
          <w:rFonts w:ascii="Arial" w:hAnsi="Arial" w:cs="Arial"/>
          <w:sz w:val="20"/>
          <w:szCs w:val="20"/>
        </w:rPr>
        <w:t xml:space="preserve">Dlhodobý hmotný majetok  </w:t>
      </w:r>
    </w:p>
    <w:p>
      <w:pPr>
        <w:pStyle w:val="Default"/>
        <w:spacing w:before="14" w:after="2"/>
      </w:pPr>
      <w:r>
        <w:rPr>
          <w:rFonts w:ascii="Arial" w:hAnsi="Arial" w:cs="Arial"/>
          <w:sz w:val="20"/>
          <w:szCs w:val="20"/>
        </w:rPr>
        <w:t xml:space="preserve">1.    Dlhodobý hmotný majetok nakupovaný sa oceňuje obstarávacou cenou, ktorá zahŕňa cenu obstarania a náklady súvisiace s obstaraním (clo, prepravu, montáž, poistné a pod.). </w:t>
      </w:r>
    </w:p>
    <w:p>
      <w:pPr>
        <w:pStyle w:val="Default"/>
        <w:spacing w:before="14" w:after="2"/>
      </w:pPr>
      <w:r>
        <w:rPr>
          <w:rFonts w:ascii="Arial" w:hAnsi="Arial" w:cs="Arial"/>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pPr>
        <w:pStyle w:val="Default"/>
        <w:spacing w:before="14" w:after="2"/>
      </w:pPr>
      <w:r>
        <w:rPr>
          <w:rFonts w:ascii="Arial" w:hAnsi="Arial" w:cs="Arial"/>
          <w:sz w:val="20"/>
          <w:szCs w:val="20"/>
        </w:rPr>
        <w:t xml:space="preserve">4.    Alternatívne sa vypracuje tabuľka podľa jednotlivého dlhodobého hmotného majetku so stanovenou metódou odpisovania a ročnou odpisovou sadzbou.  </w:t>
      </w:r>
    </w:p>
    <w:p>
      <w:pPr>
        <w:pStyle w:val="Default"/>
        <w:spacing w:before="14" w:after="2"/>
      </w:pPr>
      <w:r>
        <w:rPr>
          <w:rFonts w:ascii="Arial" w:hAnsi="Arial" w:cs="Arial"/>
          <w:sz w:val="20"/>
          <w:szCs w:val="20"/>
        </w:rPr>
        <w:t xml:space="preserve">5.    Odhadovaná doba životnosti a odpisový plán sú prehodnotené na konci každého účtovného obdobia.  </w:t>
      </w:r>
    </w:p>
    <w:p>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pPr>
        <w:rPr>
          <w:rFonts/>
          <w:sz w:val="22"/>
          <w:szCs w:val="22"/>
        </w:rPr>
        <w:pStyle w:val="Default"/>
        <w:spacing w:before="14" w:after="2"/>
      </w:pP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rPr>
          <w:rFonts/>
          <w:sz w:val="20"/>
          <w:szCs w:val="20"/>
        </w:rPr>
        <w:pStyle w:val="Default"/>
        <w:spacing w:before="14" w:after="2"/>
      </w:pP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2201</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378068</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380269</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2200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378069</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380269</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1662</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331161</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332823</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110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23674</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23784</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1772</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354835</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356607</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539</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46907</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47446</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428</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23234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23662</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2200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368954</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371154</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9115</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9115</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2201</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378068</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380269</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1552</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302560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304112</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110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28601</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28711</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1662</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331161</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332823</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648</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66394</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67042</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539</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46907</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47446</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21196</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21196</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21196</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21196</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16986</w:t>
            </w:r>
          </w:p>
        </w:tc>
        <w:tc>
          <w:tcPr>
            <w:tcW w:w="1843" w:type="dxa"/>
            <w:tcBorders>
              <w:top w:val="single" w:sz="12" w:space="0" w:color="auto"/>
            </w:tcBorders>
            <w:vAlign w:val="center"/>
            <w:tcMar>
              <w:top w:type="dxa" w:w="75"/>
            </w:tcMar>
          </w:tcPr>
          <w:p>
            <w:pPr>
              <w:jc w:val="center"/>
              <w:spacing w:after="2"/>
            </w:pPr>
            <w:r>
              <w:rPr>
                <w:lang w:val="sk-SK"/>
                <w:sz w:val="18"/>
                <w:szCs w:val="18"/>
              </w:rPr>
              <w:t>40455</w:t>
            </w:r>
          </w:p>
        </w:tc>
        <w:tc>
          <w:tcPr>
            <w:tcW w:w="1950" w:type="dxa"/>
            <w:tcBorders>
              <w:top w:val="single" w:sz="12" w:space="0" w:color="auto"/>
            </w:tcBorders>
            <w:vAlign w:val="center"/>
            <w:tcMar>
              <w:top w:type="dxa" w:w="75"/>
            </w:tcMar>
          </w:tcPr>
          <w:p>
            <w:pPr>
              <w:jc w:val="center"/>
              <w:spacing w:after="2"/>
            </w:pPr>
            <w:r>
              <w:rPr>
                <w:lang w:val="sk-SK"/>
                <w:sz w:val="18"/>
                <w:szCs w:val="18"/>
              </w:rPr>
              <w:t>57441</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27789</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27789</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44775</w:t>
            </w:r>
          </w:p>
        </w:tc>
        <w:tc>
          <w:tcPr>
            <w:tcW w:w="1843" w:type="dxa"/>
            <w:tcBorders>
              <w:bottom w:val="single" w:sz="12" w:space="0" w:color="auto"/>
            </w:tcBorders>
            <w:vAlign w:val="center"/>
            <w:tcMar>
              <w:top w:type="dxa" w:w="75"/>
            </w:tcMar>
          </w:tcPr>
          <w:p>
            <w:pPr>
              <w:jc w:val="center"/>
              <w:spacing w:after="2"/>
            </w:pPr>
            <w:r>
              <w:rPr>
                <w:lang w:val="sk-SK"/>
                <w:sz w:val="18"/>
                <w:szCs w:val="18"/>
              </w:rPr>
              <w:t>40455</w:t>
            </w:r>
          </w:p>
        </w:tc>
        <w:tc>
          <w:tcPr>
            <w:tcW w:w="1950" w:type="dxa"/>
            <w:tcBorders>
              <w:bottom w:val="single" w:sz="12" w:space="0" w:color="auto"/>
            </w:tcBorders>
            <w:vAlign w:val="center"/>
            <w:tcMar>
              <w:top w:type="dxa" w:w="75"/>
            </w:tcMar>
          </w:tcPr>
          <w:p>
            <w:pPr>
              <w:jc w:val="center"/>
              <w:spacing w:after="2"/>
            </w:pPr>
            <w:r>
              <w:rPr>
                <w:lang w:val="sk-SK"/>
                <w:sz w:val="18"/>
                <w:szCs w:val="18"/>
              </w:rPr>
              <w:t>85230</w:t>
            </w:r>
          </w:p>
        </w:tc>
      </w:tr>
    </w:tbl>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51349</w:t>
            </w:r>
          </w:p>
        </w:tc>
        <w:tc>
          <w:tcPr>
            <w:tcW w:w="2405" w:type="dxa"/>
            <w:tcBorders>
              <w:top w:val="single" w:sz="12" w:space="0" w:color="auto"/>
            </w:tcBorders>
            <w:vAlign w:val="center"/>
            <w:tcMar>
              <w:top w:type="dxa" w:w="75"/>
            </w:tcMar>
          </w:tcPr>
          <w:p>
            <w:pPr>
              <w:jc w:val="center"/>
              <w:spacing w:after="2"/>
            </w:pPr>
            <w:r>
              <w:rPr>
                <w:lang w:val="sk-SK"/>
                <w:sz w:val="18"/>
                <w:szCs w:val="18"/>
              </w:rPr>
              <w:t>107676</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142</w:t>
            </w:r>
          </w:p>
        </w:tc>
        <w:tc>
          <w:tcPr>
            <w:tcW w:w="2405" w:type="dxa"/>
            <w:vAlign w:val="center"/>
            <w:tcMar>
              <w:top w:type="dxa" w:w="75"/>
            </w:tcMar>
          </w:tcPr>
          <w:p>
            <w:pPr>
              <w:jc w:val="center"/>
              <w:spacing w:after="2"/>
            </w:pPr>
            <w:r>
              <w:rPr>
                <w:lang w:val="sk-SK"/>
                <w:sz w:val="18"/>
                <w:szCs w:val="18"/>
              </w:rPr>
              <w:t>223</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51491</w:t>
            </w:r>
          </w:p>
        </w:tc>
        <w:tc>
          <w:tcPr>
            <w:tcW w:w="2405" w:type="dxa"/>
            <w:tcBorders>
              <w:bottom w:val="single" w:sz="12" w:space="0" w:color="auto"/>
            </w:tcBorders>
            <w:vAlign w:val="center"/>
            <w:tcMar>
              <w:top w:type="dxa" w:w="75"/>
            </w:tcMar>
          </w:tcPr>
          <w:p>
            <w:pPr>
              <w:jc w:val="center"/>
              <w:spacing w:after="2"/>
            </w:pPr>
            <w:r>
              <w:rPr>
                <w:lang w:val="sk-SK"/>
                <w:sz w:val="18"/>
                <w:szCs w:val="18"/>
              </w:rPr>
              <w:t>107899</w:t>
            </w: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555E86" w:rsidRDefault="00555E86" w:rsidP="003C6FBF">
      <w:pPr>
        <w:pStyle w:val="Default"/>
        <w:rPr>
          <w:b/>
          <w:bCs/>
          <w:sz w:val="20"/>
          <w:szCs w:val="20"/>
        </w:rPr>
      </w:pP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39768</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39768</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39768</w:t>
            </w:r>
          </w:p>
        </w:tc>
      </w:tr>
    </w:tbl>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8887</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-189</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8698</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2023</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6864</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8887</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858</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9726</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8"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169782</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177009</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523</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11550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101</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-30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268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507</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369</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79</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101</w:t>
            </w: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 xml:space="preserve">úver dlhodobý </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eur  1000000</w:t>
            </w: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jc w:val="center"/>
              <w:spacing w:after="2"/>
            </w:pPr>
            <w:r>
              <w:rPr>
                <w:lang w:val="sk-SK"/>
                <w:sz w:val="18"/>
                <w:szCs w:val="18"/>
              </w:rPr>
              <w:t>94444</w:t>
            </w: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spotr. úver 350006486 ESOX FINANCE SLOVAKIA s.r.o.</w:t>
            </w:r>
          </w:p>
        </w:tc>
        <w:tc>
          <w:tcPr>
            <w:tcW w:w="850" w:type="dxa"/>
            <w:tcBorders>
              <w:left w:val="single" w:sz="12" w:space="0" w:color="auto"/>
            </w:tcBorders>
            <w:noWrap/>
            <w:vAlign w:val="center"/>
            <w:tcMar>
              <w:top w:type="dxa" w:w="75"/>
            </w:tcMar>
          </w:tcPr>
          <w:p>
            <w:pPr>
              <w:jc w:val="center"/>
              <w:spacing w:after="2"/>
            </w:pPr>
            <w:r>
              <w:rPr>
                <w:lang w:val="sk-SK"/>
                <w:sz w:val="18"/>
                <w:szCs w:val="18"/>
              </w:rPr>
              <w:t>eur</w:t>
            </w: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jc w:val="center"/>
              <w:spacing w:after="2"/>
            </w:pPr>
            <w:r>
              <w:rPr>
                <w:lang w:val="sk-SK"/>
                <w:sz w:val="18"/>
                <w:szCs w:val="18"/>
              </w:rPr>
              <w:t>4980</w:t>
            </w: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51" w:type="dxa"/>
            <w:tcBorders>
              <w:bottom w:val="single" w:sz="12" w:space="0" w:color="auto"/>
            </w:tcBorders>
            <w:noWrap/>
            <w:vAlign w:val="center"/>
            <w:tcMar>
              <w:top w:type="dxa" w:w="75"/>
            </w:tcMar>
          </w:tcPr>
          <w:p>
            <w:pPr>
              <w:rPr>
                <w:sz w:val="18"/>
                <w:szCs w:val="18"/>
              </w:rPr>
              <w:jc w:val="center"/>
              <w:spacing w:after="2"/>
            </w:pPr>
          </w:p>
        </w:tc>
        <w:tc>
          <w:tcPr>
            <w:tcW w:w="1268" w:type="dxa"/>
            <w:tcBorders>
              <w:bottom w:val="single" w:sz="12" w:space="0" w:color="auto"/>
            </w:tcBorders>
            <w:noWrap/>
            <w:vAlign w:val="center"/>
            <w:tcMar>
              <w:top w:type="dxa" w:w="75"/>
            </w:tcMar>
          </w:tcPr>
          <w:p>
            <w:pPr>
              <w:rPr>
                <w:sz w:val="18"/>
                <w:szCs w:val="18"/>
              </w:rPr>
              <w:jc w:val="center"/>
              <w:spacing w:after="2"/>
            </w:pPr>
          </w:p>
        </w:tc>
        <w:tc>
          <w:tcPr>
            <w:tcW w:w="1441" w:type="dxa"/>
            <w:tcBorders>
              <w:bottom w:val="single" w:sz="12" w:space="0" w:color="auto"/>
            </w:tcBorders>
            <w:noWrap/>
            <w:vAlign w:val="center"/>
            <w:tcMar>
              <w:top w:type="dxa" w:w="75"/>
            </w:tcMar>
          </w:tcPr>
          <w:p>
            <w:pPr>
              <w:rPr>
                <w:sz w:val="18"/>
                <w:szCs w:val="18"/>
              </w:rPr>
              <w:jc w:val="center"/>
              <w:spacing w:after="2"/>
            </w:pPr>
          </w:p>
        </w:tc>
        <w:tc>
          <w:tcPr>
            <w:tcW w:w="1118"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24" w:type="dxa"/>
            <w:tcBorders>
              <w:bottom w:val="single" w:sz="12" w:space="0" w:color="auto"/>
            </w:tcBorders>
            <w:noWrap/>
            <w:vAlign w:val="center"/>
            <w:tcMar>
              <w:top w:type="dxa" w:w="75"/>
            </w:tcMar>
          </w:tcPr>
          <w:p>
            <w:pPr>
              <w:rPr>
                <w:sz w:val="18"/>
                <w:szCs w:val="18"/>
              </w:rPr>
              <w:jc w:val="center"/>
              <w:spacing w:after="2"/>
            </w:pPr>
          </w:p>
        </w:tc>
        <w:tc>
          <w:tcPr>
            <w:tcW w:w="1275" w:type="dxa"/>
            <w:tcBorders>
              <w:bottom w:val="single" w:sz="12" w:space="0" w:color="auto"/>
            </w:tcBorders>
            <w:noWrap/>
            <w:vAlign w:val="center"/>
            <w:tcMar>
              <w:top w:type="dxa" w:w="75"/>
            </w:tcMar>
          </w:tcPr>
          <w:p>
            <w:pPr>
              <w:rPr>
                <w:sz w:val="18"/>
                <w:szCs w:val="18"/>
              </w:rPr>
              <w:jc w:val="center"/>
              <w:spacing w:after="2"/>
            </w:pPr>
          </w:p>
        </w:tc>
        <w:tc>
          <w:tcPr>
            <w:tcW w:w="1418" w:type="dxa"/>
            <w:tcBorders>
              <w:bottom w:val="single" w:sz="12" w:space="0" w:color="auto"/>
            </w:tcBorders>
            <w:noWrap/>
            <w:vAlign w:val="center"/>
            <w:tcMar>
              <w:top w:type="dxa" w:w="75"/>
            </w:tcMar>
          </w:tcPr>
          <w:p>
            <w:pPr>
              <w:rPr>
                <w:sz w:val="18"/>
                <w:szCs w:val="18"/>
              </w:rPr>
              <w:jc w:val="center"/>
              <w:spacing w:after="2"/>
            </w:pPr>
          </w:p>
        </w:tc>
        <w:tc>
          <w:tcPr>
            <w:tcW w:w="1134"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894996</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1663083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4959</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7592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5017</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3021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904972</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1673697</w:t>
            </w: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sz w:val="20"/>
          <w:szCs w:val="20"/>
        </w:rPr>
      </w:pPr>
    </w:p>
    <w:p w:rsidR="00555E86" w:rsidRPr="00BF421A" w:rsidRDefault="00555E86" w:rsidP="002A2D54">
      <w:pPr>
        <w:pStyle w:val="Default"/>
        <w:spacing w:before="120"/>
        <w:rPr>
          <w:b/>
          <w:bCs/>
          <w:sz w:val="20"/>
          <w:szCs w:val="20"/>
        </w:rPr>
      </w:pP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894996</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1663083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4959</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7592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5017</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3021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904972</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1673697</w:t>
            </w: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after="15"/>
        <w:rPr>
          <w:b/>
          <w:bCs/>
          <w:sz w:val="20"/>
          <w:szCs w:val="20"/>
        </w:rPr>
      </w:pPr>
    </w:p>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1073</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50517</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778</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10749</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6672</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6672</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667</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667</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609352</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39768</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649120</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39768</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39768</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295</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6672</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6672</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667</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667</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604253</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5099</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599154</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5099</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5099</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39768</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3 - 04</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1</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6</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7</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8</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