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Bdr>
          <w:top w:val="single" w:color="auto" w:sz="4" w:space="0"/>
          <w:left w:val="single" w:color="auto" w:sz="4" w:space="4"/>
          <w:bottom w:val="single" w:color="auto" w:sz="4" w:space="1"/>
          <w:right w:val="single" w:color="auto" w:sz="4" w:space="6"/>
        </w:pBdr>
        <w:spacing w:after="120"/>
        <w:jc w:val="center"/>
        <w:rPr>
          <w:rFonts w:hint="default" w:ascii="Arial Narrow" w:hAnsi="Arial Narrow"/>
          <w:b/>
          <w:lang w:val="sk-SK"/>
        </w:rPr>
      </w:pPr>
      <w:r>
        <w:rPr>
          <w:rFonts w:ascii="Arial Narrow" w:hAnsi="Arial Narrow"/>
          <w:b/>
        </w:rPr>
        <w:t>POZNÁMKY K ÚČTOVNEJ ZÁVIERKE 20</w:t>
      </w:r>
      <w:r>
        <w:rPr>
          <w:rFonts w:hint="default" w:ascii="Arial Narrow" w:hAnsi="Arial Narrow"/>
          <w:b/>
          <w:lang w:val="sk-SK"/>
        </w:rPr>
        <w:t>22</w:t>
      </w:r>
    </w:p>
    <w:p>
      <w:pPr>
        <w:pBdr>
          <w:top w:val="single" w:color="auto" w:sz="4" w:space="0"/>
          <w:left w:val="single" w:color="auto" w:sz="4" w:space="4"/>
          <w:bottom w:val="single" w:color="auto" w:sz="4" w:space="1"/>
          <w:right w:val="single" w:color="auto" w:sz="4" w:space="6"/>
        </w:pBdr>
        <w:jc w:val="center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zostavené podľa Opatrenia č.MF/23378/2014-74 (FS č.12/2014), ktorým sa ustanovujú podrobnosti o individuálnej účtovnej závierke a rozsahu údajov určených z individuálnej účtovnej závierky na zverejnenie </w:t>
      </w:r>
    </w:p>
    <w:p>
      <w:pPr>
        <w:pBdr>
          <w:top w:val="single" w:color="auto" w:sz="4" w:space="0"/>
          <w:left w:val="single" w:color="auto" w:sz="4" w:space="4"/>
          <w:bottom w:val="single" w:color="auto" w:sz="4" w:space="1"/>
          <w:right w:val="single" w:color="auto" w:sz="4" w:space="6"/>
        </w:pBdr>
        <w:jc w:val="center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pre malé účtovné jednotky</w:t>
      </w:r>
      <w:r>
        <w:rPr>
          <w:rFonts w:ascii="Arial Narrow" w:hAnsi="Arial Narrow"/>
          <w:sz w:val="22"/>
          <w:szCs w:val="22"/>
        </w:rPr>
        <w:t xml:space="preserve"> </w:t>
      </w:r>
    </w:p>
    <w:p>
      <w:pPr>
        <w:rPr>
          <w:rFonts w:ascii="Arial Narrow" w:hAnsi="Arial Narrow"/>
          <w:sz w:val="22"/>
          <w:szCs w:val="22"/>
        </w:rPr>
      </w:pPr>
    </w:p>
    <w:p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>
        <w:rPr>
          <w:rFonts w:ascii="Arial Narrow" w:hAnsi="Arial Narrow" w:cs="Arial Narrow"/>
          <w:b/>
          <w:sz w:val="22"/>
          <w:szCs w:val="22"/>
          <w:u w:val="single"/>
        </w:rPr>
        <w:t>Článok I – VŠEOBECNÉ INFORMÁCIE</w:t>
      </w:r>
    </w:p>
    <w:p>
      <w:pPr>
        <w:rPr>
          <w:rFonts w:ascii="Arial Narrow" w:hAnsi="Arial Narrow"/>
          <w:sz w:val="22"/>
          <w:szCs w:val="22"/>
        </w:rPr>
      </w:pPr>
    </w:p>
    <w:p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1) </w:t>
      </w:r>
      <w:r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>
        <w:rPr>
          <w:rFonts w:ascii="Arial Narrow" w:hAnsi="Arial Narrow" w:cs="Arial Narrow"/>
          <w:sz w:val="22"/>
          <w:szCs w:val="22"/>
        </w:rPr>
        <w:t>:</w:t>
      </w:r>
    </w:p>
    <w:p>
      <w:pPr>
        <w:rPr>
          <w:rFonts w:ascii="Arial Narrow" w:hAnsi="Arial Narrow"/>
          <w:sz w:val="22"/>
          <w:szCs w:val="22"/>
        </w:rPr>
      </w:pPr>
    </w:p>
    <w:tbl>
      <w:tblPr>
        <w:tblStyle w:val="5"/>
        <w:tblW w:w="4944" w:type="pc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35"/>
        <w:gridCol w:w="697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1" w:hRule="atLeast"/>
        </w:trPr>
        <w:tc>
          <w:tcPr>
            <w:tcW w:w="13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MasterCode s.r.o.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</w:trPr>
        <w:tc>
          <w:tcPr>
            <w:tcW w:w="13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059 76 Mlynčeky, Mlynčeky 134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" w:hRule="atLeast"/>
        </w:trPr>
        <w:tc>
          <w:tcPr>
            <w:tcW w:w="13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Právna forma:</w:t>
            </w:r>
          </w:p>
        </w:tc>
        <w:tc>
          <w:tcPr>
            <w:tcW w:w="362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Spoločnosť s ručením obmedzeným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" w:hRule="atLeast"/>
        </w:trPr>
        <w:tc>
          <w:tcPr>
            <w:tcW w:w="1372" w:type="pct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Zápis do obchodného registra: 29.01.2020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5" w:hRule="atLeast"/>
        </w:trPr>
        <w:tc>
          <w:tcPr>
            <w:tcW w:w="1372" w:type="pct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Style w:val="25"/>
                <w:rFonts w:ascii="Arial Narrow" w:hAnsi="Arial Narrow"/>
              </w:rPr>
              <w:t>Počítačové služby a služby súvisiace s počítačovým spracovaním údajov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4" w:hRule="atLeast"/>
        </w:trPr>
        <w:tc>
          <w:tcPr>
            <w:tcW w:w="1372" w:type="pct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Spoločnosť nie je subjektom verejného záujmu (§ 2/14 ZoU).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4" w:hRule="atLeast"/>
        </w:trPr>
        <w:tc>
          <w:tcPr>
            <w:tcW w:w="1372" w:type="pct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jc w:val="both"/>
              <w:rPr>
                <w:rFonts w:hint="default" w:ascii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Kalendárny rok 20</w:t>
            </w:r>
            <w:r>
              <w:rPr>
                <w:rFonts w:hint="default" w:ascii="Arial Narrow" w:hAnsi="Arial Narrow" w:cs="Arial Narrow"/>
                <w:sz w:val="22"/>
                <w:szCs w:val="22"/>
                <w:lang w:val="sk-SK"/>
              </w:rPr>
              <w:t>22</w:t>
            </w:r>
          </w:p>
        </w:tc>
      </w:tr>
    </w:tbl>
    <w:p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  <w:u w:val="single"/>
        </w:rPr>
        <w:t>Test veľkostnej skupiny účtovnej jednotky (2 ZoU)</w:t>
      </w:r>
    </w:p>
    <w:p>
      <w:pPr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(Do veľkostnej skupiny mala účtovná jednotka patrí taká, ktorá za dve po sebe idúce účtovné obdobia spĺňa aspoň dve z troch podmienok – suma netto aktív presiahla 350 000 eura, ale nepresiahla 4 000 000 eur, čistý obrat presiahol 700 000 eur, ale nepresiahol 8 000 000 eur a priemerný prepočítaný počet zamestnancov počas účtovného obdobia presiahol 10, ale nepresiahol 50).  </w:t>
      </w:r>
    </w:p>
    <w:p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Style w:val="5"/>
        <w:tblW w:w="9568" w:type="dxa"/>
        <w:tblInd w:w="3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97"/>
        <w:gridCol w:w="2835"/>
        <w:gridCol w:w="3260"/>
        <w:gridCol w:w="127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197" w:type="dxa"/>
            <w:shd w:val="clear" w:color="auto" w:fill="auto"/>
          </w:tcPr>
          <w:p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835" w:type="dxa"/>
            <w:shd w:val="clear" w:color="auto" w:fill="auto"/>
          </w:tcPr>
          <w:p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Áno/Nie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97" w:type="dxa"/>
            <w:shd w:val="clear" w:color="auto" w:fill="auto"/>
          </w:tcPr>
          <w:p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shd w:val="clear" w:color="auto" w:fill="auto"/>
          </w:tcPr>
          <w:p>
            <w:pPr>
              <w:jc w:val="center"/>
              <w:rPr>
                <w:rFonts w:hint="default"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>
              <w:rPr>
                <w:rFonts w:hint="default" w:ascii="Arial Narrow" w:hAnsi="Arial Narrow" w:cs="Arial Narrow"/>
                <w:b/>
                <w:bCs/>
                <w:sz w:val="22"/>
                <w:szCs w:val="22"/>
                <w:lang w:val="sk-SK"/>
              </w:rPr>
              <w:t>28 075</w:t>
            </w:r>
          </w:p>
        </w:tc>
        <w:tc>
          <w:tcPr>
            <w:tcW w:w="3260" w:type="dxa"/>
            <w:shd w:val="clear" w:color="auto" w:fill="auto"/>
            <w:vAlign w:val="top"/>
          </w:tcPr>
          <w:p>
            <w:pPr>
              <w:jc w:val="center"/>
              <w:rPr>
                <w:rFonts w:hint="default"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>
              <w:rPr>
                <w:rFonts w:hint="default" w:ascii="Arial Narrow" w:hAnsi="Arial Narrow" w:cs="Arial Narrow"/>
                <w:b/>
                <w:bCs/>
                <w:sz w:val="22"/>
                <w:szCs w:val="22"/>
                <w:lang w:val="sk-SK"/>
              </w:rPr>
              <w:t>41 759</w:t>
            </w:r>
          </w:p>
        </w:tc>
        <w:tc>
          <w:tcPr>
            <w:tcW w:w="1276" w:type="dxa"/>
            <w:shd w:val="clear" w:color="auto" w:fill="auto"/>
          </w:tcPr>
          <w:p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97" w:type="dxa"/>
            <w:shd w:val="clear" w:color="auto" w:fill="auto"/>
          </w:tcPr>
          <w:p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shd w:val="clear" w:color="auto" w:fill="auto"/>
          </w:tcPr>
          <w:p>
            <w:pPr>
              <w:jc w:val="center"/>
              <w:rPr>
                <w:rFonts w:hint="default"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>
              <w:rPr>
                <w:rFonts w:hint="default" w:ascii="Arial Narrow" w:hAnsi="Arial Narrow" w:cs="Arial Narrow"/>
                <w:b/>
                <w:bCs/>
                <w:sz w:val="22"/>
                <w:szCs w:val="22"/>
                <w:lang w:val="sk-SK"/>
              </w:rPr>
              <w:t>55 290</w:t>
            </w:r>
          </w:p>
        </w:tc>
        <w:tc>
          <w:tcPr>
            <w:tcW w:w="3260" w:type="dxa"/>
            <w:shd w:val="clear" w:color="auto" w:fill="auto"/>
            <w:vAlign w:val="top"/>
          </w:tcPr>
          <w:p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49 305</w:t>
            </w:r>
          </w:p>
        </w:tc>
        <w:tc>
          <w:tcPr>
            <w:tcW w:w="1276" w:type="dxa"/>
            <w:shd w:val="clear" w:color="auto" w:fill="auto"/>
          </w:tcPr>
          <w:p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97" w:type="dxa"/>
            <w:shd w:val="clear" w:color="auto" w:fill="auto"/>
          </w:tcPr>
          <w:p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shd w:val="clear" w:color="auto" w:fill="auto"/>
            <w:vAlign w:val="top"/>
          </w:tcPr>
          <w:p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</w:tbl>
    <w:p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  <w:u w:val="single"/>
        </w:rPr>
        <w:t>Komentár:</w:t>
      </w:r>
      <w:r>
        <w:rPr>
          <w:rFonts w:ascii="Arial Narrow" w:hAnsi="Arial Narrow" w:cs="Arial Narrow"/>
          <w:sz w:val="22"/>
          <w:szCs w:val="22"/>
        </w:rPr>
        <w:t xml:space="preserve"> UJ spĺňa veľkostné podmienky na zatriedenie do veľkostnej skupiny – </w:t>
      </w:r>
      <w:r>
        <w:rPr>
          <w:rFonts w:ascii="Arial Narrow" w:hAnsi="Arial Narrow" w:cs="Arial Narrow"/>
          <w:b/>
          <w:sz w:val="22"/>
          <w:szCs w:val="22"/>
        </w:rPr>
        <w:t xml:space="preserve">mikro účtovná jednotka, </w:t>
      </w:r>
      <w:r>
        <w:rPr>
          <w:rFonts w:ascii="Arial Narrow" w:hAnsi="Arial Narrow" w:cs="Arial Narrow"/>
          <w:sz w:val="22"/>
          <w:szCs w:val="22"/>
        </w:rPr>
        <w:t xml:space="preserve">pričom sa UJ v zmysle § 2 ods. 12 zákona č. 431/2002 Z. z. o účtovníctve rozhodla, že bude postupovať ako </w:t>
      </w:r>
      <w:r>
        <w:rPr>
          <w:rFonts w:ascii="Arial Narrow" w:hAnsi="Arial Narrow" w:cs="Arial Narrow"/>
          <w:b/>
          <w:sz w:val="22"/>
          <w:szCs w:val="22"/>
        </w:rPr>
        <w:t>malá účtovná jednotka</w:t>
      </w:r>
      <w:r>
        <w:rPr>
          <w:rFonts w:ascii="Arial Narrow" w:hAnsi="Arial Narrow" w:cs="Arial Narrow"/>
          <w:sz w:val="22"/>
          <w:szCs w:val="22"/>
        </w:rPr>
        <w:t xml:space="preserve"> a zostavuje účtovnú závierku podľa metodiky pre túto veľkostnú skupinu (</w:t>
      </w:r>
      <w:r>
        <w:rPr>
          <w:rFonts w:ascii="Arial Narrow" w:hAnsi="Arial Narrow"/>
          <w:sz w:val="22"/>
          <w:szCs w:val="22"/>
        </w:rPr>
        <w:t>Opatrenie č.MF/23378/2014-74)</w:t>
      </w:r>
      <w:r>
        <w:rPr>
          <w:rFonts w:ascii="Arial Narrow" w:hAnsi="Arial Narrow" w:cs="Arial Narrow"/>
          <w:sz w:val="22"/>
          <w:szCs w:val="22"/>
        </w:rPr>
        <w:t>.</w:t>
      </w:r>
    </w:p>
    <w:p>
      <w:pPr>
        <w:rPr>
          <w:rFonts w:ascii="Arial Narrow" w:hAnsi="Arial Narrow" w:cs="Arial Narrow"/>
          <w:b/>
          <w:bCs/>
          <w:sz w:val="22"/>
          <w:szCs w:val="22"/>
        </w:rPr>
      </w:pPr>
    </w:p>
    <w:p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2) Účtovná závierka Spoločnosti k 31.12.20</w:t>
      </w:r>
      <w:r>
        <w:rPr>
          <w:rFonts w:hint="default" w:ascii="Arial Narrow" w:hAnsi="Arial Narrow" w:cs="Arial Narrow"/>
          <w:sz w:val="22"/>
          <w:szCs w:val="22"/>
          <w:lang w:val="sk-SK"/>
        </w:rPr>
        <w:t>21</w:t>
      </w:r>
      <w:r>
        <w:rPr>
          <w:rFonts w:ascii="Arial Narrow" w:hAnsi="Arial Narrow" w:cs="Arial Narrow"/>
          <w:sz w:val="22"/>
          <w:szCs w:val="22"/>
        </w:rPr>
        <w:t xml:space="preserve"> za predchádzajúce účtovné obdobie bola podaná </w:t>
      </w:r>
      <w:r>
        <w:rPr>
          <w:rFonts w:hint="default" w:ascii="Arial Narrow" w:hAnsi="Arial Narrow" w:cs="Arial Narrow"/>
          <w:sz w:val="22"/>
          <w:szCs w:val="22"/>
          <w:lang w:val="sk-SK"/>
        </w:rPr>
        <w:t>25</w:t>
      </w:r>
      <w:r>
        <w:rPr>
          <w:rFonts w:ascii="Arial Narrow" w:hAnsi="Arial Narrow" w:cs="Arial Narrow"/>
          <w:sz w:val="22"/>
          <w:szCs w:val="22"/>
        </w:rPr>
        <w:t>.03.20</w:t>
      </w:r>
      <w:r>
        <w:rPr>
          <w:rFonts w:hint="default" w:ascii="Arial Narrow" w:hAnsi="Arial Narrow" w:cs="Arial Narrow"/>
          <w:sz w:val="22"/>
          <w:szCs w:val="22"/>
          <w:lang w:val="sk-SK"/>
        </w:rPr>
        <w:t>22</w:t>
      </w:r>
      <w:bookmarkStart w:id="0" w:name="_GoBack"/>
      <w:bookmarkEnd w:id="0"/>
      <w:r>
        <w:rPr>
          <w:rFonts w:ascii="Arial Narrow" w:hAnsi="Arial Narrow" w:cs="Arial Narrow"/>
          <w:sz w:val="22"/>
          <w:szCs w:val="22"/>
        </w:rPr>
        <w:t>.</w:t>
      </w:r>
    </w:p>
    <w:p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</w:t>
      </w:r>
    </w:p>
    <w:p>
      <w:pPr>
        <w:ind w:right="-468"/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</w:rPr>
        <w:t>Právny dôvod</w:t>
      </w:r>
      <w:r>
        <w:rPr>
          <w:rFonts w:ascii="Arial Narrow" w:hAnsi="Arial Narrow" w:cs="Arial Narrow"/>
          <w:sz w:val="22"/>
          <w:szCs w:val="22"/>
        </w:rPr>
        <w:t xml:space="preserve"> na zostavenie účtovnej závierky: </w:t>
      </w:r>
      <w:r>
        <w:rPr>
          <w:rFonts w:ascii="Arial Narrow" w:hAnsi="Arial Narrow" w:cs="Arial Narrow"/>
          <w:b/>
          <w:sz w:val="22"/>
          <w:szCs w:val="22"/>
        </w:rPr>
        <w:t>riadna</w:t>
      </w:r>
    </w:p>
    <w:p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>
      <w:pPr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4) </w:t>
      </w:r>
      <w:r>
        <w:rPr>
          <w:rFonts w:ascii="Arial Narrow" w:hAnsi="Arial Narrow" w:cs="Arial Narrow"/>
          <w:bCs/>
          <w:sz w:val="22"/>
          <w:szCs w:val="22"/>
          <w:u w:val="single"/>
        </w:rPr>
        <w:t>Údaje o skupine</w:t>
      </w:r>
      <w:r>
        <w:rPr>
          <w:rFonts w:ascii="Arial Narrow" w:hAnsi="Arial Narrow" w:cs="Arial Narrow"/>
          <w:bCs/>
          <w:sz w:val="22"/>
          <w:szCs w:val="22"/>
        </w:rPr>
        <w:t xml:space="preserve"> účtovných jednotiek v súvislosti </w:t>
      </w:r>
      <w:r>
        <w:rPr>
          <w:rFonts w:ascii="Arial Narrow" w:hAnsi="Arial Narrow" w:cs="Arial Narrow"/>
          <w:b/>
          <w:bCs/>
          <w:sz w:val="22"/>
          <w:szCs w:val="22"/>
        </w:rPr>
        <w:t>s konsolidáciou</w:t>
      </w:r>
      <w:r>
        <w:rPr>
          <w:rFonts w:ascii="Arial Narrow" w:hAnsi="Arial Narrow" w:cs="Arial Narrow"/>
          <w:bCs/>
          <w:sz w:val="22"/>
          <w:szCs w:val="22"/>
        </w:rPr>
        <w:t>: spoločnosť nemá obsahovú náplň.</w:t>
      </w:r>
    </w:p>
    <w:p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a) Obchodné meno a sídlo účtovnej jednotky, ktorá zostavuje </w:t>
      </w:r>
      <w:r>
        <w:rPr>
          <w:rFonts w:ascii="Arial Narrow" w:hAnsi="Arial Narrow" w:cs="Arial Narrow"/>
          <w:b/>
          <w:sz w:val="22"/>
          <w:szCs w:val="22"/>
        </w:rPr>
        <w:t>konsolidovanú účtovnú závierku</w:t>
      </w:r>
      <w:r>
        <w:rPr>
          <w:rFonts w:ascii="Arial Narrow" w:hAnsi="Arial Narrow" w:cs="Arial Narrow"/>
          <w:sz w:val="22"/>
          <w:szCs w:val="22"/>
        </w:rPr>
        <w:t xml:space="preserve"> za </w:t>
      </w:r>
      <w:r>
        <w:rPr>
          <w:rFonts w:ascii="Arial Narrow" w:hAnsi="Arial Narrow" w:cs="Arial Narrow"/>
          <w:sz w:val="22"/>
          <w:szCs w:val="22"/>
          <w:u w:val="single"/>
        </w:rPr>
        <w:t>najväčšiu skupinu</w:t>
      </w:r>
      <w:r>
        <w:rPr>
          <w:rFonts w:ascii="Arial Narrow" w:hAnsi="Arial Narrow" w:cs="Arial Narrow"/>
          <w:sz w:val="22"/>
          <w:szCs w:val="22"/>
        </w:rPr>
        <w:t>, ktorej súčasťou je účtovná jednotka ako dcérska účtovná jednotka (najvyšší stupeň konsolidácie):</w:t>
      </w:r>
    </w:p>
    <w:p>
      <w:pPr>
        <w:jc w:val="both"/>
        <w:rPr>
          <w:rFonts w:ascii="Arial Narrow" w:hAnsi="Arial Narrow" w:cs="Arial Narrow"/>
          <w:sz w:val="22"/>
          <w:szCs w:val="22"/>
        </w:rPr>
      </w:pPr>
    </w:p>
    <w:p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b) Obchodné meno a sídlo účtovnej jednotky, ktorá zostavuje </w:t>
      </w:r>
      <w:r>
        <w:rPr>
          <w:rFonts w:ascii="Arial Narrow" w:hAnsi="Arial Narrow" w:cs="Arial Narrow"/>
          <w:b/>
          <w:sz w:val="22"/>
          <w:szCs w:val="22"/>
        </w:rPr>
        <w:t>konsolidovanú účtovnú závierku</w:t>
      </w:r>
      <w:r>
        <w:rPr>
          <w:rFonts w:ascii="Arial Narrow" w:hAnsi="Arial Narrow" w:cs="Arial Narrow"/>
          <w:sz w:val="22"/>
          <w:szCs w:val="22"/>
        </w:rPr>
        <w:t xml:space="preserve"> za </w:t>
      </w:r>
      <w:r>
        <w:rPr>
          <w:rFonts w:ascii="Arial Narrow" w:hAnsi="Arial Narrow" w:cs="Arial Narrow"/>
          <w:sz w:val="22"/>
          <w:szCs w:val="22"/>
          <w:u w:val="single"/>
        </w:rPr>
        <w:t>najmenšiu skupinu</w:t>
      </w:r>
      <w:r>
        <w:rPr>
          <w:rFonts w:ascii="Arial Narrow" w:hAnsi="Arial Narrow" w:cs="Arial Narrow"/>
          <w:sz w:val="22"/>
          <w:szCs w:val="22"/>
        </w:rPr>
        <w:t>, ktorej súčasťou je účtovná jednotka ako dcérska účtovná jednotka (bezprostredne vyšší stupeň konsolidácie), a ktorá je tiež začlenená do skupiny účtovných jednotiek na najvyššom stupni konsolidácie:</w:t>
      </w:r>
    </w:p>
    <w:p>
      <w:pPr>
        <w:jc w:val="both"/>
        <w:rPr>
          <w:rFonts w:ascii="Arial Narrow" w:hAnsi="Arial Narrow" w:cs="Arial Narrow"/>
          <w:sz w:val="22"/>
          <w:szCs w:val="22"/>
        </w:rPr>
      </w:pPr>
    </w:p>
    <w:p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c) Adresa, kde sa môže vyžiadať kópia vyššie uvedených </w:t>
      </w:r>
      <w:r>
        <w:rPr>
          <w:rFonts w:ascii="Arial Narrow" w:hAnsi="Arial Narrow" w:cs="Arial Narrow"/>
          <w:b/>
          <w:sz w:val="22"/>
          <w:szCs w:val="22"/>
        </w:rPr>
        <w:t>konsolidovaných účtovných závierok</w:t>
      </w:r>
      <w:r>
        <w:rPr>
          <w:rFonts w:ascii="Arial Narrow" w:hAnsi="Arial Narrow" w:cs="Arial Narrow"/>
          <w:sz w:val="22"/>
          <w:szCs w:val="22"/>
        </w:rPr>
        <w:t>:</w:t>
      </w:r>
    </w:p>
    <w:p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d) Údaj, či účtovná jednotka je materskou účtovnou jednotkou a údaj, či je oslobodená od povinnosti zostaviť </w:t>
      </w:r>
      <w:r>
        <w:rPr>
          <w:rFonts w:ascii="Arial Narrow" w:hAnsi="Arial Narrow" w:cs="Arial Narrow"/>
          <w:b/>
          <w:sz w:val="22"/>
          <w:szCs w:val="22"/>
        </w:rPr>
        <w:t>konsolidovanú účtovnú závierku</w:t>
      </w:r>
      <w:r>
        <w:rPr>
          <w:rFonts w:ascii="Arial Narrow" w:hAnsi="Arial Narrow" w:cs="Arial Narrow"/>
          <w:sz w:val="22"/>
          <w:szCs w:val="22"/>
        </w:rPr>
        <w:t xml:space="preserve"> a konsolidovanú výročnú správu podľa § 22 zákona o účtovníctve, pričom sa uvádzajú:</w:t>
      </w:r>
    </w:p>
    <w:p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1. pri oslobodení podľa § 22 ods. 8 zákona o účtovníctve obchodné meno a sídlo materskej účtovnej jednotky zostavujúcej </w:t>
      </w:r>
      <w:r>
        <w:rPr>
          <w:rFonts w:ascii="Arial Narrow" w:hAnsi="Arial Narrow" w:cs="Arial Narrow"/>
          <w:b/>
          <w:sz w:val="22"/>
          <w:szCs w:val="22"/>
        </w:rPr>
        <w:t>konsolidovanú účtovnú závierku</w:t>
      </w:r>
      <w:r>
        <w:rPr>
          <w:rFonts w:ascii="Arial Narrow" w:hAnsi="Arial Narrow" w:cs="Arial Narrow"/>
          <w:sz w:val="22"/>
          <w:szCs w:val="22"/>
        </w:rPr>
        <w:t xml:space="preserve"> podľa osobitných predpisov (IFRS/EÚ):</w:t>
      </w:r>
    </w:p>
    <w:p>
      <w:pPr>
        <w:jc w:val="both"/>
        <w:rPr>
          <w:rFonts w:ascii="Arial Narrow" w:hAnsi="Arial Narrow" w:cs="Arial Narrow"/>
          <w:sz w:val="22"/>
          <w:szCs w:val="22"/>
        </w:rPr>
      </w:pPr>
    </w:p>
    <w:p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2. pri oslobodení podľa § 22 ods. 10 a 12 zákona o účtovníctve obchodné meno a sídlo dcérskych účtovných jednotiek:  </w:t>
      </w:r>
    </w:p>
    <w:p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5) </w:t>
      </w:r>
      <w:r>
        <w:rPr>
          <w:rFonts w:ascii="Arial Narrow" w:hAnsi="Arial Narrow" w:cs="Arial Narrow"/>
          <w:sz w:val="22"/>
          <w:szCs w:val="22"/>
          <w:u w:val="single"/>
        </w:rPr>
        <w:t>Priemerný prepočítaný počet zamestnancov účtovnej jednotky</w:t>
      </w:r>
      <w:r>
        <w:rPr>
          <w:rFonts w:ascii="Arial Narrow" w:hAnsi="Arial Narrow" w:cs="Arial Narrow"/>
          <w:sz w:val="22"/>
          <w:szCs w:val="22"/>
        </w:rPr>
        <w:t>:</w:t>
      </w:r>
    </w:p>
    <w:tbl>
      <w:tblPr>
        <w:tblStyle w:val="5"/>
        <w:tblW w:w="5017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58"/>
        <w:gridCol w:w="2523"/>
        <w:gridCol w:w="236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" w:hRule="atLeast"/>
        </w:trPr>
        <w:tc>
          <w:tcPr>
            <w:tcW w:w="2492" w:type="pct"/>
            <w:vAlign w:val="center"/>
          </w:tcPr>
          <w:p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3" w:hRule="atLeast"/>
        </w:trPr>
        <w:tc>
          <w:tcPr>
            <w:tcW w:w="2492" w:type="pct"/>
            <w:vAlign w:val="bottom"/>
          </w:tcPr>
          <w:p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Priemerný prepočítaný počet počas účtovného obdobia</w:t>
            </w:r>
          </w:p>
        </w:tc>
        <w:tc>
          <w:tcPr>
            <w:tcW w:w="1294" w:type="pct"/>
            <w:vAlign w:val="bottom"/>
          </w:tcPr>
          <w:p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214" w:type="pct"/>
            <w:vAlign w:val="bottom"/>
          </w:tcPr>
          <w:p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– o podmienkach a výške jednotlivých druhov záruk alebo iných zabezpečení, o pôžičkách a ich podmienkach (výška úrokov, celková suma pôžičky, suma splatenej pôžičky, suma odpustenej pôžičky), o použití majetku účtovnej jednotky na súkromné účely; v členení na jednotlivé orgány (informácie sa neuvádzajú vtedy, ak by umožnili identifikáciu finančnej situácie konkrétnej fyzickej osoby):</w:t>
      </w:r>
    </w:p>
    <w:tbl>
      <w:tblPr>
        <w:tblStyle w:val="5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12"/>
        <w:gridCol w:w="1701"/>
        <w:gridCol w:w="170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  <w:jc w:val="center"/>
        </w:trPr>
        <w:tc>
          <w:tcPr>
            <w:tcW w:w="0" w:type="auto"/>
            <w:noWrap/>
            <w:vAlign w:val="center"/>
          </w:tcPr>
          <w:p>
            <w:pPr>
              <w:pStyle w:val="21"/>
            </w:pPr>
            <w:r>
              <w:t>Orgány účtovnej jednotky</w:t>
            </w:r>
          </w:p>
        </w:tc>
        <w:tc>
          <w:tcPr>
            <w:tcW w:w="1701" w:type="dxa"/>
            <w:noWrap/>
            <w:vAlign w:val="center"/>
          </w:tcPr>
          <w:p>
            <w:pPr>
              <w:pStyle w:val="21"/>
            </w:pPr>
            <w:r>
              <w:t>Bežné účtovné obdobie</w:t>
            </w:r>
          </w:p>
        </w:tc>
        <w:tc>
          <w:tcPr>
            <w:tcW w:w="1701" w:type="dxa"/>
            <w:vAlign w:val="center"/>
          </w:tcPr>
          <w:p>
            <w:pPr>
              <w:pStyle w:val="21"/>
            </w:pPr>
            <w:r>
              <w:t>Bezprostredne predchádzajúce účtovné obdobie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" w:hRule="atLeast"/>
          <w:jc w:val="center"/>
        </w:trPr>
        <w:tc>
          <w:tcPr>
            <w:tcW w:w="0" w:type="auto"/>
            <w:noWrap/>
            <w:vAlign w:val="center"/>
          </w:tcPr>
          <w:p>
            <w:pPr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</w:tcPr>
          <w:p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</w:tcPr>
          <w:p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jc w:val="center"/>
        </w:trPr>
        <w:tc>
          <w:tcPr>
            <w:tcW w:w="0" w:type="auto"/>
            <w:noWrap/>
            <w:vAlign w:val="center"/>
          </w:tcPr>
          <w:p>
            <w:pPr>
              <w:numPr>
                <w:ilvl w:val="0"/>
                <w:numId w:val="2"/>
              </w:num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701" w:type="dxa"/>
            <w:noWrap/>
            <w:vAlign w:val="center"/>
          </w:tcPr>
          <w:p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" w:hRule="atLeast"/>
          <w:jc w:val="center"/>
        </w:trPr>
        <w:tc>
          <w:tcPr>
            <w:tcW w:w="0" w:type="auto"/>
            <w:noWrap/>
            <w:vAlign w:val="center"/>
          </w:tcPr>
          <w:p>
            <w:pPr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noWrap/>
            <w:vAlign w:val="center"/>
          </w:tcPr>
          <w:p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" w:hRule="atLeast"/>
          <w:jc w:val="center"/>
        </w:trPr>
        <w:tc>
          <w:tcPr>
            <w:tcW w:w="0" w:type="auto"/>
            <w:noWrap/>
            <w:vAlign w:val="center"/>
          </w:tcPr>
          <w:p>
            <w:pPr>
              <w:numPr>
                <w:ilvl w:val="0"/>
                <w:numId w:val="2"/>
              </w:num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701" w:type="dxa"/>
            <w:noWrap/>
            <w:vAlign w:val="center"/>
          </w:tcPr>
          <w:p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" w:hRule="atLeast"/>
          <w:jc w:val="center"/>
        </w:trPr>
        <w:tc>
          <w:tcPr>
            <w:tcW w:w="0" w:type="auto"/>
            <w:noWrap/>
            <w:vAlign w:val="center"/>
          </w:tcPr>
          <w:p>
            <w:pPr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noWrap/>
            <w:vAlign w:val="center"/>
          </w:tcPr>
          <w:p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" w:hRule="atLeast"/>
          <w:jc w:val="center"/>
        </w:trPr>
        <w:tc>
          <w:tcPr>
            <w:tcW w:w="0" w:type="auto"/>
            <w:noWrap/>
            <w:vAlign w:val="center"/>
          </w:tcPr>
          <w:p>
            <w:pPr>
              <w:numPr>
                <w:ilvl w:val="0"/>
                <w:numId w:val="2"/>
              </w:num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701" w:type="dxa"/>
            <w:noWrap/>
            <w:vAlign w:val="center"/>
          </w:tcPr>
          <w:p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</w:tbl>
    <w:p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III – INFORMÁCIE O PRIJATÝCH POSTUPOCH</w:t>
      </w:r>
    </w:p>
    <w:p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1) Informácia, či je účtovná závierka zostavená za splnenia predpokladu, že účtovná jednotka bude </w:t>
      </w:r>
      <w:r>
        <w:rPr>
          <w:rFonts w:ascii="Arial Narrow" w:hAnsi="Arial Narrow" w:cs="Arial Narrow"/>
          <w:b/>
          <w:sz w:val="22"/>
          <w:szCs w:val="22"/>
        </w:rPr>
        <w:t>nepretržite pokračovať</w:t>
      </w:r>
      <w:r>
        <w:rPr>
          <w:rFonts w:ascii="Arial Narrow" w:hAnsi="Arial Narrow" w:cs="Arial Narrow"/>
          <w:sz w:val="22"/>
          <w:szCs w:val="22"/>
        </w:rPr>
        <w:t xml:space="preserve"> vo svojej činnosti minimálne 12 mesiacov po závierkovom dni v zmysle § 7 ods. 4 zákona o účtovníctve. Ak by tento predpoklad nebol splnený, uvedie sa aj dopad do účtovnej závierky (napr. zrušenie dlhodobých rezerv): -</w:t>
      </w:r>
    </w:p>
    <w:p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</w:t>
      </w:r>
    </w:p>
    <w:p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2) Informácia o aplikácii účtovných zásad a účtovných metód, ktoré sú dôležité na posúdenie majetku, záväzkov, finančnej situácie a výsledku hospodárenia. Informácia </w:t>
      </w:r>
      <w:r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>
        <w:rPr>
          <w:rFonts w:ascii="Arial Narrow" w:hAnsi="Arial Narrow" w:cs="Arial Narrow"/>
          <w:sz w:val="22"/>
          <w:szCs w:val="22"/>
        </w:rPr>
        <w:t xml:space="preserve">, a to s uvedením </w:t>
      </w:r>
      <w:r>
        <w:rPr>
          <w:rFonts w:ascii="Arial Narrow" w:hAnsi="Arial Narrow" w:cs="Arial Narrow"/>
          <w:sz w:val="22"/>
          <w:szCs w:val="22"/>
          <w:u w:val="single"/>
        </w:rPr>
        <w:t>dôvodu</w:t>
      </w:r>
      <w:r>
        <w:rPr>
          <w:rFonts w:ascii="Arial Narrow" w:hAnsi="Arial Narrow" w:cs="Arial Narrow"/>
          <w:sz w:val="22"/>
          <w:szCs w:val="22"/>
        </w:rPr>
        <w:t xml:space="preserve"> ich uplatnenia a ich </w:t>
      </w:r>
      <w:r>
        <w:rPr>
          <w:rFonts w:ascii="Arial Narrow" w:hAnsi="Arial Narrow" w:cs="Arial Narrow"/>
          <w:sz w:val="22"/>
          <w:szCs w:val="22"/>
          <w:u w:val="single"/>
        </w:rPr>
        <w:t>vplyvu na hodnotu</w:t>
      </w:r>
      <w:r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hospodárenia. Ak v dôsledku zmeny účtovných zásad a účtovných metód nie sú hodnoty za bezprostredne predchádzajúce účtovné obdobie v jednotlivých súčastiach účtovnej závierky porovnateľné, uvádza sa vysvetlenie v neporovnateľných hodnotách:-</w:t>
      </w:r>
    </w:p>
    <w:p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časovo limitované licencie a oprávnenia, podnikové kombinácie, záväzky investovať, dopad legislatívy, celkový pokles v hospodárskom segmente):    -</w:t>
      </w:r>
    </w:p>
    <w:p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b/>
          <w:sz w:val="22"/>
          <w:szCs w:val="22"/>
        </w:rPr>
        <w:t>Spôsob a určenie oceňovania</w:t>
      </w:r>
      <w:r>
        <w:rPr>
          <w:rFonts w:ascii="Arial Narrow" w:hAnsi="Arial Narrow" w:cs="Arial Narrow"/>
          <w:sz w:val="22"/>
          <w:szCs w:val="22"/>
        </w:rPr>
        <w:t xml:space="preserve"> majetku a záväzkov (vrátane rozhodujúcich odhadov):</w:t>
      </w:r>
    </w:p>
    <w:p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a) Spôsob oceňovania majetku a záväzkov (§ 25 ZoU):</w:t>
      </w:r>
    </w:p>
    <w:p>
      <w:pPr>
        <w:pStyle w:val="7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5"/>
        <w:tblW w:w="960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6"/>
        <w:gridCol w:w="5300"/>
        <w:gridCol w:w="36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7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7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7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7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7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7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7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7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7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7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7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7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obstarávacia cena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7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7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7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7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hmotný ma</w:t>
            </w:r>
            <w:r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7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7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7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7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obstarávacia cena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7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7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7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7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7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7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9.</w:t>
            </w:r>
          </w:p>
        </w:tc>
        <w:tc>
          <w:tcPr>
            <w:tcW w:w="5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7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7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7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7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soby obstarané inak (darom):</w:t>
            </w:r>
          </w:p>
        </w:tc>
        <w:tc>
          <w:tcPr>
            <w:tcW w:w="3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7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obstarávacia cena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7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7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ZV a zákazková výstavba nehnuteľnosti určenej na predaj:</w:t>
            </w:r>
          </w:p>
        </w:tc>
        <w:tc>
          <w:tcPr>
            <w:tcW w:w="3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7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7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7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7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7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7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7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7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7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7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7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7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7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7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7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7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7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both"/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7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7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7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en-AU"/>
              </w:rPr>
            </w:pPr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D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en-AU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riv</w:t>
            </w:r>
            <w:r>
              <w:rPr>
                <w:rFonts w:ascii="Arial Narrow" w:hAnsi="Arial Narrow" w:cs="Arial"/>
                <w:spacing w:val="-2"/>
                <w:sz w:val="22"/>
                <w:szCs w:val="22"/>
                <w:lang w:val="en-AU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ty:</w:t>
            </w:r>
          </w:p>
        </w:tc>
        <w:tc>
          <w:tcPr>
            <w:tcW w:w="3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7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6" w:type="dxa"/>
            <w:shd w:val="clear" w:color="auto" w:fill="auto"/>
          </w:tcPr>
          <w:p>
            <w:pPr>
              <w:pStyle w:val="7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>
            <w:pPr>
              <w:jc w:val="both"/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</w:tcPr>
          <w:p>
            <w:pPr>
              <w:pStyle w:val="7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6" w:type="dxa"/>
            <w:shd w:val="clear" w:color="auto" w:fill="auto"/>
          </w:tcPr>
          <w:p>
            <w:pPr>
              <w:pStyle w:val="7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>
            <w:pPr>
              <w:jc w:val="both"/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</w:tcPr>
          <w:p>
            <w:pPr>
              <w:pStyle w:val="7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6" w:type="dxa"/>
            <w:shd w:val="clear" w:color="auto" w:fill="auto"/>
          </w:tcPr>
          <w:p>
            <w:pPr>
              <w:pStyle w:val="7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0" w:type="dxa"/>
            <w:shd w:val="clear" w:color="auto" w:fill="auto"/>
          </w:tcPr>
          <w:p>
            <w:pPr>
              <w:jc w:val="both"/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</w:tcPr>
          <w:p>
            <w:pPr>
              <w:pStyle w:val="7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>
      <w:pPr>
        <w:jc w:val="both"/>
        <w:rPr>
          <w:rFonts w:ascii="Arial Narrow" w:hAnsi="Arial Narrow" w:cs="Arial Narrow"/>
          <w:sz w:val="22"/>
          <w:szCs w:val="22"/>
        </w:rPr>
      </w:pPr>
    </w:p>
    <w:p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nebolo účtované. </w:t>
      </w:r>
    </w:p>
    <w:p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c) Záväzky účtovná jednotka ocenila menovitou hodnotou záväzkov. Rezervy účtovná jednotka ocenila odborným odhadom budúcej menovitej hodnoty potrebnej na ich úhradu. </w:t>
      </w:r>
    </w:p>
    <w:p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d)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>
        <w:rPr>
          <w:rFonts w:ascii="Arial Narrow" w:hAnsi="Arial Narrow" w:cs="Arial Narrow"/>
          <w:b/>
          <w:sz w:val="22"/>
          <w:szCs w:val="22"/>
        </w:rPr>
        <w:t>reálnou hodnotou</w:t>
      </w:r>
      <w:r>
        <w:rPr>
          <w:rFonts w:ascii="Arial Narrow" w:hAnsi="Arial Narrow" w:cs="Arial Narrow"/>
          <w:sz w:val="22"/>
          <w:szCs w:val="22"/>
        </w:rPr>
        <w:t>:</w:t>
      </w:r>
    </w:p>
    <w:p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e)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>
      <w:pPr>
        <w:spacing w:after="120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>
        <w:rPr>
          <w:rFonts w:ascii="Arial Narrow" w:hAnsi="Arial Narrow"/>
          <w:sz w:val="22"/>
          <w:szCs w:val="22"/>
        </w:rPr>
        <w:t xml:space="preserve">: </w:t>
      </w:r>
    </w:p>
    <w:p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  <w:u w:val="single"/>
        </w:rPr>
        <w:t>Finančné nástroje</w:t>
      </w:r>
      <w:r>
        <w:rPr>
          <w:rFonts w:ascii="Arial Narrow" w:hAnsi="Arial Narrow" w:cs="Arial Narrow"/>
          <w:sz w:val="22"/>
          <w:szCs w:val="22"/>
        </w:rPr>
        <w:t xml:space="preserve"> definuje § 5 zákona č.566/2001 Z.z. o cenných papieroch v znení neskorších predpisov – sú to napr. cenné papiere (akcie, dlhopisy, dočasné listy), deriváty (opcie, futures, swapy, forwardy), nástroje peňažného trhu (pokladničné poukážky, vkladové listy).</w:t>
      </w:r>
    </w:p>
    <w:p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  <w:u w:val="single"/>
        </w:rPr>
        <w:t>Opravné položky</w:t>
      </w:r>
      <w:r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odborným odhadom bonity príslušného majetku.</w:t>
      </w:r>
    </w:p>
    <w:p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>
        <w:rPr>
          <w:rFonts w:ascii="Arial Narrow" w:hAnsi="Arial Narrow" w:cs="Arial Narrow"/>
          <w:sz w:val="22"/>
          <w:szCs w:val="22"/>
          <w:u w:val="single"/>
        </w:rPr>
        <w:t>metódu odúročenia na súčasnú hodnotu</w:t>
      </w:r>
      <w:r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  <w:u w:val="single"/>
        </w:rPr>
        <w:t>Rezervy</w:t>
      </w:r>
      <w:r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UJ počas účtovného obdobia (§ 25 ZoU), ani k závierkovému dňu (§ 27 ZoU) nepoužila ocenenie </w:t>
      </w:r>
      <w:r>
        <w:rPr>
          <w:rFonts w:ascii="Arial Narrow" w:hAnsi="Arial Narrow" w:cs="Arial Narrow"/>
          <w:sz w:val="22"/>
          <w:szCs w:val="22"/>
          <w:u w:val="single"/>
        </w:rPr>
        <w:t>reálnou hodnotou</w:t>
      </w:r>
      <w:r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>
        <w:rPr>
          <w:rFonts w:ascii="Arial Narrow" w:hAnsi="Arial Narrow" w:cs="Arial Narrow"/>
          <w:sz w:val="22"/>
          <w:szCs w:val="22"/>
        </w:rPr>
        <w:t xml:space="preserve"> (§ 25/5 ZoU; § 22/1 PU).</w:t>
      </w:r>
    </w:p>
    <w:p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používa pri oceňovaní </w:t>
      </w:r>
      <w:r>
        <w:rPr>
          <w:rFonts w:ascii="Arial Narrow" w:hAnsi="Arial Narrow" w:cs="Arial Narrow"/>
          <w:sz w:val="22"/>
          <w:szCs w:val="22"/>
          <w:u w:val="single"/>
        </w:rPr>
        <w:t>prírastku</w:t>
      </w:r>
      <w:r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>
        <w:rPr>
          <w:rFonts w:ascii="Arial Narrow" w:hAnsi="Arial Narrow" w:cs="Arial Narrow"/>
          <w:sz w:val="22"/>
          <w:szCs w:val="22"/>
          <w:u w:val="single"/>
        </w:rPr>
        <w:t>zmenárenský kurz</w:t>
      </w:r>
      <w:r>
        <w:rPr>
          <w:rFonts w:ascii="Arial Narrow" w:hAnsi="Arial Narrow" w:cs="Arial Narrow"/>
          <w:sz w:val="22"/>
          <w:szCs w:val="22"/>
        </w:rPr>
        <w:t xml:space="preserve"> konkrétnej banky (§ 24/3 ZoU).</w:t>
      </w:r>
    </w:p>
    <w:p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používa pri oceňovaní </w:t>
      </w:r>
      <w:r>
        <w:rPr>
          <w:rFonts w:ascii="Arial Narrow" w:hAnsi="Arial Narrow" w:cs="Arial Narrow"/>
          <w:sz w:val="22"/>
          <w:szCs w:val="22"/>
          <w:u w:val="single"/>
        </w:rPr>
        <w:t>úbytku</w:t>
      </w:r>
      <w:r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>
        <w:rPr>
          <w:rFonts w:ascii="Arial Narrow" w:hAnsi="Arial Narrow" w:cs="Arial Narrow"/>
          <w:sz w:val="22"/>
          <w:szCs w:val="22"/>
          <w:u w:val="single"/>
        </w:rPr>
        <w:t>základné pravidlo</w:t>
      </w:r>
      <w:r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ZoU).</w:t>
      </w:r>
      <w:r>
        <w:rPr>
          <w:rFonts w:ascii="Arial Narrow" w:hAnsi="Arial Narrow" w:cs="Arial Narrow"/>
          <w:b/>
          <w:sz w:val="22"/>
          <w:szCs w:val="22"/>
        </w:rPr>
        <w:t xml:space="preserve"> </w:t>
      </w:r>
    </w:p>
    <w:p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>
        <w:rPr>
          <w:rFonts w:ascii="Arial Narrow" w:hAnsi="Arial Narrow" w:cs="Arial Narrow"/>
          <w:sz w:val="22"/>
          <w:szCs w:val="22"/>
        </w:rPr>
        <w:t xml:space="preserve"> (§ 27/9 ZoU).</w:t>
      </w:r>
    </w:p>
    <w:p/>
    <w:p>
      <w:pPr>
        <w:pStyle w:val="3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g) </w:t>
      </w:r>
      <w:r>
        <w:rPr>
          <w:rFonts w:ascii="Arial Narrow" w:hAnsi="Arial Narrow" w:cs="Arial Narrow"/>
          <w:bCs w:val="0"/>
          <w:sz w:val="22"/>
          <w:szCs w:val="22"/>
        </w:rPr>
        <w:t>Tvorba odpisového plánu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18"/>
        <w:gridCol w:w="1013"/>
        <w:gridCol w:w="2107"/>
        <w:gridCol w:w="226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18" w:type="dxa"/>
          </w:tcPr>
          <w:p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Dlhodobý hmotný a nehmotný</w:t>
            </w:r>
          </w:p>
          <w:p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odpisovaný majetok</w:t>
            </w:r>
          </w:p>
        </w:tc>
        <w:tc>
          <w:tcPr>
            <w:tcW w:w="1013" w:type="dxa"/>
          </w:tcPr>
          <w:p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18" w:type="dxa"/>
          </w:tcPr>
          <w:p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18" w:type="dxa"/>
          </w:tcPr>
          <w:p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18" w:type="dxa"/>
          </w:tcPr>
          <w:p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20</w:t>
            </w:r>
          </w:p>
        </w:tc>
        <w:tc>
          <w:tcPr>
            <w:tcW w:w="2268" w:type="dxa"/>
          </w:tcPr>
          <w:p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18" w:type="dxa"/>
          </w:tcPr>
          <w:p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Počítače s príslušenstvom</w:t>
            </w:r>
          </w:p>
        </w:tc>
        <w:tc>
          <w:tcPr>
            <w:tcW w:w="1013" w:type="dxa"/>
          </w:tcPr>
          <w:p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18" w:type="dxa"/>
          </w:tcPr>
          <w:p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18" w:type="dxa"/>
          </w:tcPr>
          <w:p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18" w:type="dxa"/>
          </w:tcPr>
          <w:p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4-12</w:t>
            </w:r>
          </w:p>
        </w:tc>
        <w:tc>
          <w:tcPr>
            <w:tcW w:w="2268" w:type="dxa"/>
          </w:tcPr>
          <w:p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8,33-25</w:t>
            </w:r>
          </w:p>
        </w:tc>
      </w:tr>
    </w:tbl>
    <w:p>
      <w:pPr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 </w:t>
      </w:r>
    </w:p>
    <w:p>
      <w:pPr>
        <w:spacing w:after="120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  <w:u w:val="single"/>
        </w:rPr>
        <w:t>Komentár k odpisovému plánu</w:t>
      </w:r>
      <w:r>
        <w:rPr>
          <w:rFonts w:ascii="Arial Narrow" w:hAnsi="Arial Narrow"/>
          <w:sz w:val="22"/>
          <w:szCs w:val="22"/>
        </w:rPr>
        <w:t xml:space="preserve">: </w:t>
      </w:r>
    </w:p>
    <w:p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UJ začína majetok odpisovať v mesiaci, kedy bol </w:t>
      </w:r>
      <w:r>
        <w:rPr>
          <w:rFonts w:ascii="Arial Narrow" w:hAnsi="Arial Narrow" w:cs="Arial"/>
          <w:sz w:val="22"/>
          <w:szCs w:val="22"/>
          <w:u w:val="single"/>
        </w:rPr>
        <w:t>zaradený do užívania</w:t>
      </w:r>
      <w:r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v súlade s účtovnými odpismy.</w:t>
      </w:r>
    </w:p>
    <w:p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UJ používa </w:t>
      </w:r>
      <w:r>
        <w:rPr>
          <w:rFonts w:ascii="Arial Narrow" w:hAnsi="Arial Narrow" w:cs="Arial"/>
          <w:sz w:val="22"/>
          <w:szCs w:val="22"/>
          <w:u w:val="single"/>
        </w:rPr>
        <w:t>rovnomerné odpisovanie</w:t>
      </w:r>
      <w:r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Fibu (taktiež daňové odpisy podľa zákona o dani z príjmov).</w:t>
      </w:r>
    </w:p>
    <w:p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>
        <w:rPr>
          <w:rFonts w:ascii="Arial Narrow" w:hAnsi="Arial Narrow" w:cs="Arial"/>
          <w:sz w:val="22"/>
          <w:szCs w:val="22"/>
          <w:u w:val="single"/>
        </w:rPr>
        <w:t>súbory hnuteľných vecí</w:t>
      </w:r>
      <w:r>
        <w:rPr>
          <w:rFonts w:ascii="Arial Narrow" w:hAnsi="Arial Narrow" w:cs="Arial"/>
          <w:sz w:val="22"/>
          <w:szCs w:val="22"/>
        </w:rPr>
        <w:t xml:space="preserve"> (napr. počítačová sieť, nábytková zostava). UJ nepoužíva komponentné odpisovanie (odpisovanie častí majetku - komponentov).</w:t>
      </w:r>
    </w:p>
    <w:p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UJ nepoužila </w:t>
      </w:r>
      <w:r>
        <w:rPr>
          <w:rFonts w:ascii="Arial Narrow" w:hAnsi="Arial Narrow" w:cs="Arial Narrow"/>
          <w:sz w:val="22"/>
          <w:szCs w:val="22"/>
          <w:u w:val="single"/>
        </w:rPr>
        <w:t>jednorazový odpis</w:t>
      </w:r>
      <w:r>
        <w:rPr>
          <w:rFonts w:ascii="Arial Narrow" w:hAnsi="Arial Narrow" w:cs="Arial Narrow"/>
          <w:b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dlhodobého majetku z dôvodu jednorazového trvalého zníženia hodnoty majetku (§ 21/5 PU).</w:t>
      </w:r>
    </w:p>
    <w:p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ÚJ </w:t>
      </w:r>
      <w:r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>
        <w:rPr>
          <w:rFonts w:ascii="Arial Narrow" w:hAnsi="Arial Narrow"/>
          <w:sz w:val="22"/>
          <w:szCs w:val="22"/>
        </w:rPr>
        <w:t xml:space="preserve"> - položky pod 2 400 eur jednotkovej ceny so životnosťou nad jeden rok (§ 13/2 PU).</w:t>
      </w:r>
    </w:p>
    <w:p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ÚJ </w:t>
      </w:r>
      <w:r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>
        <w:rPr>
          <w:rFonts w:ascii="Arial Narrow" w:hAnsi="Arial Narrow"/>
          <w:sz w:val="22"/>
          <w:szCs w:val="22"/>
        </w:rPr>
        <w:t xml:space="preserve"> - položky pod 1 700 eur jednotkovej ceny so životnosťou nad jeden rok (§ 13/6 PU).</w:t>
      </w:r>
    </w:p>
    <w:p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</w:t>
      </w:r>
      <w:r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>
        <w:rPr>
          <w:rFonts w:ascii="Arial Narrow" w:hAnsi="Arial Narrow" w:cs="Arial Narrow"/>
          <w:sz w:val="22"/>
          <w:szCs w:val="22"/>
        </w:rPr>
        <w:t xml:space="preserve"> do odpisovaného dlhodobého majetku – technické zhodnotenie pod 1 700 eur za účtovné obdobie (§ 21/3 PU; § 29/2 ZDP).</w:t>
      </w:r>
    </w:p>
    <w:p>
      <w:pPr>
        <w:numPr>
          <w:ilvl w:val="0"/>
          <w:numId w:val="4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</w:t>
      </w:r>
      <w:r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>
        <w:rPr>
          <w:rFonts w:ascii="Arial Narrow" w:hAnsi="Arial Narrow" w:cs="Arial Narrow"/>
          <w:sz w:val="22"/>
          <w:szCs w:val="22"/>
        </w:rPr>
        <w:t xml:space="preserve"> do obstarávacej ceny odpisovaného dlhodobého hmotného majetku alebo dlhodobého nehmotného majetku (§ 34/1 PU; § 35/2/h PU).</w:t>
      </w:r>
    </w:p>
    <w:p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>
      <w:pPr>
        <w:pStyle w:val="3"/>
        <w:jc w:val="both"/>
        <w:rPr>
          <w:rFonts w:ascii="Arial Narrow" w:hAnsi="Arial Narrow" w:cs="Arial Narrow"/>
          <w:b w:val="0"/>
          <w:bCs w:val="0"/>
          <w:sz w:val="22"/>
          <w:szCs w:val="22"/>
          <w:lang w:val="sk-SK"/>
        </w:rPr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-</w:t>
      </w:r>
    </w:p>
    <w:p>
      <w:pPr>
        <w:pStyle w:val="3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>
      <w:pPr>
        <w:pStyle w:val="3"/>
        <w:jc w:val="both"/>
        <w:rPr>
          <w:rFonts w:ascii="Arial Narrow" w:hAnsi="Arial Narrow" w:cs="Arial Narrow"/>
          <w:sz w:val="22"/>
          <w:szCs w:val="22"/>
          <w:lang w:val="sk-SK"/>
        </w:rPr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5) </w:t>
      </w:r>
      <w:r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rokov. Účtovná jednotka môže uviesť aj informácie o oprave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  <w:r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nenastali</w:t>
      </w:r>
    </w:p>
    <w:tbl>
      <w:tblPr>
        <w:tblStyle w:val="5"/>
        <w:tblW w:w="4942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75"/>
        <w:gridCol w:w="1039"/>
        <w:gridCol w:w="1039"/>
        <w:gridCol w:w="1928"/>
        <w:gridCol w:w="25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01" w:type="pct"/>
            <w:shd w:val="clear" w:color="auto" w:fill="auto"/>
          </w:tcPr>
          <w:p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01" w:type="pct"/>
            <w:shd w:val="clear" w:color="auto" w:fill="auto"/>
          </w:tcPr>
          <w:p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01" w:type="pct"/>
            <w:shd w:val="clear" w:color="auto" w:fill="auto"/>
          </w:tcPr>
          <w:p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  <w:r>
        <w:rPr>
          <w:rFonts w:ascii="Arial Narrow" w:hAnsi="Arial Narrow" w:cs="Arial Narrow"/>
          <w:sz w:val="22"/>
          <w:szCs w:val="22"/>
          <w:u w:val="single"/>
        </w:rPr>
        <w:t>Vysvetlivky k oprave chýb minulých účtovných období:</w:t>
      </w:r>
    </w:p>
    <w:p>
      <w:pPr>
        <w:numPr>
          <w:ilvl w:val="0"/>
          <w:numId w:val="5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Po schválení účtovnej závierky na valnom zhromaždení už nemožno otvárať účtovné knihy minulých účtovných období a prípadné opravy sa vykonajú v bežnom účtovnom období (§ 16/10,11 ZoU).</w:t>
      </w:r>
    </w:p>
    <w:p>
      <w:pPr>
        <w:numPr>
          <w:ilvl w:val="0"/>
          <w:numId w:val="5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Opravy nevýznamných nákladov a nevýznamných výnosov minulých účtovných období sa účtujú ako výsledkové účtovné prípady bežného účtovného obdobia (§ 5/1 PU).  </w:t>
      </w:r>
    </w:p>
    <w:p>
      <w:pPr>
        <w:numPr>
          <w:ilvl w:val="0"/>
          <w:numId w:val="5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Významné opravy chýb minulých účtovných období sa účtujú (§ 59/13 PU) - voči minulým výsledkom hospodárenia (voči vlastnému imaniu na účet 428 alebo 429). </w:t>
      </w:r>
    </w:p>
    <w:p>
      <w:pPr>
        <w:numPr>
          <w:ilvl w:val="0"/>
          <w:numId w:val="5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Hranicu významnosti si UJ stanoví individuálne v internej účtovnej smernici (napr. 1 tisícina z brutto aktív).</w:t>
      </w:r>
    </w:p>
    <w:p>
      <w:pPr>
        <w:numPr>
          <w:ilvl w:val="0"/>
          <w:numId w:val="5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Pri ukladaní pokuty za nesprávnosti v účtovníctve prihliadne daňový úrad aj na to, či UJ písomne ohlásila obsah a sumu vykonanej opravy chýb minulých účtovných období (§ 38/5 ZoU).</w:t>
      </w:r>
    </w:p>
    <w:p>
      <w:pPr>
        <w:numPr>
          <w:ilvl w:val="0"/>
          <w:numId w:val="5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Opravy chýb minulých účtovných období sa daňovo vysporiadajú podľa pravidiel v zákone o dani z príjmov (§ 17/15,29 ZDP) a pravidiel v daňovom poriadku (§ 16). </w:t>
      </w:r>
    </w:p>
    <w:p>
      <w:pPr>
        <w:jc w:val="both"/>
        <w:rPr>
          <w:rFonts w:ascii="Arial Narrow" w:hAnsi="Arial Narrow" w:cs="Arial Narrow"/>
          <w:sz w:val="22"/>
          <w:szCs w:val="22"/>
        </w:rPr>
      </w:pPr>
    </w:p>
    <w:p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IV – INFORMÁCIE, KTORÉ VYSVETĽUJÚ A DOPĹŇAJÚ SÚVAHU A VÝKAZ ZISKOV A STRÁT</w:t>
      </w:r>
    </w:p>
    <w:p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a) Dlhodobý nehmotný majetok, ktorým je </w:t>
      </w:r>
      <w:r>
        <w:rPr>
          <w:rFonts w:ascii="Arial Narrow" w:hAnsi="Arial Narrow" w:cs="Arial Narrow"/>
          <w:sz w:val="22"/>
          <w:szCs w:val="22"/>
          <w:u w:val="single"/>
        </w:rPr>
        <w:t>goodwill alebo záporný goodwill</w:t>
      </w:r>
      <w:r>
        <w:rPr>
          <w:rFonts w:ascii="Arial Narrow" w:hAnsi="Arial Narrow" w:cs="Arial Narrow"/>
          <w:b/>
          <w:sz w:val="22"/>
          <w:szCs w:val="22"/>
        </w:rPr>
        <w:t xml:space="preserve"> - </w:t>
      </w:r>
      <w:r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 -</w:t>
      </w:r>
    </w:p>
    <w:p>
      <w:pPr>
        <w:jc w:val="both"/>
        <w:rPr>
          <w:rFonts w:ascii="Arial Narrow" w:hAnsi="Arial Narrow" w:cs="Arial Narrow"/>
          <w:sz w:val="22"/>
          <w:szCs w:val="22"/>
        </w:rPr>
      </w:pPr>
    </w:p>
    <w:p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[Vysvetlivky: Záporný goodwill sa účtovne odpíše do výnosov (075/551) jednorázovo v roku jeho vzniku (§ 37 PU). Daňovo sa goodwill z podnikových kombinácií spravidla odpisuje najdlhšie počas 7 rokov podľa pravidiel v zákone o dani z príjmov (§ 17/11; § 17a - 17e ZDP)]</w:t>
      </w:r>
    </w:p>
    <w:p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2) Informácie o významných </w:t>
      </w:r>
      <w:r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derivátmi (§ 16 PU):</w:t>
      </w:r>
      <w:r>
        <w:rPr>
          <w:rFonts w:ascii="Arial Narrow" w:hAnsi="Arial Narrow" w:cs="Arial Narrow"/>
          <w:sz w:val="22"/>
          <w:szCs w:val="22"/>
        </w:rPr>
        <w:t xml:space="preserve"> -</w:t>
      </w:r>
    </w:p>
    <w:p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Pritom sa uvádza forma tohto zabezpečenia a uvádza sa zmena reálnej hodnoty v priebehu účtovného obdobia (§ 27 ZoU). Pre každý druh derivátov sa uvádza informácia o rozsahu a povahe týchto derivátov vrátane významných podmienok, ktoré môžu ovplyvniť sumu, načasovanie a mieru istoty budúcich peňažných tokov a </w:t>
      </w:r>
      <w:r>
        <w:rPr>
          <w:rFonts w:ascii="Arial Narrow" w:hAnsi="Arial Narrow" w:cs="Arial Narrow"/>
          <w:sz w:val="22"/>
          <w:szCs w:val="22"/>
          <w:u w:val="single"/>
        </w:rPr>
        <w:t>v tabuľkovej forme</w:t>
      </w:r>
      <w:r>
        <w:rPr>
          <w:rFonts w:ascii="Arial Narrow" w:hAnsi="Arial Narrow" w:cs="Arial Narrow"/>
          <w:sz w:val="22"/>
          <w:szCs w:val="22"/>
        </w:rPr>
        <w:t xml:space="preserve"> informácia zobrazujúca pohyby v oceňovacích rozdieloch </w:t>
      </w:r>
      <w:r>
        <w:rPr>
          <w:rFonts w:ascii="Arial Narrow" w:hAnsi="Arial Narrow" w:cs="Arial Narrow"/>
          <w:sz w:val="22"/>
          <w:szCs w:val="22"/>
          <w:u w:val="single"/>
        </w:rPr>
        <w:t>z ocenenia reálnou hodnotou</w:t>
      </w:r>
      <w:r>
        <w:rPr>
          <w:rFonts w:ascii="Arial Narrow" w:hAnsi="Arial Narrow" w:cs="Arial Narrow"/>
          <w:sz w:val="22"/>
          <w:szCs w:val="22"/>
        </w:rPr>
        <w:t xml:space="preserve"> počas účtovného obdobia.</w:t>
      </w:r>
    </w:p>
    <w:tbl>
      <w:tblPr>
        <w:tblStyle w:val="5"/>
        <w:tblW w:w="4944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654"/>
        <w:gridCol w:w="1135"/>
        <w:gridCol w:w="1135"/>
        <w:gridCol w:w="1844"/>
        <w:gridCol w:w="183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" w:hRule="atLeast"/>
        </w:trPr>
        <w:tc>
          <w:tcPr>
            <w:tcW w:w="1902" w:type="pct"/>
            <w:shd w:val="clear" w:color="auto" w:fill="auto"/>
          </w:tcPr>
          <w:p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Názov položky derivátov</w:t>
            </w:r>
          </w:p>
        </w:tc>
        <w:tc>
          <w:tcPr>
            <w:tcW w:w="591" w:type="pct"/>
            <w:shd w:val="clear" w:color="auto" w:fill="auto"/>
          </w:tcPr>
          <w:p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91" w:type="pct"/>
            <w:shd w:val="clear" w:color="auto" w:fill="auto"/>
          </w:tcPr>
          <w:p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960" w:type="pct"/>
            <w:shd w:val="clear" w:color="auto" w:fill="auto"/>
          </w:tcPr>
          <w:p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957" w:type="pct"/>
            <w:shd w:val="clear" w:color="auto" w:fill="auto"/>
          </w:tcPr>
          <w:p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 Vplyv na imanie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" w:hRule="atLeast"/>
        </w:trPr>
        <w:tc>
          <w:tcPr>
            <w:tcW w:w="1902" w:type="pct"/>
            <w:shd w:val="clear" w:color="auto" w:fill="auto"/>
          </w:tcPr>
          <w:p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" w:hRule="atLeast"/>
        </w:trPr>
        <w:tc>
          <w:tcPr>
            <w:tcW w:w="1902" w:type="pct"/>
            <w:shd w:val="clear" w:color="auto" w:fill="auto"/>
          </w:tcPr>
          <w:p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>
      <w:pPr>
        <w:spacing w:before="120"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  <w:u w:val="single"/>
        </w:rPr>
        <w:t>Komentár</w:t>
      </w:r>
      <w:r>
        <w:rPr>
          <w:rFonts w:ascii="Arial Narrow" w:hAnsi="Arial Narrow" w:cs="Arial Narrow"/>
          <w:sz w:val="22"/>
          <w:szCs w:val="22"/>
        </w:rPr>
        <w:t>: Prvotné ocenenie reálnou hodnotou (§ 25 ZoU) počas účtovného obdobia – bez náplne.</w:t>
      </w:r>
    </w:p>
    <w:p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[Vysvetlivky:</w:t>
      </w:r>
      <w:r>
        <w:rPr>
          <w:rFonts w:ascii="Arial Narrow" w:hAnsi="Arial Narrow" w:cs="Arial Narrow"/>
          <w:b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  <w:u w:val="single"/>
        </w:rPr>
        <w:t>Reálnou hodnotou</w:t>
      </w:r>
      <w:r>
        <w:rPr>
          <w:rFonts w:ascii="Arial Narrow" w:hAnsi="Arial Narrow" w:cs="Arial Narrow"/>
          <w:sz w:val="22"/>
          <w:szCs w:val="22"/>
        </w:rPr>
        <w:t xml:space="preserve"> – sa k závierkovému dňu oceňujú, okrem iného, aj deriváty a majetok a záväzky zabezpečené derivátmi (§ 27/1 ZoU); precenenie na reálnu hodnotu k závierkovému dňu sa účtuje (§ 16 PU) - výsledkovo (účty 56x, 66x) alebo súvahovo (účet 414)].</w:t>
      </w:r>
    </w:p>
    <w:p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3a) Celková suma </w:t>
      </w:r>
      <w:r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Style w:val="5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85"/>
        <w:gridCol w:w="2553"/>
        <w:gridCol w:w="237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3" w:hRule="atLeast"/>
          <w:jc w:val="center"/>
        </w:trPr>
        <w:tc>
          <w:tcPr>
            <w:tcW w:w="2463" w:type="pct"/>
            <w:vAlign w:val="center"/>
          </w:tcPr>
          <w:p>
            <w:pPr>
              <w:pStyle w:val="21"/>
            </w:pPr>
            <w:r>
              <w:t>Názov položky</w:t>
            </w:r>
          </w:p>
        </w:tc>
        <w:tc>
          <w:tcPr>
            <w:tcW w:w="1314" w:type="pct"/>
            <w:noWrap/>
            <w:vAlign w:val="center"/>
          </w:tcPr>
          <w:p>
            <w:pPr>
              <w:pStyle w:val="21"/>
            </w:pPr>
            <w:r>
              <w:t>Bežné účtovné obdobie</w:t>
            </w:r>
          </w:p>
        </w:tc>
        <w:tc>
          <w:tcPr>
            <w:tcW w:w="1223" w:type="pct"/>
            <w:vAlign w:val="center"/>
          </w:tcPr>
          <w:p>
            <w:pPr>
              <w:pStyle w:val="21"/>
            </w:pPr>
            <w:r>
              <w:t>Bezprostredne predchádzajúce účtovné obdobie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  <w:jc w:val="center"/>
        </w:trPr>
        <w:tc>
          <w:tcPr>
            <w:tcW w:w="2463" w:type="pct"/>
            <w:vAlign w:val="center"/>
          </w:tcPr>
          <w:p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23" w:type="pct"/>
            <w:vAlign w:val="center"/>
          </w:tcPr>
          <w:p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0</w:t>
            </w:r>
          </w:p>
        </w:tc>
      </w:tr>
    </w:tbl>
    <w:p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[Vysvetlivky: Zostatková doba splatnosti záväzku alebo jeho časti – je rozdiel medzi dohodnutou dobou splatnosti záväzkov a závierkovým dňom (§ 12 PU).]</w:t>
      </w:r>
    </w:p>
    <w:p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3b) Celková suma </w:t>
      </w:r>
      <w:r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>
        <w:rPr>
          <w:rFonts w:ascii="Arial Narrow" w:hAnsi="Arial Narrow" w:cs="Arial Narrow"/>
          <w:sz w:val="22"/>
          <w:szCs w:val="22"/>
        </w:rPr>
        <w:t xml:space="preserve"> – opis a spôsob zabezpečenia záväzkov: -</w:t>
      </w:r>
    </w:p>
    <w:tbl>
      <w:tblPr>
        <w:tblStyle w:val="5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4396"/>
        <w:gridCol w:w="2831"/>
        <w:gridCol w:w="241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4201" w:type="dxa"/>
            <w:vMerge w:val="restart"/>
            <w:vAlign w:val="center"/>
          </w:tcPr>
          <w:p>
            <w:pPr>
              <w:pStyle w:val="21"/>
            </w:pPr>
            <w:r>
              <w:t>Zabezpečené záväzky</w:t>
            </w:r>
          </w:p>
        </w:tc>
        <w:tc>
          <w:tcPr>
            <w:tcW w:w="5010" w:type="dxa"/>
            <w:gridSpan w:val="2"/>
            <w:vAlign w:val="center"/>
          </w:tcPr>
          <w:p>
            <w:pPr>
              <w:pStyle w:val="21"/>
            </w:pPr>
            <w:r>
              <w:t>Bežné účtovné obdobie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4201" w:type="dxa"/>
            <w:vMerge w:val="continue"/>
            <w:vAlign w:val="center"/>
          </w:tcPr>
          <w:p>
            <w:pPr>
              <w:pStyle w:val="21"/>
              <w:jc w:val="both"/>
            </w:pPr>
          </w:p>
        </w:tc>
        <w:tc>
          <w:tcPr>
            <w:tcW w:w="2706" w:type="dxa"/>
            <w:vAlign w:val="center"/>
          </w:tcPr>
          <w:p>
            <w:pPr>
              <w:pStyle w:val="21"/>
            </w:pPr>
            <w:r>
              <w:t xml:space="preserve">Spôsob </w:t>
            </w:r>
          </w:p>
          <w:p>
            <w:pPr>
              <w:pStyle w:val="21"/>
            </w:pPr>
            <w:r>
              <w:t>zabezpečenia</w:t>
            </w:r>
          </w:p>
        </w:tc>
        <w:tc>
          <w:tcPr>
            <w:tcW w:w="2304" w:type="dxa"/>
            <w:vAlign w:val="center"/>
          </w:tcPr>
          <w:p>
            <w:pPr>
              <w:pStyle w:val="21"/>
            </w:pPr>
            <w:r>
              <w:t>Hodnota záväzkov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69" w:hRule="atLeast"/>
          <w:jc w:val="center"/>
        </w:trPr>
        <w:tc>
          <w:tcPr>
            <w:tcW w:w="4201" w:type="dxa"/>
            <w:vAlign w:val="center"/>
          </w:tcPr>
          <w:p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706" w:type="dxa"/>
            <w:vAlign w:val="center"/>
          </w:tcPr>
          <w:p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záložné právo</w:t>
            </w:r>
          </w:p>
        </w:tc>
        <w:tc>
          <w:tcPr>
            <w:tcW w:w="2304" w:type="dxa"/>
            <w:vAlign w:val="center"/>
          </w:tcPr>
          <w:p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117" w:hRule="atLeast"/>
          <w:jc w:val="center"/>
        </w:trPr>
        <w:tc>
          <w:tcPr>
            <w:tcW w:w="4201" w:type="dxa"/>
            <w:vAlign w:val="center"/>
          </w:tcPr>
          <w:p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706" w:type="dxa"/>
            <w:vAlign w:val="center"/>
          </w:tcPr>
          <w:p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04" w:type="dxa"/>
            <w:vAlign w:val="center"/>
          </w:tcPr>
          <w:p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117" w:hRule="atLeast"/>
          <w:jc w:val="center"/>
        </w:trPr>
        <w:tc>
          <w:tcPr>
            <w:tcW w:w="4201" w:type="dxa"/>
            <w:vAlign w:val="center"/>
          </w:tcPr>
          <w:p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706" w:type="dxa"/>
            <w:vAlign w:val="center"/>
          </w:tcPr>
          <w:p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304" w:type="dxa"/>
            <w:vAlign w:val="center"/>
          </w:tcPr>
          <w:p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>
        <w:rPr>
          <w:rFonts w:ascii="Arial Narrow" w:hAnsi="Arial Narrow" w:cs="Arial Narrow"/>
          <w:sz w:val="22"/>
          <w:szCs w:val="22"/>
        </w:rPr>
        <w:t>: -</w:t>
      </w:r>
    </w:p>
    <w:p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a) dôvod nadobudnutia vlastných akcií počas účtovného obdobia:</w:t>
      </w:r>
    </w:p>
    <w:p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b1) počet a menovitá hodnota nadobudnutých vlastných akcií počas účtovného obdobia a počet a menovitá hodnota prevedených vlastných akcií počas účtovného obdobia, pričom sa uvádza percentuálna hodnota týchto vlastných akcií na upísanom základnom imaní:</w:t>
      </w:r>
    </w:p>
    <w:p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b2) počet a protihodnota, za ktorú sa vlastné akcie počas účtovného obdobia nadobudli a počet a protihodnota, za ktorú sa vlastné akcie počas účtovného obdobia previedli na inú osobu:</w:t>
      </w:r>
    </w:p>
    <w:p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c) počet, menovitá hodnota a protihodnota, za ktorú sa vlastné akcie nadobudli a ktoré účtovná jednotka má v držbe k poslednému dňu účtovného obdobia; uvádza sa aj ich percentuálny podiel na upísanom základnom imaní:</w:t>
      </w:r>
    </w:p>
    <w:p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5) Informácie o sume a dôvodoch vzniku jednotlivých položiek </w:t>
      </w:r>
      <w:r>
        <w:rPr>
          <w:rFonts w:ascii="Arial Narrow" w:hAnsi="Arial Narrow" w:cs="Arial Narrow"/>
          <w:b/>
          <w:sz w:val="22"/>
          <w:szCs w:val="22"/>
        </w:rPr>
        <w:t>nákladov alebo výnosov</w:t>
      </w:r>
      <w:r>
        <w:rPr>
          <w:rFonts w:ascii="Arial Narrow" w:hAnsi="Arial Narrow" w:cs="Arial Narrow"/>
          <w:sz w:val="22"/>
          <w:szCs w:val="22"/>
        </w:rPr>
        <w:t xml:space="preserve">, ktoré majú </w:t>
      </w:r>
      <w:r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 -</w:t>
      </w:r>
    </w:p>
    <w:p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1a)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 -</w:t>
      </w:r>
    </w:p>
    <w:p>
      <w:pPr>
        <w:jc w:val="both"/>
        <w:rPr>
          <w:rFonts w:ascii="Arial Narrow" w:hAnsi="Arial Narrow" w:cs="Arial Narrow"/>
          <w:sz w:val="22"/>
          <w:szCs w:val="22"/>
        </w:rPr>
      </w:pPr>
    </w:p>
    <w:p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1b)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 -</w:t>
      </w:r>
    </w:p>
    <w:p>
      <w:pPr>
        <w:numPr>
          <w:ilvl w:val="0"/>
          <w:numId w:val="6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>
      <w:pPr>
        <w:numPr>
          <w:ilvl w:val="0"/>
          <w:numId w:val="6"/>
        </w:numPr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>
      <w:pPr>
        <w:jc w:val="both"/>
        <w:rPr>
          <w:rFonts w:ascii="Arial Narrow" w:hAnsi="Arial Narrow" w:cs="Arial Narrow"/>
          <w:sz w:val="22"/>
          <w:szCs w:val="22"/>
        </w:rPr>
      </w:pPr>
    </w:p>
    <w:p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 -</w:t>
      </w:r>
    </w:p>
    <w:p>
      <w:pPr>
        <w:jc w:val="both"/>
        <w:rPr>
          <w:rFonts w:ascii="Arial Narrow" w:hAnsi="Arial Narrow" w:cs="Arial Narrow"/>
          <w:sz w:val="22"/>
          <w:szCs w:val="22"/>
        </w:rPr>
      </w:pPr>
    </w:p>
    <w:p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 -</w:t>
      </w:r>
    </w:p>
    <w:tbl>
      <w:tblPr>
        <w:tblStyle w:val="5"/>
        <w:tblW w:w="4944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11"/>
        <w:gridCol w:w="1701"/>
        <w:gridCol w:w="159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  <w:jc w:val="center"/>
        </w:trPr>
        <w:tc>
          <w:tcPr>
            <w:tcW w:w="0" w:type="auto"/>
            <w:noWrap/>
            <w:vAlign w:val="center"/>
          </w:tcPr>
          <w:p>
            <w:pPr>
              <w:pStyle w:val="21"/>
            </w:pPr>
            <w:r>
              <w:t>Názov podsúvahovej položky</w:t>
            </w:r>
          </w:p>
        </w:tc>
        <w:tc>
          <w:tcPr>
            <w:tcW w:w="1701" w:type="dxa"/>
            <w:noWrap/>
            <w:vAlign w:val="center"/>
          </w:tcPr>
          <w:p>
            <w:pPr>
              <w:pStyle w:val="21"/>
            </w:pPr>
            <w:r>
              <w:t>Bežné účtovné obdobie</w:t>
            </w:r>
          </w:p>
        </w:tc>
        <w:tc>
          <w:tcPr>
            <w:tcW w:w="1593" w:type="dxa"/>
            <w:vAlign w:val="center"/>
          </w:tcPr>
          <w:p>
            <w:pPr>
              <w:pStyle w:val="21"/>
            </w:pPr>
            <w:r>
              <w:t>Bezprostredne predchádzajúce účtovné obdobie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" w:hRule="atLeast"/>
          <w:jc w:val="center"/>
        </w:trPr>
        <w:tc>
          <w:tcPr>
            <w:tcW w:w="0" w:type="auto"/>
            <w:noWrap/>
            <w:vAlign w:val="center"/>
          </w:tcPr>
          <w:p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</w:tcPr>
          <w:p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</w:tcPr>
          <w:p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jc w:val="center"/>
        </w:trPr>
        <w:tc>
          <w:tcPr>
            <w:tcW w:w="0" w:type="auto"/>
            <w:noWrap/>
            <w:vAlign w:val="center"/>
          </w:tcPr>
          <w:p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</w:tcPr>
          <w:p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</w:tcPr>
          <w:p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" w:hRule="atLeast"/>
          <w:jc w:val="center"/>
        </w:trPr>
        <w:tc>
          <w:tcPr>
            <w:tcW w:w="0" w:type="auto"/>
            <w:noWrap/>
            <w:vAlign w:val="center"/>
          </w:tcPr>
          <w:p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Pohľadávky z opcií</w:t>
            </w:r>
          </w:p>
        </w:tc>
        <w:tc>
          <w:tcPr>
            <w:tcW w:w="1701" w:type="dxa"/>
            <w:noWrap/>
            <w:vAlign w:val="center"/>
          </w:tcPr>
          <w:p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</w:tcPr>
          <w:p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" w:hRule="atLeast"/>
          <w:jc w:val="center"/>
        </w:trPr>
        <w:tc>
          <w:tcPr>
            <w:tcW w:w="0" w:type="auto"/>
            <w:noWrap/>
            <w:vAlign w:val="center"/>
          </w:tcPr>
          <w:p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Záväzky z opcií</w:t>
            </w:r>
          </w:p>
        </w:tc>
        <w:tc>
          <w:tcPr>
            <w:tcW w:w="1701" w:type="dxa"/>
            <w:noWrap/>
            <w:vAlign w:val="center"/>
          </w:tcPr>
          <w:p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" w:hRule="atLeast"/>
          <w:jc w:val="center"/>
        </w:trPr>
        <w:tc>
          <w:tcPr>
            <w:tcW w:w="0" w:type="auto"/>
            <w:noWrap/>
            <w:vAlign w:val="center"/>
          </w:tcPr>
          <w:p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" w:hRule="atLeast"/>
          <w:jc w:val="center"/>
        </w:trPr>
        <w:tc>
          <w:tcPr>
            <w:tcW w:w="0" w:type="auto"/>
            <w:noWrap/>
            <w:vAlign w:val="center"/>
          </w:tcPr>
          <w:p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>
      <w:pPr>
        <w:jc w:val="both"/>
        <w:rPr>
          <w:rFonts w:ascii="Arial Narrow" w:hAnsi="Arial Narrow" w:cs="Arial Narrow"/>
          <w:sz w:val="22"/>
          <w:szCs w:val="22"/>
        </w:rPr>
      </w:pPr>
    </w:p>
    <w:p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Článok VI – UDALOSTI, KTORÉ NASTALI PO ZÁVIERKOVOM DNI</w:t>
      </w:r>
    </w:p>
    <w:p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Uvádzajú sa informácie o charaktere a finančnom vplyve významných udalostí, ktoré nastali v čase po závierkovom dni - do dňa zostavenia účtovnej závierky (t.j. do dňa podpísania výkazov podľa § 17/5 ZoU) a ktoré nie sú zohľadnené v súvahe alebo vo výkaze ziskov a strát, napríklad: -</w:t>
      </w:r>
    </w:p>
    <w:p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a) </w:t>
      </w:r>
      <w:r>
        <w:rPr>
          <w:rFonts w:ascii="Arial Narrow" w:hAnsi="Arial Narrow" w:cs="Arial Narrow"/>
          <w:sz w:val="22"/>
          <w:szCs w:val="22"/>
          <w:u w:val="single"/>
        </w:rPr>
        <w:t>Pokles alebo zvýšenie trhovej ceny finančného majetku</w:t>
      </w:r>
      <w:r>
        <w:rPr>
          <w:rFonts w:ascii="Arial Narrow" w:hAnsi="Arial Narrow" w:cs="Arial Narrow"/>
          <w:sz w:val="22"/>
          <w:szCs w:val="22"/>
        </w:rPr>
        <w:t xml:space="preserve"> ako dôsledku udalostí, ktoré nastali po dni, ku ktorému sa zostavuje účtovná závierka do dňa zostavenia účtovnej závierky s uvedením dôvodu týchto zmien: </w:t>
      </w:r>
    </w:p>
    <w:p>
      <w:pPr>
        <w:jc w:val="both"/>
        <w:rPr>
          <w:rFonts w:ascii="Arial Narrow" w:hAnsi="Arial Narrow" w:cs="Arial Narrow"/>
          <w:sz w:val="22"/>
          <w:szCs w:val="22"/>
        </w:rPr>
      </w:pPr>
    </w:p>
    <w:p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b) </w:t>
      </w:r>
      <w:r>
        <w:rPr>
          <w:rFonts w:ascii="Arial Narrow" w:hAnsi="Arial Narrow" w:cs="Arial Narrow"/>
          <w:sz w:val="22"/>
          <w:szCs w:val="22"/>
          <w:u w:val="single"/>
        </w:rPr>
        <w:t>Dôvody pre zmenu výšky rezerv a opravných položiek</w:t>
      </w:r>
      <w:r>
        <w:rPr>
          <w:rFonts w:ascii="Arial Narrow" w:hAnsi="Arial Narrow" w:cs="Arial Narrow"/>
          <w:sz w:val="22"/>
          <w:szCs w:val="22"/>
        </w:rPr>
        <w:t>, ktoré nastali v dôsledku udalostí po dni, ku ktorému sa zostavuje účtovná závierka do dňa zostavenia účtovnej závierky:</w:t>
      </w:r>
    </w:p>
    <w:p>
      <w:pPr>
        <w:jc w:val="both"/>
        <w:rPr>
          <w:rFonts w:ascii="Arial Narrow" w:hAnsi="Arial Narrow" w:cs="Arial Narrow"/>
          <w:sz w:val="22"/>
          <w:szCs w:val="22"/>
        </w:rPr>
      </w:pPr>
    </w:p>
    <w:p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</w:p>
    <w:p>
      <w:pPr>
        <w:jc w:val="both"/>
        <w:rPr>
          <w:rFonts w:ascii="Arial Narrow" w:hAnsi="Arial Narrow" w:cs="Arial Narrow"/>
          <w:sz w:val="22"/>
          <w:szCs w:val="22"/>
        </w:rPr>
      </w:pPr>
    </w:p>
    <w:p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</w:p>
    <w:p>
      <w:pPr>
        <w:jc w:val="both"/>
        <w:rPr>
          <w:rFonts w:ascii="Arial Narrow" w:hAnsi="Arial Narrow" w:cs="Arial Narrow"/>
          <w:sz w:val="22"/>
          <w:szCs w:val="22"/>
        </w:rPr>
      </w:pPr>
    </w:p>
    <w:p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</w:p>
    <w:p>
      <w:pPr>
        <w:jc w:val="both"/>
        <w:rPr>
          <w:rFonts w:ascii="Arial Narrow" w:hAnsi="Arial Narrow" w:cs="Arial Narrow"/>
          <w:sz w:val="22"/>
          <w:szCs w:val="22"/>
        </w:rPr>
      </w:pPr>
    </w:p>
    <w:p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</w:p>
    <w:p>
      <w:pPr>
        <w:jc w:val="both"/>
        <w:rPr>
          <w:rFonts w:ascii="Arial Narrow" w:hAnsi="Arial Narrow" w:cs="Arial Narrow"/>
          <w:sz w:val="22"/>
          <w:szCs w:val="22"/>
        </w:rPr>
      </w:pPr>
    </w:p>
    <w:p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</w:p>
    <w:p>
      <w:pPr>
        <w:jc w:val="both"/>
        <w:rPr>
          <w:rFonts w:ascii="Arial Narrow" w:hAnsi="Arial Narrow" w:cs="Arial Narrow"/>
          <w:sz w:val="22"/>
          <w:szCs w:val="22"/>
        </w:rPr>
      </w:pPr>
    </w:p>
    <w:p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</w:p>
    <w:p>
      <w:pPr>
        <w:jc w:val="both"/>
        <w:rPr>
          <w:rFonts w:ascii="Arial Narrow" w:hAnsi="Arial Narrow" w:cs="Arial Narrow"/>
          <w:sz w:val="22"/>
          <w:szCs w:val="22"/>
        </w:rPr>
      </w:pPr>
    </w:p>
    <w:p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</w:p>
    <w:p>
      <w:pPr>
        <w:jc w:val="both"/>
        <w:rPr>
          <w:rFonts w:ascii="Arial Narrow" w:hAnsi="Arial Narrow" w:cs="Arial Narrow"/>
          <w:sz w:val="22"/>
          <w:szCs w:val="22"/>
        </w:rPr>
      </w:pPr>
    </w:p>
    <w:p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</w:p>
    <w:p>
      <w:pPr>
        <w:jc w:val="both"/>
        <w:rPr>
          <w:rFonts w:ascii="Arial Narrow" w:hAnsi="Arial Narrow" w:cs="Arial Narrow"/>
          <w:sz w:val="22"/>
          <w:szCs w:val="22"/>
        </w:rPr>
      </w:pPr>
    </w:p>
    <w:p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[Vysvetlivky: </w:t>
      </w:r>
      <w:r>
        <w:rPr>
          <w:rFonts w:ascii="Arial Narrow" w:hAnsi="Arial Narrow" w:cs="Arial Narrow"/>
          <w:sz w:val="22"/>
          <w:szCs w:val="22"/>
          <w:u w:val="single"/>
        </w:rPr>
        <w:t>Následná udalosť</w:t>
      </w:r>
      <w:r>
        <w:rPr>
          <w:rFonts w:ascii="Arial Narrow" w:hAnsi="Arial Narrow" w:cs="Arial Narrow"/>
          <w:sz w:val="22"/>
          <w:szCs w:val="22"/>
        </w:rPr>
        <w:t xml:space="preserve"> – udalosť, ktorá sa stala následne po závierkovom dni do dňa podpísania výkazov – uvádza sa v poznámkach. </w:t>
      </w:r>
      <w:r>
        <w:rPr>
          <w:rFonts w:ascii="Arial Narrow" w:hAnsi="Arial Narrow" w:cs="Arial Narrow"/>
          <w:sz w:val="22"/>
          <w:szCs w:val="22"/>
          <w:u w:val="single"/>
        </w:rPr>
        <w:t>Upravujúci závierkový účtovný prípad</w:t>
      </w:r>
      <w:r>
        <w:rPr>
          <w:rFonts w:ascii="Arial Narrow" w:hAnsi="Arial Narrow" w:cs="Arial Narrow"/>
          <w:sz w:val="22"/>
          <w:szCs w:val="22"/>
        </w:rPr>
        <w:t xml:space="preserve"> – stal sa do závierkového dňa, len bol zistený do dňa podpísania výkazov – riadne sa účtuje do hlavnej knihy a riadne sa vykazuje vo výkazoch (§ 17/8 ZoU; § 2a; § 18/9; § 19/6; § 48/3; § 50/6 PU).]</w:t>
      </w:r>
    </w:p>
    <w:p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Článok VII – OSTATNÉ INFORMÁCIE</w:t>
      </w:r>
    </w:p>
    <w:p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1) Informácie o výlučnom práve poskytovať služby vo verejnom záujme:</w:t>
      </w:r>
    </w:p>
    <w:p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2) Informácie o osobitnej kategórii priemyselnej výroby (§ 23d/6 ZoU):</w:t>
      </w:r>
    </w:p>
    <w:p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3) Informácie o finančných vzťahoch s orgánmi verejnej moci (§ 23d/6 ZoU):</w:t>
      </w:r>
    </w:p>
    <w:sectPr>
      <w:headerReference r:id="rId4" w:type="first"/>
      <w:headerReference r:id="rId3" w:type="default"/>
      <w:footerReference r:id="rId5" w:type="default"/>
      <w:pgSz w:w="11907" w:h="16840"/>
      <w:pgMar w:top="1417" w:right="992" w:bottom="1417" w:left="1417" w:header="567" w:footer="567" w:gutter="0"/>
      <w:cols w:space="708" w:num="1"/>
      <w:docGrid w:linePitch="32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EE"/>
    <w:family w:val="roman"/>
    <w:pitch w:val="default"/>
    <w:sig w:usb0="E00006FF" w:usb1="420024FF" w:usb2="02000000" w:usb3="00000000" w:csb0="2000019F" w:csb1="00000000"/>
  </w:font>
  <w:font w:name="Arial Narrow">
    <w:panose1 w:val="020B0606020202030204"/>
    <w:charset w:val="EE"/>
    <w:family w:val="swiss"/>
    <w:pitch w:val="default"/>
    <w:sig w:usb0="00000287" w:usb1="00000800" w:usb2="00000000" w:usb3="00000000" w:csb0="2000009F" w:csb1="DFD70000"/>
  </w:font>
  <w:font w:name="Calibri">
    <w:panose1 w:val="020F0502020204030204"/>
    <w:charset w:val="EE"/>
    <w:family w:val="swiss"/>
    <w:pitch w:val="default"/>
    <w:sig w:usb0="E4002EFF" w:usb1="C000247B" w:usb2="00000009" w:usb3="00000000" w:csb0="200001FF" w:csb1="00000000"/>
  </w:font>
  <w:font w:name="Segoe UI">
    <w:panose1 w:val="020B0502040204020203"/>
    <w:charset w:val="EE"/>
    <w:family w:val="swiss"/>
    <w:pitch w:val="default"/>
    <w:sig w:usb0="E4002EFF" w:usb1="C000E47F" w:usb2="00000009" w:usb3="00000000" w:csb0="200001FF" w:csb1="00000000"/>
  </w:font>
  <w:font w:name="Arial">
    <w:panose1 w:val="020B0604020202020204"/>
    <w:charset w:val="EE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EE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jc w:val="right"/>
    </w:pPr>
    <w:r>
      <w:fldChar w:fldCharType="begin"/>
    </w:r>
    <w:r>
      <w:instrText xml:space="preserve">PAGE   \* MERGEFORMAT</w:instrText>
    </w:r>
    <w:r>
      <w:fldChar w:fldCharType="separate"/>
    </w:r>
    <w:r>
      <w:t>2</w:t>
    </w:r>
    <w:r>
      <w:fldChar w:fldCharType="end"/>
    </w:r>
  </w:p>
  <w:p>
    <w:pPr>
      <w:pStyle w:val="8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color="auto" w:sz="4" w:space="0"/>
      </w:rPr>
    </w:pPr>
    <w:r>
      <w:rPr>
        <w:rFonts w:ascii="Arial" w:hAnsi="Arial" w:cs="Arial"/>
        <w:sz w:val="22"/>
        <w:szCs w:val="22"/>
        <w:bdr w:val="single" w:color="auto" w:sz="4" w:space="0"/>
        <w:lang w:val="sk-SK"/>
      </w:rPr>
      <w:t>Po</w:t>
    </w:r>
    <w:r>
      <w:rPr>
        <w:rFonts w:ascii="Arial" w:hAnsi="Arial" w:cs="Arial"/>
        <w:spacing w:val="1"/>
        <w:sz w:val="22"/>
        <w:szCs w:val="22"/>
        <w:bdr w:val="single" w:color="auto" w:sz="4" w:space="0"/>
        <w:lang w:val="sk-SK"/>
      </w:rPr>
      <w:t>z</w:t>
    </w:r>
    <w:r>
      <w:rPr>
        <w:rFonts w:ascii="Arial" w:hAnsi="Arial" w:cs="Arial"/>
        <w:sz w:val="22"/>
        <w:szCs w:val="22"/>
        <w:bdr w:val="single" w:color="auto" w:sz="4" w:space="0"/>
        <w:lang w:val="sk-SK"/>
      </w:rPr>
      <w:t>n</w:t>
    </w:r>
    <w:r>
      <w:rPr>
        <w:rFonts w:ascii="Arial" w:hAnsi="Arial" w:cs="Arial"/>
        <w:spacing w:val="-1"/>
        <w:sz w:val="22"/>
        <w:szCs w:val="22"/>
        <w:bdr w:val="single" w:color="auto" w:sz="4" w:space="0"/>
        <w:lang w:val="sk-SK"/>
      </w:rPr>
      <w:t>á</w:t>
    </w:r>
    <w:r>
      <w:rPr>
        <w:rFonts w:ascii="Arial" w:hAnsi="Arial" w:cs="Arial"/>
        <w:sz w:val="22"/>
        <w:szCs w:val="22"/>
        <w:bdr w:val="single" w:color="auto" w:sz="4" w:space="0"/>
        <w:lang w:val="sk-SK"/>
      </w:rPr>
      <w:t>m</w:t>
    </w:r>
    <w:r>
      <w:rPr>
        <w:rFonts w:ascii="Arial" w:hAnsi="Arial" w:cs="Arial"/>
        <w:spacing w:val="2"/>
        <w:sz w:val="22"/>
        <w:szCs w:val="22"/>
        <w:bdr w:val="single" w:color="auto" w:sz="4" w:space="0"/>
        <w:lang w:val="sk-SK"/>
      </w:rPr>
      <w:t>k</w:t>
    </w:r>
    <w:r>
      <w:rPr>
        <w:rFonts w:ascii="Arial" w:hAnsi="Arial" w:cs="Arial"/>
        <w:sz w:val="22"/>
        <w:szCs w:val="22"/>
        <w:bdr w:val="single" w:color="auto" w:sz="4" w:space="0"/>
        <w:lang w:val="sk-SK"/>
      </w:rPr>
      <w:t>y</w:t>
    </w:r>
    <w:r>
      <w:rPr>
        <w:rFonts w:ascii="Arial" w:hAnsi="Arial" w:cs="Arial"/>
        <w:spacing w:val="-8"/>
        <w:sz w:val="22"/>
        <w:szCs w:val="22"/>
        <w:bdr w:val="single" w:color="auto" w:sz="4" w:space="0"/>
        <w:lang w:val="sk-SK"/>
      </w:rPr>
      <w:t xml:space="preserve"> </w:t>
    </w:r>
    <w:r>
      <w:rPr>
        <w:rFonts w:ascii="Arial" w:hAnsi="Arial" w:cs="Arial"/>
        <w:spacing w:val="1"/>
        <w:sz w:val="22"/>
        <w:szCs w:val="22"/>
        <w:bdr w:val="single" w:color="auto" w:sz="4" w:space="0"/>
        <w:lang w:val="sk-SK"/>
      </w:rPr>
      <w:t>Ú</w:t>
    </w:r>
    <w:r>
      <w:rPr>
        <w:rFonts w:ascii="Arial" w:hAnsi="Arial" w:cs="Arial"/>
        <w:sz w:val="22"/>
        <w:szCs w:val="22"/>
        <w:bdr w:val="single" w:color="auto" w:sz="4" w:space="0"/>
        <w:lang w:val="sk-SK"/>
      </w:rPr>
      <w:t>č</w:t>
    </w:r>
    <w:r>
      <w:rPr>
        <w:rFonts w:ascii="Arial" w:hAnsi="Arial" w:cs="Arial"/>
        <w:sz w:val="22"/>
        <w:szCs w:val="22"/>
        <w:bdr w:val="single" w:color="auto" w:sz="4" w:space="0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color="auto" w:sz="4" w:space="0"/>
      </w:rPr>
      <w:t xml:space="preserve"> </w:t>
    </w:r>
    <w:r>
      <w:rPr>
        <w:rFonts w:ascii="Arial" w:hAnsi="Arial" w:cs="Arial"/>
        <w:sz w:val="22"/>
        <w:szCs w:val="22"/>
        <w:bdr w:val="single" w:color="auto" w:sz="4" w:space="0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color="auto" w:sz="4" w:space="0"/>
      </w:rPr>
      <w:t xml:space="preserve"> </w:t>
    </w:r>
    <w:r>
      <w:rPr>
        <w:rFonts w:ascii="Arial" w:hAnsi="Arial" w:cs="Arial"/>
        <w:spacing w:val="-6"/>
        <w:sz w:val="22"/>
        <w:szCs w:val="22"/>
        <w:bdr w:val="single" w:color="auto" w:sz="4" w:space="0"/>
      </w:rPr>
      <w:t>I</w:t>
    </w:r>
    <w:r>
      <w:rPr>
        <w:rFonts w:ascii="Arial" w:hAnsi="Arial" w:cs="Arial"/>
        <w:sz w:val="22"/>
        <w:szCs w:val="22"/>
        <w:bdr w:val="single" w:color="auto" w:sz="4" w:space="0"/>
      </w:rPr>
      <w:t xml:space="preserve">ČO: 52892131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color="auto" w:sz="4" w:space="0"/>
      </w:rPr>
      <w:t xml:space="preserve"> </w:t>
    </w:r>
    <w:r>
      <w:rPr>
        <w:rFonts w:ascii="Arial" w:hAnsi="Arial" w:cs="Arial"/>
        <w:spacing w:val="1"/>
        <w:sz w:val="22"/>
        <w:szCs w:val="22"/>
        <w:bdr w:val="single" w:color="auto" w:sz="4" w:space="0"/>
      </w:rPr>
      <w:t>D</w:t>
    </w:r>
    <w:r>
      <w:rPr>
        <w:rFonts w:ascii="Arial" w:hAnsi="Arial" w:cs="Arial"/>
        <w:spacing w:val="-6"/>
        <w:sz w:val="22"/>
        <w:szCs w:val="22"/>
        <w:bdr w:val="single" w:color="auto" w:sz="4" w:space="0"/>
      </w:rPr>
      <w:t>I</w:t>
    </w:r>
    <w:r>
      <w:rPr>
        <w:rFonts w:ascii="Arial" w:hAnsi="Arial" w:cs="Arial"/>
        <w:sz w:val="22"/>
        <w:szCs w:val="22"/>
        <w:bdr w:val="single" w:color="auto" w:sz="4" w:space="0"/>
      </w:rPr>
      <w:t>Č: 2121169215</w:t>
    </w:r>
  </w:p>
  <w:p>
    <w:pPr>
      <w:pStyle w:val="11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5"/>
      <w:tblW w:w="8260" w:type="dxa"/>
      <w:tblInd w:w="55" w:type="dxa"/>
      <w:tblLayout w:type="autofit"/>
      <w:tblCellMar>
        <w:top w:w="0" w:type="dxa"/>
        <w:left w:w="70" w:type="dxa"/>
        <w:bottom w:w="0" w:type="dxa"/>
        <w:right w:w="70" w:type="dxa"/>
      </w:tblCellMar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>
      <w:tblPrEx>
        <w:tblCellMar>
          <w:top w:w="0" w:type="dxa"/>
          <w:left w:w="70" w:type="dxa"/>
          <w:bottom w:w="0" w:type="dxa"/>
          <w:right w:w="70" w:type="dxa"/>
        </w:tblCellMar>
      </w:tblPrEx>
      <w:trPr>
        <w:trHeight w:val="330" w:hRule="atLeast"/>
      </w:trPr>
      <w:tc>
        <w:tcPr>
          <w:tcW w:w="2780" w:type="dxa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000000" w:sz="4" w:space="0"/>
          </w:tcBorders>
          <w:noWrap/>
          <w:vAlign w:val="bottom"/>
        </w:tcPr>
        <w:p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</w:tcBorders>
          <w:noWrap/>
          <w:vAlign w:val="center"/>
        </w:tcPr>
        <w:p>
          <w:pPr>
            <w:jc w:val="center"/>
            <w:rPr>
              <w:szCs w:val="22"/>
            </w:rPr>
          </w:pPr>
          <w:r>
            <w:rPr>
              <w:szCs w:val="22"/>
            </w:rPr>
            <w:t> 1</w:t>
          </w:r>
        </w:p>
      </w:tc>
      <w:tc>
        <w:tcPr>
          <w:tcW w:w="280" w:type="dxa"/>
          <w:tcBorders>
            <w:top w:val="single" w:color="auto" w:sz="4" w:space="0"/>
            <w:left w:val="nil"/>
            <w:bottom w:val="single" w:color="auto" w:sz="4" w:space="0"/>
            <w:right w:val="single" w:color="auto" w:sz="4" w:space="0"/>
          </w:tcBorders>
          <w:noWrap/>
          <w:vAlign w:val="center"/>
        </w:tcPr>
        <w:p>
          <w:pPr>
            <w:jc w:val="center"/>
            <w:rPr>
              <w:szCs w:val="22"/>
            </w:rPr>
          </w:pPr>
          <w:r>
            <w:rPr>
              <w:szCs w:val="22"/>
            </w:rPr>
            <w:t>2 </w:t>
          </w:r>
        </w:p>
      </w:tc>
      <w:tc>
        <w:tcPr>
          <w:tcW w:w="280" w:type="dxa"/>
          <w:tcBorders>
            <w:top w:val="single" w:color="auto" w:sz="4" w:space="0"/>
            <w:left w:val="nil"/>
            <w:bottom w:val="single" w:color="auto" w:sz="4" w:space="0"/>
            <w:right w:val="single" w:color="auto" w:sz="4" w:space="0"/>
          </w:tcBorders>
          <w:noWrap/>
          <w:vAlign w:val="center"/>
        </w:tcPr>
        <w:p>
          <w:pPr>
            <w:jc w:val="center"/>
            <w:rPr>
              <w:szCs w:val="22"/>
            </w:rPr>
          </w:pPr>
          <w:r>
            <w:rPr>
              <w:szCs w:val="22"/>
            </w:rPr>
            <w:t>3 </w:t>
          </w:r>
        </w:p>
      </w:tc>
      <w:tc>
        <w:tcPr>
          <w:tcW w:w="280" w:type="dxa"/>
          <w:tcBorders>
            <w:top w:val="single" w:color="auto" w:sz="4" w:space="0"/>
            <w:left w:val="nil"/>
            <w:bottom w:val="single" w:color="auto" w:sz="4" w:space="0"/>
            <w:right w:val="single" w:color="auto" w:sz="4" w:space="0"/>
          </w:tcBorders>
          <w:noWrap/>
          <w:vAlign w:val="center"/>
        </w:tcPr>
        <w:p>
          <w:pPr>
            <w:jc w:val="center"/>
            <w:rPr>
              <w:szCs w:val="22"/>
            </w:rPr>
          </w:pPr>
          <w:r>
            <w:rPr>
              <w:szCs w:val="22"/>
            </w:rPr>
            <w:t>4 </w:t>
          </w:r>
        </w:p>
      </w:tc>
      <w:tc>
        <w:tcPr>
          <w:tcW w:w="280" w:type="dxa"/>
          <w:tcBorders>
            <w:top w:val="single" w:color="auto" w:sz="4" w:space="0"/>
            <w:left w:val="nil"/>
            <w:bottom w:val="single" w:color="auto" w:sz="4" w:space="0"/>
            <w:right w:val="single" w:color="auto" w:sz="4" w:space="0"/>
          </w:tcBorders>
          <w:noWrap/>
          <w:vAlign w:val="center"/>
        </w:tcPr>
        <w:p>
          <w:pPr>
            <w:jc w:val="center"/>
            <w:rPr>
              <w:szCs w:val="22"/>
            </w:rPr>
          </w:pPr>
          <w:r>
            <w:rPr>
              <w:szCs w:val="22"/>
            </w:rPr>
            <w:t>5 </w:t>
          </w:r>
        </w:p>
      </w:tc>
      <w:tc>
        <w:tcPr>
          <w:tcW w:w="280" w:type="dxa"/>
          <w:tcBorders>
            <w:top w:val="single" w:color="auto" w:sz="4" w:space="0"/>
            <w:left w:val="nil"/>
            <w:bottom w:val="single" w:color="auto" w:sz="4" w:space="0"/>
            <w:right w:val="single" w:color="auto" w:sz="4" w:space="0"/>
          </w:tcBorders>
          <w:noWrap/>
          <w:vAlign w:val="center"/>
        </w:tcPr>
        <w:p>
          <w:pPr>
            <w:jc w:val="center"/>
            <w:rPr>
              <w:szCs w:val="22"/>
            </w:rPr>
          </w:pPr>
          <w:r>
            <w:rPr>
              <w:szCs w:val="22"/>
            </w:rPr>
            <w:t>6 </w:t>
          </w:r>
        </w:p>
      </w:tc>
      <w:tc>
        <w:tcPr>
          <w:tcW w:w="280" w:type="dxa"/>
          <w:tcBorders>
            <w:top w:val="single" w:color="auto" w:sz="4" w:space="0"/>
            <w:left w:val="nil"/>
            <w:bottom w:val="single" w:color="auto" w:sz="4" w:space="0"/>
            <w:right w:val="single" w:color="auto" w:sz="4" w:space="0"/>
          </w:tcBorders>
          <w:noWrap/>
          <w:vAlign w:val="center"/>
        </w:tcPr>
        <w:p>
          <w:pPr>
            <w:jc w:val="center"/>
            <w:rPr>
              <w:szCs w:val="22"/>
            </w:rPr>
          </w:pPr>
          <w:r>
            <w:rPr>
              <w:szCs w:val="22"/>
            </w:rPr>
            <w:t>7 </w:t>
          </w:r>
        </w:p>
      </w:tc>
      <w:tc>
        <w:tcPr>
          <w:tcW w:w="280" w:type="dxa"/>
          <w:tcBorders>
            <w:top w:val="single" w:color="auto" w:sz="4" w:space="0"/>
            <w:left w:val="nil"/>
            <w:bottom w:val="single" w:color="auto" w:sz="4" w:space="0"/>
            <w:right w:val="single" w:color="auto" w:sz="4" w:space="0"/>
          </w:tcBorders>
          <w:noWrap/>
          <w:vAlign w:val="center"/>
        </w:tcPr>
        <w:p>
          <w:pPr>
            <w:jc w:val="center"/>
            <w:rPr>
              <w:szCs w:val="22"/>
            </w:rPr>
          </w:pPr>
          <w:r>
            <w:rPr>
              <w:szCs w:val="22"/>
            </w:rPr>
            <w:t>8 </w:t>
          </w:r>
        </w:p>
      </w:tc>
      <w:tc>
        <w:tcPr>
          <w:tcW w:w="280" w:type="dxa"/>
          <w:tcBorders>
            <w:top w:val="single" w:color="auto" w:sz="4" w:space="0"/>
            <w:left w:val="nil"/>
            <w:bottom w:val="single" w:color="auto" w:sz="4" w:space="0"/>
            <w:right w:val="single" w:color="auto" w:sz="4" w:space="0"/>
          </w:tcBorders>
          <w:noWrap/>
          <w:vAlign w:val="center"/>
        </w:tcPr>
        <w:p>
          <w:pPr>
            <w:jc w:val="center"/>
            <w:rPr>
              <w:szCs w:val="22"/>
            </w:rPr>
          </w:pPr>
          <w:r>
            <w:rPr>
              <w:szCs w:val="22"/>
            </w:rPr>
            <w:t>9 </w:t>
          </w:r>
        </w:p>
      </w:tc>
      <w:tc>
        <w:tcPr>
          <w:tcW w:w="280" w:type="dxa"/>
          <w:tcBorders>
            <w:top w:val="single" w:color="auto" w:sz="4" w:space="0"/>
            <w:left w:val="nil"/>
            <w:bottom w:val="single" w:color="auto" w:sz="4" w:space="0"/>
            <w:right w:val="single" w:color="auto" w:sz="4" w:space="0"/>
          </w:tcBorders>
          <w:noWrap/>
          <w:vAlign w:val="center"/>
        </w:tcPr>
        <w:p>
          <w:pPr>
            <w:jc w:val="center"/>
            <w:rPr>
              <w:szCs w:val="22"/>
            </w:rPr>
          </w:pPr>
          <w:r>
            <w:rPr>
              <w:szCs w:val="22"/>
            </w:rPr>
            <w:t>0 </w:t>
          </w:r>
        </w:p>
      </w:tc>
    </w:tr>
  </w:tbl>
  <w:p>
    <w:pPr>
      <w:pStyle w:val="1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E597DE9"/>
    <w:multiLevelType w:val="multilevel"/>
    <w:tmpl w:val="1E597DE9"/>
    <w:lvl w:ilvl="0" w:tentative="0">
      <w:start w:val="1"/>
      <w:numFmt w:val="bullet"/>
      <w:lvlText w:val=""/>
      <w:lvlJc w:val="left"/>
      <w:pPr>
        <w:ind w:left="360" w:hanging="360"/>
      </w:pPr>
      <w:rPr>
        <w:rFonts w:hint="default" w:ascii="Wingdings" w:hAnsi="Wingdings"/>
      </w:rPr>
    </w:lvl>
    <w:lvl w:ilvl="1" w:tentative="0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">
    <w:nsid w:val="26891FC1"/>
    <w:multiLevelType w:val="multilevel"/>
    <w:tmpl w:val="26891FC1"/>
    <w:lvl w:ilvl="0" w:tentative="0">
      <w:start w:val="1"/>
      <w:numFmt w:val="bullet"/>
      <w:lvlText w:val=""/>
      <w:lvlJc w:val="left"/>
      <w:pPr>
        <w:ind w:left="360" w:hanging="360"/>
      </w:pPr>
      <w:rPr>
        <w:rFonts w:hint="default" w:ascii="Wingdings" w:hAnsi="Wingdings"/>
      </w:rPr>
    </w:lvl>
    <w:lvl w:ilvl="1" w:tentative="0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2">
    <w:nsid w:val="41C61CFE"/>
    <w:multiLevelType w:val="multilevel"/>
    <w:tmpl w:val="41C61CFE"/>
    <w:lvl w:ilvl="0" w:tentative="0">
      <w:start w:val="1"/>
      <w:numFmt w:val="bullet"/>
      <w:lvlText w:val=""/>
      <w:lvlJc w:val="left"/>
      <w:pPr>
        <w:ind w:left="360" w:hanging="360"/>
      </w:pPr>
      <w:rPr>
        <w:rFonts w:hint="default" w:ascii="Wingdings" w:hAnsi="Wingdings"/>
      </w:rPr>
    </w:lvl>
    <w:lvl w:ilvl="1" w:tentative="0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3">
    <w:nsid w:val="5D6540DA"/>
    <w:multiLevelType w:val="multilevel"/>
    <w:tmpl w:val="5D6540DA"/>
    <w:lvl w:ilvl="0" w:tentative="0">
      <w:start w:val="6"/>
      <w:numFmt w:val="bullet"/>
      <w:lvlText w:val="-"/>
      <w:lvlJc w:val="left"/>
      <w:pPr>
        <w:ind w:left="720" w:hanging="360"/>
      </w:pPr>
      <w:rPr>
        <w:rFonts w:hint="default" w:ascii="Arial Narrow" w:hAnsi="Arial Narrow" w:eastAsia="Times New Roman" w:cs="Arial Narrow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>
    <w:nsid w:val="67487002"/>
    <w:multiLevelType w:val="multilevel"/>
    <w:tmpl w:val="67487002"/>
    <w:lvl w:ilvl="0" w:tentative="0">
      <w:start w:val="1"/>
      <w:numFmt w:val="decimal"/>
      <w:pStyle w:val="2"/>
      <w:lvlText w:val="§ %1"/>
      <w:lvlJc w:val="center"/>
      <w:pPr>
        <w:tabs>
          <w:tab w:val="left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</w:rPr>
    </w:lvl>
    <w:lvl w:ilvl="1" w:tentative="0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 w:tentative="0">
      <w:start w:val="1"/>
      <w:numFmt w:val="decimal"/>
      <w:lvlText w:val="(%7)"/>
      <w:lvlJc w:val="left"/>
      <w:pPr>
        <w:tabs>
          <w:tab w:val="left" w:pos="5070"/>
        </w:tabs>
        <w:ind w:left="5070" w:hanging="390"/>
      </w:pPr>
      <w:rPr>
        <w:rFonts w:hint="default"/>
      </w:rPr>
    </w:lvl>
    <w:lvl w:ilvl="7" w:tentative="0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5">
    <w:nsid w:val="6DE666C6"/>
    <w:multiLevelType w:val="multilevel"/>
    <w:tmpl w:val="6DE666C6"/>
    <w:lvl w:ilvl="0" w:tentative="0">
      <w:start w:val="1"/>
      <w:numFmt w:val="decimal"/>
      <w:lvlText w:val="%1."/>
      <w:lvlJc w:val="left"/>
      <w:pPr>
        <w:ind w:left="360" w:hanging="360"/>
      </w:pPr>
    </w:lvl>
    <w:lvl w:ilvl="1" w:tentative="0">
      <w:start w:val="1"/>
      <w:numFmt w:val="lowerLetter"/>
      <w:lvlText w:val="%2."/>
      <w:lvlJc w:val="left"/>
      <w:pPr>
        <w:ind w:left="1080" w:hanging="360"/>
      </w:pPr>
    </w:lvl>
    <w:lvl w:ilvl="2" w:tentative="0">
      <w:start w:val="1"/>
      <w:numFmt w:val="lowerRoman"/>
      <w:lvlText w:val="%3."/>
      <w:lvlJc w:val="right"/>
      <w:pPr>
        <w:ind w:left="1800" w:hanging="180"/>
      </w:pPr>
    </w:lvl>
    <w:lvl w:ilvl="3" w:tentative="0">
      <w:start w:val="1"/>
      <w:numFmt w:val="decimal"/>
      <w:lvlText w:val="%4."/>
      <w:lvlJc w:val="left"/>
      <w:pPr>
        <w:ind w:left="2520" w:hanging="360"/>
      </w:pPr>
    </w:lvl>
    <w:lvl w:ilvl="4" w:tentative="0">
      <w:start w:val="1"/>
      <w:numFmt w:val="lowerLetter"/>
      <w:lvlText w:val="%5."/>
      <w:lvlJc w:val="left"/>
      <w:pPr>
        <w:ind w:left="3240" w:hanging="360"/>
      </w:pPr>
    </w:lvl>
    <w:lvl w:ilvl="5" w:tentative="0">
      <w:start w:val="1"/>
      <w:numFmt w:val="lowerRoman"/>
      <w:lvlText w:val="%6."/>
      <w:lvlJc w:val="right"/>
      <w:pPr>
        <w:ind w:left="3960" w:hanging="180"/>
      </w:pPr>
    </w:lvl>
    <w:lvl w:ilvl="6" w:tentative="0">
      <w:start w:val="1"/>
      <w:numFmt w:val="decimal"/>
      <w:lvlText w:val="%7."/>
      <w:lvlJc w:val="left"/>
      <w:pPr>
        <w:ind w:left="4680" w:hanging="360"/>
      </w:pPr>
    </w:lvl>
    <w:lvl w:ilvl="7" w:tentative="0">
      <w:start w:val="1"/>
      <w:numFmt w:val="lowerLetter"/>
      <w:lvlText w:val="%8."/>
      <w:lvlJc w:val="left"/>
      <w:pPr>
        <w:ind w:left="5400" w:hanging="360"/>
      </w:pPr>
    </w:lvl>
    <w:lvl w:ilvl="8" w:tentative="0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2C1D"/>
    <w:rsid w:val="00000C65"/>
    <w:rsid w:val="000104C1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47531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371D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694D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37771"/>
    <w:rsid w:val="00246C6C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208FD"/>
    <w:rsid w:val="00331575"/>
    <w:rsid w:val="00331EB6"/>
    <w:rsid w:val="003321D9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5307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62BD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7344"/>
    <w:rsid w:val="003E758C"/>
    <w:rsid w:val="003F0D89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9746F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E12D2"/>
    <w:rsid w:val="005E4F88"/>
    <w:rsid w:val="005E6774"/>
    <w:rsid w:val="005E6F68"/>
    <w:rsid w:val="005F1DFA"/>
    <w:rsid w:val="005F26DB"/>
    <w:rsid w:val="005F504F"/>
    <w:rsid w:val="00610810"/>
    <w:rsid w:val="00614845"/>
    <w:rsid w:val="00615C55"/>
    <w:rsid w:val="00620893"/>
    <w:rsid w:val="00636459"/>
    <w:rsid w:val="00640019"/>
    <w:rsid w:val="00642FD8"/>
    <w:rsid w:val="00651F5C"/>
    <w:rsid w:val="0065426D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A660A"/>
    <w:rsid w:val="006B69FE"/>
    <w:rsid w:val="006C018F"/>
    <w:rsid w:val="006C1F64"/>
    <w:rsid w:val="006C7BF2"/>
    <w:rsid w:val="006D1E5C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4395"/>
    <w:rsid w:val="00764743"/>
    <w:rsid w:val="0076539B"/>
    <w:rsid w:val="007708C6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4771"/>
    <w:rsid w:val="00815AE4"/>
    <w:rsid w:val="00815F77"/>
    <w:rsid w:val="00822A3C"/>
    <w:rsid w:val="008271F6"/>
    <w:rsid w:val="00827D2A"/>
    <w:rsid w:val="00832FF0"/>
    <w:rsid w:val="0084070B"/>
    <w:rsid w:val="00846209"/>
    <w:rsid w:val="0085044A"/>
    <w:rsid w:val="0085408B"/>
    <w:rsid w:val="00857893"/>
    <w:rsid w:val="00857F33"/>
    <w:rsid w:val="00861401"/>
    <w:rsid w:val="00861803"/>
    <w:rsid w:val="00867392"/>
    <w:rsid w:val="0087132B"/>
    <w:rsid w:val="008729F3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25C6F"/>
    <w:rsid w:val="0093419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6CA"/>
    <w:rsid w:val="009B124D"/>
    <w:rsid w:val="009B17D1"/>
    <w:rsid w:val="009B23B0"/>
    <w:rsid w:val="009C2162"/>
    <w:rsid w:val="009C49BF"/>
    <w:rsid w:val="009C58C9"/>
    <w:rsid w:val="009D0C18"/>
    <w:rsid w:val="009D2303"/>
    <w:rsid w:val="009D3DB8"/>
    <w:rsid w:val="009D7E50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0717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0094"/>
    <w:rsid w:val="00AE28DD"/>
    <w:rsid w:val="00AE370A"/>
    <w:rsid w:val="00AE433D"/>
    <w:rsid w:val="00AF0C89"/>
    <w:rsid w:val="00AF2ED8"/>
    <w:rsid w:val="00AF51AA"/>
    <w:rsid w:val="00AF6469"/>
    <w:rsid w:val="00B00ECD"/>
    <w:rsid w:val="00B05037"/>
    <w:rsid w:val="00B07F5C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6689"/>
    <w:rsid w:val="00B87E21"/>
    <w:rsid w:val="00B9102F"/>
    <w:rsid w:val="00B93686"/>
    <w:rsid w:val="00BA12FE"/>
    <w:rsid w:val="00BA43D8"/>
    <w:rsid w:val="00BA5618"/>
    <w:rsid w:val="00BB22F0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43BA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501F"/>
    <w:rsid w:val="00DB7199"/>
    <w:rsid w:val="00DC6C53"/>
    <w:rsid w:val="00DC77A2"/>
    <w:rsid w:val="00DD36B7"/>
    <w:rsid w:val="00DD45F0"/>
    <w:rsid w:val="00DD6176"/>
    <w:rsid w:val="00DE00F7"/>
    <w:rsid w:val="00DE4D02"/>
    <w:rsid w:val="00DF0BC8"/>
    <w:rsid w:val="00E02BAC"/>
    <w:rsid w:val="00E13E03"/>
    <w:rsid w:val="00E17587"/>
    <w:rsid w:val="00E247AD"/>
    <w:rsid w:val="00E2552D"/>
    <w:rsid w:val="00E25D82"/>
    <w:rsid w:val="00E30EE5"/>
    <w:rsid w:val="00E32276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7882"/>
    <w:rsid w:val="00EB0370"/>
    <w:rsid w:val="00EB3ECE"/>
    <w:rsid w:val="00EB5BB2"/>
    <w:rsid w:val="00EB6193"/>
    <w:rsid w:val="00ED112D"/>
    <w:rsid w:val="00ED7779"/>
    <w:rsid w:val="00EF4F08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25EE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  <w:rsid w:val="20C32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EmbedSmartTag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nhideWhenUsed="0" w:uiPriority="0" w:semiHidden="0" w:name="Normal Indent"/>
    <w:lsdException w:unhideWhenUsed="0" w:uiPriority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99" w:semiHidden="0" w:name="footer"/>
    <w:lsdException w:unhideWhenUsed="0" w:uiPriority="0" w:semiHidden="0" w:name="index heading"/>
    <w:lsdException w:qFormat="1" w:uiPriority="0" w:name="caption" w:locked="1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99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 w:locked="1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iPriority="0" w:name="HTML Sample"/>
    <w:lsdException w:unhideWhenUsed="0" w:uiPriority="0" w:semiHidden="0" w:name="HTML Typewriter"/>
    <w:lsdException w:uiPriority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imes New Roman" w:hAnsi="Times New Roman" w:eastAsia="Times New Roman" w:cs="Times New Roman"/>
      <w:sz w:val="24"/>
      <w:szCs w:val="24"/>
      <w:lang w:val="sk-SK" w:eastAsia="sk-SK" w:bidi="ar-SA"/>
    </w:rPr>
  </w:style>
  <w:style w:type="paragraph" w:styleId="2">
    <w:name w:val="heading 1"/>
    <w:basedOn w:val="1"/>
    <w:next w:val="3"/>
    <w:link w:val="15"/>
    <w:qFormat/>
    <w:uiPriority w:val="0"/>
    <w:pPr>
      <w:keepNext/>
      <w:numPr>
        <w:ilvl w:val="0"/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3">
    <w:name w:val="heading 2"/>
    <w:basedOn w:val="1"/>
    <w:next w:val="1"/>
    <w:link w:val="16"/>
    <w:qFormat/>
    <w:uiPriority w:val="0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zh-CN" w:eastAsia="zh-CN"/>
    </w:rPr>
  </w:style>
  <w:style w:type="character" w:default="1" w:styleId="4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Balloon Text"/>
    <w:basedOn w:val="1"/>
    <w:link w:val="26"/>
    <w:semiHidden/>
    <w:unhideWhenUsed/>
    <w:uiPriority w:val="0"/>
    <w:rPr>
      <w:rFonts w:ascii="Segoe UI" w:hAnsi="Segoe UI" w:cs="Segoe UI"/>
      <w:sz w:val="18"/>
      <w:szCs w:val="18"/>
    </w:rPr>
  </w:style>
  <w:style w:type="paragraph" w:styleId="7">
    <w:name w:val="Body Text"/>
    <w:basedOn w:val="1"/>
    <w:link w:val="23"/>
    <w:unhideWhenUsed/>
    <w:qFormat/>
    <w:uiPriority w:val="1"/>
    <w:pPr>
      <w:widowControl w:val="0"/>
      <w:ind w:left="668" w:hanging="567"/>
    </w:pPr>
    <w:rPr>
      <w:lang w:val="en-US" w:eastAsia="en-US"/>
    </w:rPr>
  </w:style>
  <w:style w:type="paragraph" w:styleId="8">
    <w:name w:val="footer"/>
    <w:basedOn w:val="1"/>
    <w:link w:val="19"/>
    <w:uiPriority w:val="99"/>
    <w:pPr>
      <w:tabs>
        <w:tab w:val="center" w:pos="4536"/>
        <w:tab w:val="right" w:pos="9072"/>
      </w:tabs>
    </w:pPr>
    <w:rPr>
      <w:lang w:val="zh-CN" w:eastAsia="zh-CN"/>
    </w:rPr>
  </w:style>
  <w:style w:type="character" w:styleId="9">
    <w:name w:val="footnote reference"/>
    <w:semiHidden/>
    <w:uiPriority w:val="0"/>
    <w:rPr>
      <w:vertAlign w:val="superscript"/>
    </w:rPr>
  </w:style>
  <w:style w:type="paragraph" w:styleId="10">
    <w:name w:val="footnote text"/>
    <w:basedOn w:val="1"/>
    <w:link w:val="18"/>
    <w:semiHidden/>
    <w:uiPriority w:val="0"/>
    <w:rPr>
      <w:sz w:val="20"/>
      <w:szCs w:val="20"/>
      <w:lang w:val="zh-CN" w:eastAsia="zh-CN"/>
    </w:rPr>
  </w:style>
  <w:style w:type="paragraph" w:styleId="11">
    <w:name w:val="header"/>
    <w:basedOn w:val="1"/>
    <w:link w:val="22"/>
    <w:uiPriority w:val="0"/>
    <w:pPr>
      <w:tabs>
        <w:tab w:val="center" w:pos="4703"/>
        <w:tab w:val="right" w:pos="9406"/>
      </w:tabs>
    </w:pPr>
  </w:style>
  <w:style w:type="character" w:styleId="12">
    <w:name w:val="page number"/>
    <w:basedOn w:val="4"/>
    <w:uiPriority w:val="0"/>
  </w:style>
  <w:style w:type="table" w:styleId="13">
    <w:name w:val="Table Grid"/>
    <w:basedOn w:val="5"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14">
    <w:name w:val="Title"/>
    <w:basedOn w:val="1"/>
    <w:next w:val="1"/>
    <w:link w:val="20"/>
    <w:qFormat/>
    <w:uiPriority w:val="99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zh-CN"/>
    </w:rPr>
  </w:style>
  <w:style w:type="character" w:customStyle="1" w:styleId="15">
    <w:name w:val="Nadpis 1 Char"/>
    <w:link w:val="2"/>
    <w:locked/>
    <w:uiPriority w:val="0"/>
    <w:rPr>
      <w:b/>
      <w:bCs/>
      <w:kern w:val="32"/>
      <w:sz w:val="24"/>
      <w:szCs w:val="24"/>
      <w:lang w:val="sk-SK" w:eastAsia="sk-SK"/>
    </w:rPr>
  </w:style>
  <w:style w:type="character" w:customStyle="1" w:styleId="16">
    <w:name w:val="Nadpis 2 Char"/>
    <w:link w:val="3"/>
    <w:semiHidden/>
    <w:locked/>
    <w:uiPriority w:val="0"/>
    <w:rPr>
      <w:rFonts w:ascii="Cambria" w:hAnsi="Cambria" w:eastAsia="Times New Roman" w:cs="Cambria"/>
      <w:b/>
      <w:bCs/>
      <w:i/>
      <w:iCs/>
      <w:sz w:val="28"/>
      <w:szCs w:val="28"/>
    </w:rPr>
  </w:style>
  <w:style w:type="paragraph" w:customStyle="1" w:styleId="17">
    <w:name w:val="Základní text"/>
    <w:uiPriority w:val="0"/>
    <w:pPr>
      <w:spacing w:after="240"/>
      <w:jc w:val="both"/>
    </w:pPr>
    <w:rPr>
      <w:rFonts w:ascii="Times New Roman" w:hAnsi="Times New Roman" w:eastAsia="Times New Roman" w:cs="Times New Roman"/>
      <w:color w:val="000000"/>
      <w:sz w:val="24"/>
      <w:szCs w:val="24"/>
      <w:lang w:val="sk-SK" w:eastAsia="sk-SK" w:bidi="ar-SA"/>
    </w:rPr>
  </w:style>
  <w:style w:type="character" w:customStyle="1" w:styleId="18">
    <w:name w:val="Text poznámky pod čiarou Char"/>
    <w:link w:val="10"/>
    <w:semiHidden/>
    <w:locked/>
    <w:uiPriority w:val="0"/>
    <w:rPr>
      <w:sz w:val="20"/>
      <w:szCs w:val="20"/>
    </w:rPr>
  </w:style>
  <w:style w:type="character" w:customStyle="1" w:styleId="19">
    <w:name w:val="Päta Char"/>
    <w:link w:val="8"/>
    <w:locked/>
    <w:uiPriority w:val="99"/>
    <w:rPr>
      <w:sz w:val="24"/>
      <w:szCs w:val="24"/>
    </w:rPr>
  </w:style>
  <w:style w:type="character" w:customStyle="1" w:styleId="20">
    <w:name w:val="Názov Char"/>
    <w:link w:val="14"/>
    <w:locked/>
    <w:uiPriority w:val="99"/>
    <w:rPr>
      <w:rFonts w:ascii="Arial Narrow" w:hAnsi="Arial Narrow" w:cs="Arial Narrow"/>
      <w:b/>
      <w:bCs/>
      <w:kern w:val="28"/>
      <w:sz w:val="32"/>
      <w:szCs w:val="32"/>
      <w:lang w:val="sk-SK" w:eastAsia="zh-CN"/>
    </w:rPr>
  </w:style>
  <w:style w:type="paragraph" w:customStyle="1" w:styleId="21">
    <w:name w:val="Top Header"/>
    <w:basedOn w:val="1"/>
    <w:qFormat/>
    <w:uiPriority w:val="0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character" w:customStyle="1" w:styleId="22">
    <w:name w:val="Hlavička Char"/>
    <w:link w:val="11"/>
    <w:qFormat/>
    <w:locked/>
    <w:uiPriority w:val="0"/>
    <w:rPr>
      <w:sz w:val="24"/>
      <w:szCs w:val="24"/>
      <w:lang w:val="sk-SK" w:eastAsia="sk-SK"/>
    </w:rPr>
  </w:style>
  <w:style w:type="character" w:customStyle="1" w:styleId="23">
    <w:name w:val="Základný text Char"/>
    <w:link w:val="7"/>
    <w:uiPriority w:val="1"/>
    <w:rPr>
      <w:sz w:val="24"/>
      <w:szCs w:val="24"/>
      <w:lang w:val="en-US" w:eastAsia="en-US"/>
    </w:rPr>
  </w:style>
  <w:style w:type="table" w:customStyle="1" w:styleId="24">
    <w:name w:val="Table Normal1"/>
    <w:semiHidden/>
    <w:qFormat/>
    <w:uiPriority w:val="2"/>
    <w:pPr>
      <w:widowControl w:val="0"/>
    </w:pPr>
    <w:rPr>
      <w:rFonts w:ascii="Calibri" w:hAnsi="Calibri" w:eastAsia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5">
    <w:name w:val="ra"/>
    <w:uiPriority w:val="0"/>
  </w:style>
  <w:style w:type="character" w:customStyle="1" w:styleId="26">
    <w:name w:val="Text bubliny Char"/>
    <w:basedOn w:val="4"/>
    <w:link w:val="6"/>
    <w:semiHidden/>
    <w:uiPriority w:val="0"/>
    <w:rPr>
      <w:rFonts w:ascii="Segoe UI" w:hAnsi="Segoe UI" w:cs="Segoe UI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994283-73F2-422E-BE2F-ABEBCC621E5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MF-SR</Company>
  <Pages>7</Pages>
  <Words>2769</Words>
  <Characters>16789</Characters>
  <Lines>139</Lines>
  <Paragraphs>39</Paragraphs>
  <TotalTime>2</TotalTime>
  <ScaleCrop>false</ScaleCrop>
  <LinksUpToDate>false</LinksUpToDate>
  <CharactersWithSpaces>19519</CharactersWithSpaces>
  <Application>WPS Office_11.2.0.11513_F1E327BC-269C-435d-A152-05C5408002CA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2022-02-25T10:42:00Z</dcterms:created>
  <dc:creator>user</dc:creator>
  <cp:lastModifiedBy>asistent2</cp:lastModifiedBy>
  <cp:lastPrinted>2022-02-25T10:41:00Z</cp:lastPrinted>
  <dcterms:modified xsi:type="dcterms:W3CDTF">2023-03-31T07:35:10Z</dcterms:modified>
  <dc:title>Návrh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1033-11.2.0.11513</vt:lpwstr>
  </property>
  <property fmtid="{D5CDD505-2E9C-101B-9397-08002B2CF9AE}" pid="3" name="ICV">
    <vt:lpwstr>F474D3D8519F4301A88AC823F967D243</vt:lpwstr>
  </property>
</Properties>
</file>