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theme+xml" PartName="/word/theme/theme1.xml"/>
  <Override ContentType="application/vnd.openxmlformats-officedocument.wordprocessingml.settings+xml" PartName="/word/settings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header+xml" PartName="/word/header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oter+xml" PartName="/word/footer3.xml"/>
  <Override ContentType="application/vnd.openxmlformats-officedocument.wordprocessingml.footer+xml" PartName="/word/footer2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pBdr>
        <w:spacing w:after="79" w:line="259" w:lineRule="auto"/>
        <w:ind w:left="43" w:right="188" w:firstLine="0"/>
        <w:jc w:val="center"/>
        <w:rPr/>
      </w:pPr>
      <w:r w:rsidDel="00000000" w:rsidR="00000000" w:rsidRPr="00000000">
        <w:rPr>
          <w:b w:val="1"/>
          <w:sz w:val="24"/>
          <w:szCs w:val="24"/>
          <w:rtl w:val="0"/>
        </w:rPr>
        <w:t xml:space="preserve">POZNÁMKY K ÚČTOVNEJ ZÁVIERKE 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pBdr>
        <w:spacing w:after="28" w:line="239" w:lineRule="auto"/>
        <w:ind w:left="43" w:right="188" w:firstLine="0"/>
        <w:jc w:val="center"/>
        <w:rPr/>
      </w:pPr>
      <w:r w:rsidDel="00000000" w:rsidR="00000000" w:rsidRPr="00000000">
        <w:rPr>
          <w:rtl w:val="0"/>
        </w:rPr>
        <w:t xml:space="preserve">zostavené podľa Opatrenia č.MF/15464/2013-74, ktorým sa ustanovujú podrobnosti o individuálnej účtovnej závierke a rozsahu údajov určených z individuálnej účtovnej závierky na zverejnenie </w:t>
      </w:r>
      <w:r w:rsidDel="00000000" w:rsidR="00000000" w:rsidRPr="00000000">
        <w:rPr>
          <w:b w:val="1"/>
          <w:rtl w:val="0"/>
        </w:rPr>
        <w:t xml:space="preserve"> pre mikro účtovné jednotky</w:t>
      </w: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0003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4">
      <w:pPr>
        <w:pStyle w:val="Heading1"/>
        <w:rPr/>
      </w:pPr>
      <w:r w:rsidDel="00000000" w:rsidR="00000000" w:rsidRPr="00000000">
        <w:rPr>
          <w:rtl w:val="0"/>
        </w:rPr>
        <w:t xml:space="preserve">Článok I – VŠEOBECNÉ INFORMÁCIE</w:t>
      </w:r>
      <w:r w:rsidDel="00000000" w:rsidR="00000000" w:rsidRPr="00000000">
        <w:rPr>
          <w:u w:val="no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numPr>
          <w:ilvl w:val="0"/>
          <w:numId w:val="4"/>
        </w:numPr>
        <w:spacing w:after="10" w:lineRule="auto"/>
        <w:ind w:left="211" w:right="130" w:hanging="211"/>
        <w:rPr/>
      </w:pPr>
      <w:r w:rsidDel="00000000" w:rsidR="00000000" w:rsidRPr="00000000">
        <w:rPr>
          <w:u w:val="single"/>
          <w:rtl w:val="0"/>
        </w:rPr>
        <w:t xml:space="preserve">Základné informácie o účtovnej jednotke</w:t>
      </w:r>
      <w:r w:rsidDel="00000000" w:rsidR="00000000" w:rsidRPr="00000000">
        <w:rPr>
          <w:rtl w:val="0"/>
        </w:rPr>
        <w:t xml:space="preserve">: </w:t>
      </w:r>
    </w:p>
    <w:p w:rsidR="00000000" w:rsidDel="00000000" w:rsidP="00000000" w:rsidRDefault="00000000" w:rsidRPr="00000000" w14:paraId="00000007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tbl>
      <w:tblPr>
        <w:tblStyle w:val="Table1"/>
        <w:tblW w:w="9654.0" w:type="dxa"/>
        <w:jc w:val="left"/>
        <w:tblInd w:w="-139.00000000000003" w:type="dxa"/>
        <w:tblLayout w:type="fixed"/>
        <w:tblLook w:val="0400"/>
      </w:tblPr>
      <w:tblGrid>
        <w:gridCol w:w="2638"/>
        <w:gridCol w:w="7016"/>
        <w:tblGridChange w:id="0">
          <w:tblGrid>
            <w:gridCol w:w="2638"/>
            <w:gridCol w:w="7016"/>
          </w:tblGrid>
        </w:tblGridChange>
      </w:tblGrid>
      <w:tr>
        <w:trPr>
          <w:cantSplit w:val="0"/>
          <w:trHeight w:val="26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8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Obchodné meno:</w:t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9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MONFOOD, spol. s r.o. Košice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A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Sídlo: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B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Južna trieda 4B, Košice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C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Právna forma: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D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Spoločnosť s ručením obmedzeným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E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Dátum vzniku: </w:t>
            </w:r>
          </w:p>
        </w:tc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0F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Zápis do obchodného registra: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01.10.2020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0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Hlavný predmet podnikania: </w:t>
            </w:r>
          </w:p>
        </w:tc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1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color w:val="333333"/>
                <w:sz w:val="20"/>
                <w:szCs w:val="20"/>
                <w:rtl w:val="0"/>
              </w:rPr>
              <w:t xml:space="preserve">Dodávka jedál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2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Subjekt verejného záujmu: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3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MONFOOD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, spol. s r.o. nie je subjektom verejného záujmu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9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4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Účtovné obdob:</w:t>
            </w:r>
          </w:p>
        </w:tc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15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01-12/2022</w:t>
            </w:r>
          </w:p>
        </w:tc>
      </w:tr>
    </w:tbl>
    <w:p w:rsidR="00000000" w:rsidDel="00000000" w:rsidP="00000000" w:rsidRDefault="00000000" w:rsidRPr="00000000" w14:paraId="00000016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tbl>
      <w:tblPr>
        <w:tblStyle w:val="Table2"/>
        <w:tblW w:w="9599.0" w:type="dxa"/>
        <w:jc w:val="left"/>
        <w:tblInd w:w="-84.00000000000003" w:type="dxa"/>
        <w:tblLayout w:type="fixed"/>
        <w:tblLook w:val="0400"/>
      </w:tblPr>
      <w:tblGrid>
        <w:gridCol w:w="2196"/>
        <w:gridCol w:w="2835"/>
        <w:gridCol w:w="3262"/>
        <w:gridCol w:w="1306"/>
        <w:tblGridChange w:id="0">
          <w:tblGrid>
            <w:gridCol w:w="2196"/>
            <w:gridCol w:w="2835"/>
            <w:gridCol w:w="3262"/>
            <w:gridCol w:w="1306"/>
          </w:tblGrid>
        </w:tblGridChange>
      </w:tblGrid>
      <w:tr>
        <w:trPr>
          <w:cantSplit w:val="0"/>
          <w:trHeight w:val="51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spacing w:after="0" w:line="259" w:lineRule="auto"/>
              <w:ind w:left="7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Názov položky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spacing w:after="0" w:line="259" w:lineRule="auto"/>
              <w:ind w:left="7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spacing w:after="0" w:line="259" w:lineRule="auto"/>
              <w:ind w:lef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spacing w:after="0" w:line="259" w:lineRule="auto"/>
              <w:ind w:left="7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Áno/Nie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28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Netto aktíva celkom</w:t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                   9024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3818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spacing w:after="0" w:line="259" w:lineRule="auto"/>
              <w:ind w:left="7" w:firstLine="0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áno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28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Čistý obrat celkom</w:t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spacing w:after="0" w:line="259" w:lineRule="auto"/>
              <w:ind w:left="5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              66804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1084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spacing w:after="0" w:line="259" w:lineRule="auto"/>
              <w:ind w:left="7" w:firstLine="0"/>
              <w:jc w:val="center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áno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28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Počet zamestnancov</w:t>
            </w:r>
            <w:r w:rsidDel="00000000" w:rsidR="00000000" w:rsidRPr="00000000">
              <w:rPr>
                <w:b w:val="1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spacing w:after="0" w:line="259" w:lineRule="auto"/>
              <w:ind w:left="5" w:firstLine="0"/>
              <w:jc w:val="left"/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                        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spacing w:after="0" w:line="259" w:lineRule="auto"/>
              <w:ind w:left="9" w:firstLine="0"/>
              <w:jc w:val="center"/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spacing w:after="0" w:line="259" w:lineRule="auto"/>
              <w:ind w:left="7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áno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ind w:left="-5" w:right="130" w:firstLine="0"/>
        <w:rPr/>
      </w:pPr>
      <w:r w:rsidDel="00000000" w:rsidR="00000000" w:rsidRPr="00000000">
        <w:rPr>
          <w:u w:val="single"/>
          <w:rtl w:val="0"/>
        </w:rPr>
        <w:t xml:space="preserve">Komentár:</w:t>
      </w:r>
      <w:r w:rsidDel="00000000" w:rsidR="00000000" w:rsidRPr="00000000">
        <w:rPr>
          <w:rtl w:val="0"/>
        </w:rPr>
        <w:t xml:space="preserve"> UJ spĺňa veľkostné podmienky na zatriedenie do veľkostnej skupiny – </w:t>
      </w:r>
      <w:r w:rsidDel="00000000" w:rsidR="00000000" w:rsidRPr="00000000">
        <w:rPr>
          <w:b w:val="1"/>
          <w:rtl w:val="0"/>
        </w:rPr>
        <w:t xml:space="preserve">mikro účtovná jednotka, </w:t>
      </w:r>
      <w:r w:rsidDel="00000000" w:rsidR="00000000" w:rsidRPr="00000000">
        <w:rPr>
          <w:rtl w:val="0"/>
        </w:rPr>
        <w:t xml:space="preserve">preto zostavuje účtovnú závierku podľa metodiky pre túto veľkostnú skupinu (Opatrenie č.MF/15464/2013-74).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numPr>
          <w:ilvl w:val="0"/>
          <w:numId w:val="4"/>
        </w:numPr>
        <w:ind w:left="211" w:right="130" w:hanging="211"/>
        <w:rPr/>
      </w:pPr>
      <w:r w:rsidDel="00000000" w:rsidR="00000000" w:rsidRPr="00000000">
        <w:rPr>
          <w:b w:val="1"/>
          <w:rtl w:val="0"/>
        </w:rPr>
        <w:t xml:space="preserve">Dátum schválenia účtovnej závierky</w:t>
      </w:r>
      <w:r w:rsidDel="00000000" w:rsidR="00000000" w:rsidRPr="00000000">
        <w:rPr>
          <w:rtl w:val="0"/>
        </w:rPr>
        <w:t xml:space="preserve"> za bezprostredne predchádzajúce účtovné obdobie príslušným orgánom účtovnej jednotky:31.12.2022</w:t>
      </w:r>
    </w:p>
    <w:p w:rsidR="00000000" w:rsidDel="00000000" w:rsidP="00000000" w:rsidRDefault="00000000" w:rsidRPr="00000000" w14:paraId="0000002C">
      <w:pPr>
        <w:spacing w:after="100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002D">
      <w:pPr>
        <w:numPr>
          <w:ilvl w:val="0"/>
          <w:numId w:val="4"/>
        </w:numPr>
        <w:ind w:left="211" w:right="130" w:hanging="211"/>
        <w:rPr/>
      </w:pPr>
      <w:r w:rsidDel="00000000" w:rsidR="00000000" w:rsidRPr="00000000">
        <w:rPr>
          <w:b w:val="1"/>
          <w:rtl w:val="0"/>
        </w:rPr>
        <w:t xml:space="preserve">Právny dôvod</w:t>
      </w:r>
      <w:r w:rsidDel="00000000" w:rsidR="00000000" w:rsidRPr="00000000">
        <w:rPr>
          <w:rtl w:val="0"/>
        </w:rPr>
        <w:t xml:space="preserve"> na zostavenie účtovnej závierky: Riadna </w:t>
      </w:r>
    </w:p>
    <w:p w:rsidR="00000000" w:rsidDel="00000000" w:rsidP="00000000" w:rsidRDefault="00000000" w:rsidRPr="00000000" w14:paraId="0000002E">
      <w:pPr>
        <w:spacing w:after="98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2F">
      <w:pPr>
        <w:numPr>
          <w:ilvl w:val="0"/>
          <w:numId w:val="4"/>
        </w:numPr>
        <w:ind w:left="211" w:right="130" w:hanging="211"/>
        <w:rPr/>
      </w:pPr>
      <w:r w:rsidDel="00000000" w:rsidR="00000000" w:rsidRPr="00000000">
        <w:rPr>
          <w:u w:val="single"/>
          <w:rtl w:val="0"/>
        </w:rPr>
        <w:t xml:space="preserve">Údaje o skupine</w:t>
      </w:r>
      <w:r w:rsidDel="00000000" w:rsidR="00000000" w:rsidRPr="00000000">
        <w:rPr>
          <w:rtl w:val="0"/>
        </w:rPr>
        <w:t xml:space="preserve"> účtovných jednotiek v súvislosti </w:t>
      </w:r>
      <w:r w:rsidDel="00000000" w:rsidR="00000000" w:rsidRPr="00000000">
        <w:rPr>
          <w:b w:val="1"/>
          <w:rtl w:val="0"/>
        </w:rPr>
        <w:t xml:space="preserve">s konsolidáciou</w:t>
      </w:r>
      <w:r w:rsidDel="00000000" w:rsidR="00000000" w:rsidRPr="00000000">
        <w:rPr>
          <w:rtl w:val="0"/>
        </w:rPr>
        <w:t xml:space="preserve">: MÚV nezostavuje konsolidovanú účtovnú závierku.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numPr>
          <w:ilvl w:val="0"/>
          <w:numId w:val="4"/>
        </w:numPr>
        <w:spacing w:after="10" w:lineRule="auto"/>
        <w:ind w:left="211" w:right="130" w:hanging="211"/>
        <w:rPr/>
      </w:pPr>
      <w:r w:rsidDel="00000000" w:rsidR="00000000" w:rsidRPr="00000000">
        <w:rPr>
          <w:u w:val="single"/>
          <w:rtl w:val="0"/>
        </w:rPr>
        <w:t xml:space="preserve">Priemerný prepočítaný počet zamestnancov účtovnej jednotky</w:t>
      </w:r>
      <w:r w:rsidDel="00000000" w:rsidR="00000000" w:rsidRPr="00000000">
        <w:rPr>
          <w:rtl w:val="0"/>
        </w:rPr>
        <w:t xml:space="preserve">: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tbl>
      <w:tblPr>
        <w:tblStyle w:val="Table3"/>
        <w:tblW w:w="9779.0" w:type="dxa"/>
        <w:jc w:val="left"/>
        <w:tblInd w:w="-122.0" w:type="dxa"/>
        <w:tblLayout w:type="fixed"/>
        <w:tblLook w:val="0400"/>
      </w:tblPr>
      <w:tblGrid>
        <w:gridCol w:w="4858"/>
        <w:gridCol w:w="2523"/>
        <w:gridCol w:w="2398"/>
        <w:tblGridChange w:id="0">
          <w:tblGrid>
            <w:gridCol w:w="4858"/>
            <w:gridCol w:w="2523"/>
            <w:gridCol w:w="2398"/>
          </w:tblGrid>
        </w:tblGridChange>
      </w:tblGrid>
      <w:tr>
        <w:trPr>
          <w:cantSplit w:val="0"/>
          <w:trHeight w:val="76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2">
            <w:pPr>
              <w:spacing w:after="0" w:line="259" w:lineRule="auto"/>
              <w:ind w:left="0" w:right="471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Názov položky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3">
            <w:pPr>
              <w:spacing w:after="0" w:line="259" w:lineRule="auto"/>
              <w:ind w:left="0" w:right="11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4">
            <w:pPr>
              <w:spacing w:after="0" w:line="238" w:lineRule="auto"/>
              <w:ind w:lef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5">
            <w:pPr>
              <w:spacing w:after="0" w:line="259" w:lineRule="auto"/>
              <w:ind w:left="0" w:right="11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obdobie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26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6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Priemerný prepočítaný počet počas účtovného obdobia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7">
            <w:pPr>
              <w:spacing w:after="0" w:line="259" w:lineRule="auto"/>
              <w:ind w:left="0" w:right="12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8">
            <w:pPr>
              <w:spacing w:after="0" w:line="259" w:lineRule="auto"/>
              <w:ind w:left="49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9">
      <w:pPr>
        <w:spacing w:after="0" w:line="259" w:lineRule="auto"/>
        <w:ind w:left="929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3B">
      <w:pPr>
        <w:spacing w:after="0" w:line="259" w:lineRule="auto"/>
        <w:ind w:left="375" w:firstLine="0"/>
        <w:jc w:val="center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after="0" w:line="259" w:lineRule="auto"/>
        <w:ind w:left="375" w:firstLine="0"/>
        <w:jc w:val="center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after="0" w:line="259" w:lineRule="auto"/>
        <w:ind w:left="375" w:firstLine="0"/>
        <w:jc w:val="center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spacing w:after="0" w:line="259" w:lineRule="auto"/>
        <w:ind w:left="375" w:firstLine="0"/>
        <w:jc w:val="center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after="0" w:line="259" w:lineRule="auto"/>
        <w:ind w:left="375" w:firstLine="0"/>
        <w:jc w:val="center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spacing w:after="0" w:line="259" w:lineRule="auto"/>
        <w:ind w:left="375" w:firstLine="0"/>
        <w:jc w:val="center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0" w:line="259" w:lineRule="auto"/>
        <w:ind w:left="375" w:firstLine="0"/>
        <w:jc w:val="center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spacing w:after="0" w:line="259" w:lineRule="auto"/>
        <w:ind w:left="375" w:firstLine="0"/>
        <w:jc w:val="center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spacing w:after="0" w:line="259" w:lineRule="auto"/>
        <w:ind w:left="375" w:firstLine="0"/>
        <w:jc w:val="center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spacing w:after="0" w:line="259" w:lineRule="auto"/>
        <w:ind w:left="375" w:firstLine="0"/>
        <w:jc w:val="center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spacing w:after="1" w:line="260" w:lineRule="auto"/>
        <w:ind w:left="1772" w:right="1437" w:firstLine="0"/>
        <w:jc w:val="center"/>
        <w:rPr/>
      </w:pPr>
      <w:r w:rsidDel="00000000" w:rsidR="00000000" w:rsidRPr="00000000">
        <w:rPr>
          <w:b w:val="1"/>
          <w:rtl w:val="0"/>
        </w:rPr>
        <w:t xml:space="preserve">Článok II – INFORMÁCIE O ORGÁNOCH SPOLOČNOSTI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ind w:left="-5" w:right="130" w:firstLine="0"/>
        <w:rPr/>
      </w:pPr>
      <w:r w:rsidDel="00000000" w:rsidR="00000000" w:rsidRPr="00000000">
        <w:rPr>
          <w:b w:val="1"/>
          <w:u w:val="single"/>
          <w:rtl w:val="0"/>
        </w:rPr>
        <w:t xml:space="preserve">Informácie o orgánoch účtovnej jednotky</w:t>
      </w:r>
      <w:r w:rsidDel="00000000" w:rsidR="00000000" w:rsidRPr="00000000">
        <w:rPr>
          <w:rtl w:val="0"/>
        </w:rP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osoby): </w:t>
      </w:r>
      <w:r w:rsidDel="00000000" w:rsidR="00000000" w:rsidRPr="00000000">
        <w:rPr>
          <w:rtl w:val="0"/>
        </w:rPr>
      </w:r>
    </w:p>
    <w:tbl>
      <w:tblPr>
        <w:tblStyle w:val="Table4"/>
        <w:tblW w:w="9746.0" w:type="dxa"/>
        <w:jc w:val="left"/>
        <w:tblLayout w:type="fixed"/>
        <w:tblLook w:val="0400"/>
      </w:tblPr>
      <w:tblGrid>
        <w:gridCol w:w="6207"/>
        <w:gridCol w:w="1689"/>
        <w:gridCol w:w="1850"/>
        <w:tblGridChange w:id="0">
          <w:tblGrid>
            <w:gridCol w:w="6207"/>
            <w:gridCol w:w="1689"/>
            <w:gridCol w:w="1850"/>
          </w:tblGrid>
        </w:tblGridChange>
      </w:tblGrid>
      <w:tr>
        <w:trPr>
          <w:cantSplit w:val="0"/>
          <w:trHeight w:val="7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8">
            <w:pPr>
              <w:spacing w:after="0" w:line="259" w:lineRule="auto"/>
              <w:ind w:left="0" w:right="3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Orgány účtovnej jednotky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9">
            <w:pPr>
              <w:spacing w:after="0" w:line="259" w:lineRule="auto"/>
              <w:ind w:left="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A">
            <w:pPr>
              <w:spacing w:after="0" w:line="259" w:lineRule="auto"/>
              <w:ind w:left="0" w:firstLine="2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B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rtl w:val="0"/>
              </w:rPr>
              <w:t xml:space="preserve">Štatutárny orgán: Konateľ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C">
            <w:pPr>
              <w:spacing w:after="0" w:line="259" w:lineRule="auto"/>
              <w:ind w:lef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1.Antonina      Monda</w:t>
            </w:r>
          </w:p>
          <w:p w:rsidR="00000000" w:rsidDel="00000000" w:rsidP="00000000" w:rsidRDefault="00000000" w:rsidRPr="00000000" w14:paraId="0000004D">
            <w:pPr>
              <w:spacing w:after="0" w:line="259" w:lineRule="auto"/>
              <w:ind w:lef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2.Atsushi</w:t>
            </w:r>
          </w:p>
          <w:p w:rsidR="00000000" w:rsidDel="00000000" w:rsidP="00000000" w:rsidRDefault="00000000" w:rsidRPr="00000000" w14:paraId="0000004E">
            <w:pPr>
              <w:spacing w:after="0" w:line="259" w:lineRule="auto"/>
              <w:ind w:lef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Koshida</w:t>
            </w:r>
          </w:p>
          <w:p w:rsidR="00000000" w:rsidDel="00000000" w:rsidP="00000000" w:rsidRDefault="00000000" w:rsidRPr="00000000" w14:paraId="0000004F">
            <w:pPr>
              <w:spacing w:after="0" w:line="259" w:lineRule="auto"/>
              <w:ind w:lef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0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1.Antonina Monda</w:t>
            </w:r>
          </w:p>
          <w:p w:rsidR="00000000" w:rsidDel="00000000" w:rsidP="00000000" w:rsidRDefault="00000000" w:rsidRPr="00000000" w14:paraId="00000051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2.Atsushi</w:t>
            </w:r>
          </w:p>
          <w:p w:rsidR="00000000" w:rsidDel="00000000" w:rsidP="00000000" w:rsidRDefault="00000000" w:rsidRPr="00000000" w14:paraId="00000052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Koshida </w:t>
            </w:r>
          </w:p>
        </w:tc>
      </w:tr>
      <w:tr>
        <w:trPr>
          <w:cantSplit w:val="0"/>
          <w:trHeight w:val="51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3">
            <w:pPr>
              <w:spacing w:after="16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Dozorný orgán 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spacing w:after="0" w:line="259" w:lineRule="auto"/>
              <w:ind w:left="36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</w:t>
            </w:r>
            <w:r w:rsidDel="00000000" w:rsidR="00000000" w:rsidRPr="00000000">
              <w:rPr>
                <w:b w:val="1"/>
                <w:rtl w:val="0"/>
              </w:rPr>
              <w:t xml:space="preserve">druh príjmu (výhody):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5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6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 </w:t>
            </w:r>
          </w:p>
        </w:tc>
      </w:tr>
      <w:tr>
        <w:trPr>
          <w:cantSplit w:val="0"/>
          <w:trHeight w:val="28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spacing w:after="0" w:line="259" w:lineRule="auto"/>
              <w:ind w:left="36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druh príjmu (výhody):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Iný orgán účtovnej jednotky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spacing w:after="0" w:line="259" w:lineRule="auto"/>
              <w:ind w:left="36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druh príjmu (výhody):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3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65">
      <w:pPr>
        <w:pStyle w:val="Heading1"/>
        <w:ind w:right="7"/>
        <w:rPr/>
      </w:pPr>
      <w:r w:rsidDel="00000000" w:rsidR="00000000" w:rsidRPr="00000000">
        <w:rPr>
          <w:rtl w:val="0"/>
        </w:rPr>
        <w:t xml:space="preserve">Článok III – INFORMÁCIE O PRIJATÝCH POSTUPOCH</w:t>
      </w:r>
      <w:r w:rsidDel="00000000" w:rsidR="00000000" w:rsidRPr="00000000">
        <w:rPr>
          <w:u w:val="no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numPr>
          <w:ilvl w:val="0"/>
          <w:numId w:val="5"/>
        </w:numPr>
        <w:ind w:left="211" w:right="66" w:hanging="211"/>
        <w:rPr/>
      </w:pPr>
      <w:r w:rsidDel="00000000" w:rsidR="00000000" w:rsidRPr="00000000">
        <w:rPr>
          <w:rtl w:val="0"/>
        </w:rPr>
        <w:t xml:space="preserve">Účtovná závierka je zostavená za splnenia predpokladu, že účtovná jednotka bude </w:t>
      </w:r>
      <w:r w:rsidDel="00000000" w:rsidR="00000000" w:rsidRPr="00000000">
        <w:rPr>
          <w:b w:val="1"/>
          <w:rtl w:val="0"/>
        </w:rPr>
        <w:t xml:space="preserve">nepretržite pokračovať</w:t>
      </w:r>
      <w:r w:rsidDel="00000000" w:rsidR="00000000" w:rsidRPr="00000000">
        <w:rPr>
          <w:rtl w:val="0"/>
        </w:rPr>
        <w:t xml:space="preserve"> vo svojej činnosti minimálne 12 mesiacov po závierkovom dni v zmysle § 7 ods. 4 zákona o účtovníctve. Ak by tento predpoklad nebol splnený, uvedie sa aj dopad do účtovnej závierky (napr. zrušenie dlhodobých rezerv): Účtovné zásady a metódy neboli menené v priebehu účtovného obdobia.  </w:t>
      </w:r>
    </w:p>
    <w:p w:rsidR="00000000" w:rsidDel="00000000" w:rsidP="00000000" w:rsidRDefault="00000000" w:rsidRPr="00000000" w14:paraId="00000068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69">
      <w:pPr>
        <w:numPr>
          <w:ilvl w:val="0"/>
          <w:numId w:val="5"/>
        </w:numPr>
        <w:ind w:left="211" w:right="66" w:hanging="211"/>
        <w:rPr/>
      </w:pPr>
      <w:r w:rsidDel="00000000" w:rsidR="00000000" w:rsidRPr="00000000">
        <w:rPr>
          <w:rtl w:val="0"/>
        </w:rPr>
        <w:t xml:space="preserve">Informácia o aplikácii účtovných zásad a účtovných metód, ktoré sú dôležité na posúdenie majetku, záväzkov, finančnej situácie a výsledku hospodárenia. Informácia </w:t>
      </w:r>
      <w:r w:rsidDel="00000000" w:rsidR="00000000" w:rsidRPr="00000000">
        <w:rPr>
          <w:b w:val="1"/>
          <w:rtl w:val="0"/>
        </w:rPr>
        <w:t xml:space="preserve">o zmenách účtovných zásad a zmenách účtovných metód</w:t>
      </w:r>
      <w:r w:rsidDel="00000000" w:rsidR="00000000" w:rsidRPr="00000000">
        <w:rPr>
          <w:rtl w:val="0"/>
        </w:rPr>
        <w:t xml:space="preserve">, a to s uvedením </w:t>
      </w:r>
      <w:r w:rsidDel="00000000" w:rsidR="00000000" w:rsidRPr="00000000">
        <w:rPr>
          <w:u w:val="single"/>
          <w:rtl w:val="0"/>
        </w:rPr>
        <w:t xml:space="preserve">dôvodu</w:t>
      </w:r>
      <w:r w:rsidDel="00000000" w:rsidR="00000000" w:rsidRPr="00000000">
        <w:rPr>
          <w:rtl w:val="0"/>
        </w:rPr>
        <w:t xml:space="preserve"> ich uplatnenia a ich </w:t>
      </w:r>
      <w:r w:rsidDel="00000000" w:rsidR="00000000" w:rsidRPr="00000000">
        <w:rPr>
          <w:u w:val="single"/>
          <w:rtl w:val="0"/>
        </w:rPr>
        <w:t xml:space="preserve">vplyvu na hodnotu</w:t>
      </w:r>
      <w:r w:rsidDel="00000000" w:rsidR="00000000" w:rsidRPr="00000000">
        <w:rPr>
          <w:rtl w:val="0"/>
        </w:rP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spacing w:after="11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numPr>
          <w:ilvl w:val="0"/>
          <w:numId w:val="5"/>
        </w:numPr>
        <w:ind w:left="211" w:right="66" w:hanging="211"/>
        <w:rPr/>
      </w:pPr>
      <w:r w:rsidDel="00000000" w:rsidR="00000000" w:rsidRPr="00000000">
        <w:rPr>
          <w:rtl w:val="0"/>
        </w:rPr>
        <w:t xml:space="preserve">Všetky informácie o transakciách sú zachytené v súvahe.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spacing w:after="96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spacing w:after="96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spacing w:after="96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spacing w:after="96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spacing w:after="96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spacing w:after="96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spacing w:after="79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numPr>
          <w:ilvl w:val="0"/>
          <w:numId w:val="5"/>
        </w:numPr>
        <w:spacing w:after="148" w:lineRule="auto"/>
        <w:ind w:left="211" w:right="66" w:hanging="211"/>
        <w:rPr/>
      </w:pPr>
      <w:r w:rsidDel="00000000" w:rsidR="00000000" w:rsidRPr="00000000">
        <w:rPr>
          <w:b w:val="1"/>
          <w:rtl w:val="0"/>
        </w:rPr>
        <w:t xml:space="preserve">Spôsob a určenie oceňovania</w:t>
      </w:r>
      <w:r w:rsidDel="00000000" w:rsidR="00000000" w:rsidRPr="00000000">
        <w:rPr>
          <w:rtl w:val="0"/>
        </w:rPr>
        <w:t xml:space="preserve"> majetku a záväzkov (vrátane rozhodujúcich odhadov): </w:t>
      </w:r>
    </w:p>
    <w:p w:rsidR="00000000" w:rsidDel="00000000" w:rsidP="00000000" w:rsidRDefault="00000000" w:rsidRPr="00000000" w14:paraId="0000007C">
      <w:pPr>
        <w:numPr>
          <w:ilvl w:val="0"/>
          <w:numId w:val="1"/>
        </w:numPr>
        <w:ind w:left="211" w:right="130" w:hanging="211"/>
        <w:rPr/>
      </w:pPr>
      <w:r w:rsidDel="00000000" w:rsidR="00000000" w:rsidRPr="00000000">
        <w:rPr>
          <w:rtl w:val="0"/>
        </w:rPr>
        <w:t xml:space="preserve">Spôsob oceňovania majetku a záväzkov (§ 25 ZoU): </w:t>
      </w:r>
    </w:p>
    <w:p w:rsidR="00000000" w:rsidDel="00000000" w:rsidP="00000000" w:rsidRDefault="00000000" w:rsidRPr="00000000" w14:paraId="0000007D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7E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tbl>
      <w:tblPr>
        <w:tblStyle w:val="Table5"/>
        <w:tblW w:w="9638.0" w:type="dxa"/>
        <w:jc w:val="left"/>
        <w:tblInd w:w="-122.0" w:type="dxa"/>
        <w:tblLayout w:type="fixed"/>
        <w:tblLook w:val="0400"/>
      </w:tblPr>
      <w:tblGrid>
        <w:gridCol w:w="706"/>
        <w:gridCol w:w="5300"/>
        <w:gridCol w:w="3632"/>
        <w:tblGridChange w:id="0">
          <w:tblGrid>
            <w:gridCol w:w="706"/>
            <w:gridCol w:w="5300"/>
            <w:gridCol w:w="3632"/>
          </w:tblGrid>
        </w:tblGridChange>
      </w:tblGrid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F">
            <w:pPr>
              <w:spacing w:after="0" w:line="259" w:lineRule="auto"/>
              <w:ind w:left="0" w:right="47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Č.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0">
            <w:pPr>
              <w:spacing w:after="0" w:line="259" w:lineRule="auto"/>
              <w:ind w:left="0" w:right="42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Názov položky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1">
            <w:pPr>
              <w:spacing w:after="0" w:line="259" w:lineRule="auto"/>
              <w:ind w:left="0" w:right="40" w:firstLine="0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Spôsob oceňovania</w:t>
            </w: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2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1.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3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Dlhodobý nehmotný majetok externe kúpený: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4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Obstarávacia cena 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5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2.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6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Dlhodobý nehmotný majetok interne vytvorený: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7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Vlastné náklady </w:t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8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3.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9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Dlhodobý nehmotný majetok obstaraný inak (darom):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A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Reprodukčná obstarávacia cena </w:t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B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4.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C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Dlhodobý hmotný majetok externe kúpený: 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D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Obstarávacia cena 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E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5.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8F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Dlhodobý hmotný majetok interne vytvorený: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0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Vlastné náklady </w:t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1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6.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2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Dlhodobý nehmotný majetok obstaraný inak (darom):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3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Reprodukčná obstarávacia cena </w:t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4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7.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5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Dlhodobý finančný majetok: 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6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Obstarávacia cena </w:t>
            </w:r>
          </w:p>
        </w:tc>
      </w:tr>
      <w:tr>
        <w:trPr>
          <w:cantSplit w:val="0"/>
          <w:trHeight w:val="26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7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8.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8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Zásoby obstarané kúpou: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9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Obstarávacia cena </w:t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A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9.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B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Zásoby vytvorené vlastnou činnosťou: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C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Vlastné náklady </w:t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D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10.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E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Zásoby obstarané inak (darom):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9F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Reprodukčná obstarávacia cena 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0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11.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1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ZV a zákazková výstavba nehnuteľnosti určenej na predaj: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2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Menovitá hodnota </w:t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3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12.1.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4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Vlastné pohľadávky: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5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Menovitá hodnota </w:t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6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12.2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7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Kúpené pohľadávky: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8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Obstarávacia cena 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9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13.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A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Krátkodobý finančný majetok: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B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Obstarávacia cena </w:t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C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14.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D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Časové rozlíšenie na strane aktív súvahy: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E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Menovitá hodnota 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AF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15.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0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Záväzky, vrátane rezerv, dlhopisov, pôžičiek a úverov: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1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Menovitá hodnota </w:t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2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16.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3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Časové rozlíšenie na strane pasív súvahy: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4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Menovitá hodnota </w:t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5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17.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6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Deriváty: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7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Menovitá hodnota 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8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18.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9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Majetok a záväzky zabezpečené derivátmi: 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A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Menovitá hodnota </w:t>
            </w:r>
          </w:p>
        </w:tc>
      </w:tr>
      <w:tr>
        <w:trPr>
          <w:cantSplit w:val="0"/>
          <w:trHeight w:val="51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B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19.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C">
            <w:pPr>
              <w:spacing w:after="0" w:line="259" w:lineRule="auto"/>
              <w:ind w:left="0" w:firstLine="0"/>
              <w:rPr/>
            </w:pPr>
            <w:r w:rsidDel="00000000" w:rsidR="00000000" w:rsidRPr="00000000">
              <w:rPr>
                <w:rtl w:val="0"/>
              </w:rPr>
              <w:t xml:space="preserve">Prenajatý majetok a majetok obstaraný na základe zmluvy o kúpe prenajatej veci: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D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Obstarávacia cena </w:t>
            </w:r>
          </w:p>
        </w:tc>
      </w:tr>
      <w:tr>
        <w:trPr>
          <w:cantSplit w:val="0"/>
          <w:trHeight w:val="264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E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20.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BF">
            <w:pPr>
              <w:spacing w:after="0" w:line="259" w:lineRule="auto"/>
              <w:ind w:lef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Splatná daň z príjmov a odložená daň z príjmov: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C0">
            <w:pPr>
              <w:spacing w:after="0" w:line="259" w:lineRule="auto"/>
              <w:ind w:left="2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Menovitá hodnota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1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numPr>
          <w:ilvl w:val="0"/>
          <w:numId w:val="1"/>
        </w:numPr>
        <w:spacing w:after="107" w:lineRule="auto"/>
        <w:ind w:left="211" w:right="130" w:hanging="211"/>
        <w:rPr/>
      </w:pPr>
      <w:r w:rsidDel="00000000" w:rsidR="00000000" w:rsidRPr="00000000">
        <w:rPr>
          <w:rtl w:val="0"/>
        </w:rPr>
        <w:t xml:space="preserve">Trvalé zníženie hodnoty majetku nebolo účtované.  </w:t>
      </w:r>
    </w:p>
    <w:p w:rsidR="00000000" w:rsidDel="00000000" w:rsidP="00000000" w:rsidRDefault="00000000" w:rsidRPr="00000000" w14:paraId="000000C3">
      <w:pPr>
        <w:numPr>
          <w:ilvl w:val="0"/>
          <w:numId w:val="1"/>
        </w:numPr>
        <w:spacing w:after="107" w:lineRule="auto"/>
        <w:ind w:left="211" w:right="130" w:hanging="211"/>
        <w:rPr/>
      </w:pPr>
      <w:r w:rsidDel="00000000" w:rsidR="00000000" w:rsidRPr="00000000">
        <w:rPr>
          <w:rtl w:val="0"/>
        </w:rPr>
        <w:t xml:space="preserve">Záväzky účtovná jednotka ocenila menovitou hodnotou záväzkov.  </w:t>
      </w:r>
    </w:p>
    <w:p w:rsidR="00000000" w:rsidDel="00000000" w:rsidP="00000000" w:rsidRDefault="00000000" w:rsidRPr="00000000" w14:paraId="000000C4">
      <w:pPr>
        <w:spacing w:after="16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00C5">
      <w:pPr>
        <w:numPr>
          <w:ilvl w:val="0"/>
          <w:numId w:val="3"/>
        </w:numPr>
        <w:spacing w:after="177" w:lineRule="auto"/>
        <w:ind w:left="226" w:right="65" w:hanging="226"/>
        <w:jc w:val="left"/>
        <w:rPr/>
      </w:pPr>
      <w:r w:rsidDel="00000000" w:rsidR="00000000" w:rsidRPr="00000000">
        <w:rPr>
          <w:u w:val="single"/>
          <w:rtl w:val="0"/>
        </w:rPr>
        <w:t xml:space="preserve">Účtovné odpisy sa rovnajú daňovým odpisom</w:t>
      </w:r>
      <w:r w:rsidDel="00000000" w:rsidR="00000000" w:rsidRPr="00000000">
        <w:rPr>
          <w:rtl w:val="0"/>
        </w:rPr>
        <w:t xml:space="preserve">. Majetok sa začína odpisovať v mesiaci, kedy bol </w:t>
      </w:r>
      <w:r w:rsidDel="00000000" w:rsidR="00000000" w:rsidRPr="00000000">
        <w:rPr>
          <w:u w:val="single"/>
          <w:rtl w:val="0"/>
        </w:rPr>
        <w:t xml:space="preserve">zaradený do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u w:val="single"/>
          <w:rtl w:val="0"/>
        </w:rPr>
        <w:t xml:space="preserve">užívania</w:t>
      </w:r>
      <w:r w:rsidDel="00000000" w:rsidR="00000000" w:rsidRPr="00000000">
        <w:rPr>
          <w:rtl w:val="0"/>
        </w:rPr>
        <w:t xml:space="preserve">.  </w:t>
      </w:r>
    </w:p>
    <w:p w:rsidR="00000000" w:rsidDel="00000000" w:rsidP="00000000" w:rsidRDefault="00000000" w:rsidRPr="00000000" w14:paraId="000000C6">
      <w:pPr>
        <w:numPr>
          <w:ilvl w:val="0"/>
          <w:numId w:val="3"/>
        </w:numPr>
        <w:spacing w:after="103" w:lineRule="auto"/>
        <w:ind w:left="226" w:right="65" w:hanging="226"/>
        <w:jc w:val="left"/>
        <w:rPr/>
      </w:pPr>
      <w:r w:rsidDel="00000000" w:rsidR="00000000" w:rsidRPr="00000000">
        <w:rPr>
          <w:rtl w:val="0"/>
        </w:rPr>
        <w:t xml:space="preserve">UJ používa </w:t>
      </w:r>
      <w:r w:rsidDel="00000000" w:rsidR="00000000" w:rsidRPr="00000000">
        <w:rPr>
          <w:u w:val="single"/>
          <w:rtl w:val="0"/>
        </w:rPr>
        <w:t xml:space="preserve">rovnomerné odpisovanie</w:t>
      </w:r>
      <w:r w:rsidDel="00000000" w:rsidR="00000000" w:rsidRPr="00000000">
        <w:rPr>
          <w:rtl w:val="0"/>
        </w:rPr>
        <w:t xml:space="preserve"> dlhodobého hmotného majetku a dlhodobého nehmotného majetku.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spacing w:after="79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spacing w:after="111" w:lineRule="auto"/>
        <w:ind w:left="-5" w:right="130" w:firstLine="0"/>
        <w:rPr/>
      </w:pPr>
      <w:r w:rsidDel="00000000" w:rsidR="00000000" w:rsidRPr="00000000">
        <w:rPr>
          <w:rtl w:val="0"/>
        </w:rPr>
        <w:t xml:space="preserve">d) Informácia </w:t>
      </w:r>
      <w:r w:rsidDel="00000000" w:rsidR="00000000" w:rsidRPr="00000000">
        <w:rPr>
          <w:b w:val="1"/>
          <w:rtl w:val="0"/>
        </w:rPr>
        <w:t xml:space="preserve">o poskytnutých dotáciách</w:t>
      </w:r>
      <w:r w:rsidDel="00000000" w:rsidR="00000000" w:rsidRPr="00000000">
        <w:rPr>
          <w:rtl w:val="0"/>
        </w:rPr>
        <w:t xml:space="preserve"> a pri dotáciách na obstaranie majetku sa uvedú zložky majetku a ich ocenenie: Účtovná jednotka nedostala žiadne dotácie. </w:t>
      </w:r>
    </w:p>
    <w:p w:rsidR="00000000" w:rsidDel="00000000" w:rsidP="00000000" w:rsidRDefault="00000000" w:rsidRPr="00000000" w14:paraId="000000C9">
      <w:pPr>
        <w:spacing w:after="107" w:lineRule="auto"/>
        <w:ind w:left="-5" w:right="130" w:firstLine="0"/>
        <w:rPr/>
      </w:pPr>
      <w:r w:rsidDel="00000000" w:rsidR="00000000" w:rsidRPr="00000000">
        <w:rPr>
          <w:rtl w:val="0"/>
        </w:rPr>
        <w:t xml:space="preserve">5) Účtovná jednotka neúčtovala o oprave významných chýb minulých účtovných období.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spacing w:after="98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B">
      <w:pPr>
        <w:spacing w:after="100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C">
      <w:pPr>
        <w:spacing w:after="98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D">
      <w:pPr>
        <w:spacing w:after="98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E">
      <w:pPr>
        <w:spacing w:after="98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F">
      <w:pPr>
        <w:spacing w:after="98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0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1">
      <w:pPr>
        <w:spacing w:after="101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2">
      <w:pPr>
        <w:spacing w:after="0" w:line="259" w:lineRule="auto"/>
        <w:ind w:left="703" w:firstLine="0"/>
        <w:jc w:val="left"/>
        <w:rPr/>
      </w:pPr>
      <w:r w:rsidDel="00000000" w:rsidR="00000000" w:rsidRPr="00000000">
        <w:rPr>
          <w:b w:val="1"/>
          <w:u w:val="single"/>
          <w:rtl w:val="0"/>
        </w:rPr>
        <w:t xml:space="preserve">Článok IV – INFORMÁCIE, KTORÉ VYSVETĽUJÚ A DOPĹŇAJÚ SÚVAHU A VÝKAZ ZISKOV A STRÁT</w:t>
      </w: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3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4">
      <w:pPr>
        <w:ind w:left="-5" w:right="130" w:firstLine="0"/>
        <w:rPr/>
      </w:pPr>
      <w:r w:rsidDel="00000000" w:rsidR="00000000" w:rsidRPr="00000000">
        <w:rPr>
          <w:rtl w:val="0"/>
        </w:rPr>
        <w:t xml:space="preserve">a) Dlhodobý nehmotný majetok, ktorým je </w:t>
      </w:r>
      <w:r w:rsidDel="00000000" w:rsidR="00000000" w:rsidRPr="00000000">
        <w:rPr>
          <w:u w:val="single"/>
          <w:rtl w:val="0"/>
        </w:rPr>
        <w:t xml:space="preserve">goodwill alebo záporný goodwill</w:t>
      </w:r>
      <w:r w:rsidDel="00000000" w:rsidR="00000000" w:rsidRPr="00000000">
        <w:rPr>
          <w:b w:val="1"/>
          <w:rtl w:val="0"/>
        </w:rPr>
        <w:t xml:space="preserve"> - </w:t>
      </w:r>
      <w:r w:rsidDel="00000000" w:rsidR="00000000" w:rsidRPr="00000000">
        <w:rPr>
          <w:rtl w:val="0"/>
        </w:rPr>
        <w:t xml:space="preserve">dôvod jeho vzniku, spôsob výpočtu a prehodnotenie opodstatnenosti jeho výšky a odpisu jeho hodnoty: Účtovná jednotka neúčtovala o goodwille ani o zápornom goodwille.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5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spacing w:after="102" w:lineRule="auto"/>
        <w:ind w:left="-5" w:right="130" w:firstLine="0"/>
        <w:rPr/>
      </w:pPr>
      <w:r w:rsidDel="00000000" w:rsidR="00000000" w:rsidRPr="00000000">
        <w:rPr>
          <w:rtl w:val="0"/>
        </w:rPr>
        <w:t xml:space="preserve">2) Informácie o významných </w:t>
      </w:r>
      <w:r w:rsidDel="00000000" w:rsidR="00000000" w:rsidRPr="00000000">
        <w:rPr>
          <w:u w:val="single"/>
          <w:rtl w:val="0"/>
        </w:rPr>
        <w:t xml:space="preserve">položkách derivátov, majetku a záväzkoch zabezpečených derivátmi (§ 16 PU):</w:t>
      </w:r>
      <w:r w:rsidDel="00000000" w:rsidR="00000000" w:rsidRPr="00000000">
        <w:rPr>
          <w:rtl w:val="0"/>
        </w:rPr>
        <w:t xml:space="preserve"> Účtovná jednotka nemá žiadny majetok ani záväzky zabezpečené derivátmi.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spacing w:after="146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8">
      <w:pPr>
        <w:spacing w:after="92" w:lineRule="auto"/>
        <w:ind w:left="-5" w:firstLine="0"/>
        <w:jc w:val="left"/>
        <w:rPr/>
      </w:pPr>
      <w:r w:rsidDel="00000000" w:rsidR="00000000" w:rsidRPr="00000000">
        <w:rPr>
          <w:rtl w:val="0"/>
        </w:rPr>
        <w:t xml:space="preserve">3a) Celková suma </w:t>
      </w:r>
      <w:r w:rsidDel="00000000" w:rsidR="00000000" w:rsidRPr="00000000">
        <w:rPr>
          <w:u w:val="single"/>
          <w:rtl w:val="0"/>
        </w:rPr>
        <w:t xml:space="preserve">záväzkov so zostatkovou dobou splatnosti dlhšou ako 5 rokov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:  </w:t>
      </w:r>
      <w:r w:rsidDel="00000000" w:rsidR="00000000" w:rsidRPr="00000000">
        <w:rPr>
          <w:sz w:val="24"/>
          <w:szCs w:val="24"/>
          <w:rtl w:val="0"/>
        </w:rPr>
        <w:t xml:space="preserve">Účtovná jednotka nemá záväzky splatné viac ako 5 rokov.</w:t>
      </w: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9">
      <w:pPr>
        <w:spacing w:after="151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DA">
      <w:pPr>
        <w:numPr>
          <w:ilvl w:val="0"/>
          <w:numId w:val="2"/>
        </w:numPr>
        <w:spacing w:after="106" w:lineRule="auto"/>
        <w:ind w:left="211" w:right="130" w:hanging="211"/>
        <w:rPr/>
      </w:pPr>
      <w:r w:rsidDel="00000000" w:rsidR="00000000" w:rsidRPr="00000000">
        <w:rPr>
          <w:u w:val="single"/>
          <w:rtl w:val="0"/>
        </w:rPr>
        <w:t xml:space="preserve">Informácie o vlastných akciách</w:t>
      </w:r>
      <w:r w:rsidDel="00000000" w:rsidR="00000000" w:rsidRPr="00000000">
        <w:rPr>
          <w:rtl w:val="0"/>
        </w:rPr>
        <w:t xml:space="preserve">: Účtovná jednotka nemá vlastné akcie.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B">
      <w:pPr>
        <w:spacing w:after="76" w:line="259" w:lineRule="auto"/>
        <w:ind w:left="0" w:firstLine="0"/>
        <w:jc w:val="left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numPr>
          <w:ilvl w:val="0"/>
          <w:numId w:val="2"/>
        </w:numPr>
        <w:ind w:left="211" w:right="130" w:hanging="211"/>
        <w:rPr/>
      </w:pPr>
      <w:r w:rsidDel="00000000" w:rsidR="00000000" w:rsidRPr="00000000">
        <w:rPr>
          <w:rtl w:val="0"/>
        </w:rPr>
        <w:t xml:space="preserve">Informácie o sume a dôvodoch vzniku jednotlivých položiek </w:t>
      </w:r>
      <w:r w:rsidDel="00000000" w:rsidR="00000000" w:rsidRPr="00000000">
        <w:rPr>
          <w:b w:val="1"/>
          <w:rtl w:val="0"/>
        </w:rPr>
        <w:t xml:space="preserve">nákladov alebo výnosov</w:t>
      </w:r>
      <w:r w:rsidDel="00000000" w:rsidR="00000000" w:rsidRPr="00000000">
        <w:rPr>
          <w:rtl w:val="0"/>
        </w:rPr>
        <w:t xml:space="preserve">, ktoré majú </w:t>
      </w:r>
      <w:r w:rsidDel="00000000" w:rsidR="00000000" w:rsidRPr="00000000">
        <w:rPr>
          <w:u w:val="single"/>
          <w:rtl w:val="0"/>
        </w:rPr>
        <w:t xml:space="preserve">výnimočný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u w:val="single"/>
          <w:rtl w:val="0"/>
        </w:rPr>
        <w:t xml:space="preserve">rozsah alebo výskyt</w:t>
      </w:r>
      <w:r w:rsidDel="00000000" w:rsidR="00000000" w:rsidRPr="00000000">
        <w:rPr>
          <w:rtl w:val="0"/>
        </w:rPr>
        <w:t xml:space="preserve"> (napr. výnosy z predaja podniku alebo jeho časti, náklady z dôvodu predaja podniku alebo jeho časti, škody z dôvodu živelných pohrôm): Účtovná jednotka neúčtovala o výnimočných nákladoch ani výnosoch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D">
      <w:pPr>
        <w:spacing w:after="115" w:line="259" w:lineRule="auto"/>
        <w:ind w:left="0" w:firstLine="0"/>
        <w:jc w:val="left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E">
      <w:pPr>
        <w:spacing w:after="79" w:line="259" w:lineRule="auto"/>
        <w:ind w:left="384" w:firstLine="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F">
      <w:pPr>
        <w:ind w:left="-5" w:right="130" w:firstLine="0"/>
        <w:rPr/>
      </w:pPr>
      <w:r w:rsidDel="00000000" w:rsidR="00000000" w:rsidRPr="00000000">
        <w:rPr>
          <w:rtl w:val="0"/>
        </w:rPr>
        <w:t xml:space="preserve">Účtovná jednotka nemá podmienený majetok, ani podmienené záväzky. Nemá finančné povinnosti nevykázané v účtovných výkazoch. </w:t>
      </w:r>
    </w:p>
    <w:p w:rsidR="00000000" w:rsidDel="00000000" w:rsidP="00000000" w:rsidRDefault="00000000" w:rsidRPr="00000000" w14:paraId="000000E0">
      <w:pPr>
        <w:ind w:left="-5" w:right="130" w:firstLine="0"/>
        <w:rPr/>
      </w:pPr>
      <w:r w:rsidDel="00000000" w:rsidR="00000000" w:rsidRPr="00000000">
        <w:rPr>
          <w:rtl w:val="0"/>
        </w:rPr>
        <w:t xml:space="preserve">Účtovná jednotka nevedie podsúvahové účty. </w:t>
      </w:r>
    </w:p>
    <w:p w:rsidR="00000000" w:rsidDel="00000000" w:rsidP="00000000" w:rsidRDefault="00000000" w:rsidRPr="00000000" w14:paraId="000000E1">
      <w:pPr>
        <w:spacing w:after="0" w:line="259" w:lineRule="auto"/>
        <w:ind w:lef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E2">
      <w:pPr>
        <w:spacing w:after="0" w:line="259" w:lineRule="auto"/>
        <w:ind w:left="375" w:firstLine="0"/>
        <w:jc w:val="center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3">
      <w:pPr>
        <w:spacing w:after="1" w:line="260" w:lineRule="auto"/>
        <w:ind w:left="1772" w:right="1390" w:firstLine="0"/>
        <w:jc w:val="center"/>
        <w:rPr/>
      </w:pPr>
      <w:r w:rsidDel="00000000" w:rsidR="00000000" w:rsidRPr="00000000">
        <w:rPr>
          <w:b w:val="1"/>
          <w:rtl w:val="0"/>
        </w:rPr>
        <w:t xml:space="preserve">Článok VI – UDALOSTI, KTORÉ NASTALI PO ZÁVIERKOVOM DNI (Následné udalosti)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4">
      <w:pPr>
        <w:spacing w:after="11" w:line="259" w:lineRule="auto"/>
        <w:ind w:left="384" w:firstLine="0"/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5">
      <w:pPr>
        <w:ind w:left="-5" w:right="130" w:firstLine="0"/>
        <w:rPr/>
      </w:pPr>
      <w:r w:rsidDel="00000000" w:rsidR="00000000" w:rsidRPr="00000000">
        <w:rPr>
          <w:rtl w:val="0"/>
        </w:rPr>
        <w:t xml:space="preserve">Po uzávierkovom dni nenastali žiadne relevantné udalosti.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headerReference r:id="rId8" w:type="even"/>
      <w:footerReference r:id="rId9" w:type="default"/>
      <w:footerReference r:id="rId10" w:type="first"/>
      <w:footerReference r:id="rId11" w:type="even"/>
      <w:pgSz w:h="16838" w:w="11906" w:orient="portrait"/>
      <w:pgMar w:bottom="1590" w:top="1425" w:left="1416" w:right="848" w:header="573" w:footer="565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Times New Roman"/>
  <w:font w:name="Noto Sans Symbol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EC">
    <w:pPr>
      <w:spacing w:after="0" w:line="259" w:lineRule="auto"/>
      <w:ind w:left="0" w:right="144" w:firstLine="0"/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sz w:val="24"/>
        <w:szCs w:val="24"/>
        <w:rtl w:val="0"/>
      </w:rPr>
      <w:t xml:space="preserve">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ED">
    <w:pPr>
      <w:spacing w:after="0" w:line="259" w:lineRule="auto"/>
      <w:ind w:left="0" w:firstLine="0"/>
      <w:jc w:val="left"/>
      <w:rPr/>
    </w:pPr>
    <w:r w:rsidDel="00000000" w:rsidR="00000000" w:rsidRPr="00000000">
      <w:rPr>
        <w:rFonts w:ascii="Times New Roman" w:cs="Times New Roman" w:eastAsia="Times New Roman" w:hAnsi="Times New Roman"/>
        <w:sz w:val="24"/>
        <w:szCs w:val="24"/>
        <w:rtl w:val="0"/>
      </w:rPr>
      <w:t xml:space="preserve"> </w:t>
    </w: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EE">
    <w:pPr>
      <w:spacing w:after="0" w:line="259" w:lineRule="auto"/>
      <w:ind w:left="0" w:right="144" w:firstLine="0"/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sz w:val="24"/>
        <w:szCs w:val="24"/>
        <w:rtl w:val="0"/>
      </w:rPr>
      <w:t xml:space="preserve">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EF">
    <w:pPr>
      <w:spacing w:after="0" w:line="259" w:lineRule="auto"/>
      <w:ind w:left="0" w:firstLine="0"/>
      <w:jc w:val="left"/>
      <w:rPr/>
    </w:pPr>
    <w:r w:rsidDel="00000000" w:rsidR="00000000" w:rsidRPr="00000000">
      <w:rPr>
        <w:rFonts w:ascii="Times New Roman" w:cs="Times New Roman" w:eastAsia="Times New Roman" w:hAnsi="Times New Roman"/>
        <w:sz w:val="24"/>
        <w:szCs w:val="24"/>
        <w:rtl w:val="0"/>
      </w:rPr>
      <w:t xml:space="preserve"> </w:t>
    </w: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F0">
    <w:pPr>
      <w:spacing w:after="0" w:line="259" w:lineRule="auto"/>
      <w:ind w:left="0" w:right="144" w:firstLine="0"/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sz w:val="24"/>
        <w:szCs w:val="24"/>
        <w:rtl w:val="0"/>
      </w:rPr>
      <w:t xml:space="preserve"> 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1">
    <w:pPr>
      <w:spacing w:after="0" w:line="259" w:lineRule="auto"/>
      <w:ind w:left="0" w:firstLine="0"/>
      <w:jc w:val="left"/>
      <w:rPr/>
    </w:pPr>
    <w:r w:rsidDel="00000000" w:rsidR="00000000" w:rsidRPr="00000000">
      <w:rPr>
        <w:rFonts w:ascii="Times New Roman" w:cs="Times New Roman" w:eastAsia="Times New Roman" w:hAnsi="Times New Roman"/>
        <w:sz w:val="24"/>
        <w:szCs w:val="24"/>
        <w:rtl w:val="0"/>
      </w:rPr>
      <w:t xml:space="preserve">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E6">
    <w:pPr>
      <w:spacing w:after="0" w:line="259" w:lineRule="auto"/>
      <w:ind w:left="619" w:firstLine="0"/>
      <w:jc w:val="left"/>
      <w:rPr/>
    </w:pPr>
    <w:r w:rsidDel="00000000" w:rsidR="00000000" w:rsidRPr="00000000">
      <w:rPr>
        <w:rtl w:val="0"/>
      </w:rPr>
      <w:t xml:space="preserve">Poznámky Úč MÚV 3 – 01                           IČO: 53085540       DIČ: 2121257017 </w:t>
    </w:r>
  </w:p>
  <w:p w:rsidR="00000000" w:rsidDel="00000000" w:rsidP="00000000" w:rsidRDefault="00000000" w:rsidRPr="00000000" w14:paraId="000000E7">
    <w:pPr>
      <w:spacing w:after="0" w:line="259" w:lineRule="auto"/>
      <w:ind w:left="0" w:firstLine="0"/>
      <w:jc w:val="left"/>
      <w:rPr/>
    </w:pPr>
    <w:r w:rsidDel="00000000" w:rsidR="00000000" w:rsidRPr="00000000">
      <w:rPr>
        <w:rtl w:val="0"/>
      </w:rPr>
      <w:t xml:space="preserve"> </w:t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E8">
    <w:pPr>
      <w:spacing w:after="0" w:line="259" w:lineRule="auto"/>
      <w:ind w:left="619" w:firstLine="0"/>
      <w:jc w:val="left"/>
      <w:rPr/>
    </w:pPr>
    <w:r w:rsidDel="00000000" w:rsidR="00000000" w:rsidRPr="00000000">
      <w:rPr>
        <w:rtl w:val="0"/>
      </w:rPr>
      <w:t xml:space="preserve">Poznámky Úč MÚV 3 – 01                           IČO: 53085540       DIČ: 2121257017 </w:t>
    </w:r>
  </w:p>
  <w:p w:rsidR="00000000" w:rsidDel="00000000" w:rsidP="00000000" w:rsidRDefault="00000000" w:rsidRPr="00000000" w14:paraId="000000E9">
    <w:pPr>
      <w:spacing w:after="0" w:line="259" w:lineRule="auto"/>
      <w:ind w:left="0" w:firstLine="0"/>
      <w:jc w:val="left"/>
      <w:rPr/>
    </w:pPr>
    <w:r w:rsidDel="00000000" w:rsidR="00000000" w:rsidRPr="00000000">
      <w:rPr>
        <w:rtl w:val="0"/>
      </w:rPr>
      <w:t xml:space="preserve"> </w:t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EA">
    <w:pPr>
      <w:spacing w:after="0" w:line="259" w:lineRule="auto"/>
      <w:ind w:left="619" w:firstLine="0"/>
      <w:jc w:val="left"/>
      <w:rPr/>
    </w:pPr>
    <w:r w:rsidDel="00000000" w:rsidR="00000000" w:rsidRPr="00000000">
      <w:rPr>
        <w:rtl w:val="0"/>
      </w:rPr>
      <w:t xml:space="preserve">Poznámky Úč MÚV 3 – 01                           IČO: 53085540       DIČ: 2121257017 </w:t>
    </w:r>
  </w:p>
  <w:p w:rsidR="00000000" w:rsidDel="00000000" w:rsidP="00000000" w:rsidRDefault="00000000" w:rsidRPr="00000000" w14:paraId="000000EB">
    <w:pPr>
      <w:spacing w:after="0" w:line="259" w:lineRule="auto"/>
      <w:ind w:left="0" w:firstLine="0"/>
      <w:jc w:val="left"/>
      <w:rPr/>
    </w:pPr>
    <w:r w:rsidDel="00000000" w:rsidR="00000000" w:rsidRPr="00000000">
      <w:rPr>
        <w:rtl w:val="0"/>
      </w:rPr>
      <w:t xml:space="preserve"> 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)"/>
      <w:lvlJc w:val="left"/>
      <w:pPr>
        <w:ind w:left="211" w:hanging="211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1">
      <w:start w:val="1"/>
      <w:numFmt w:val="lowerLetter"/>
      <w:lvlText w:val="%2"/>
      <w:lvlJc w:val="left"/>
      <w:pPr>
        <w:ind w:left="1080" w:hanging="108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2">
      <w:start w:val="1"/>
      <w:numFmt w:val="lowerRoman"/>
      <w:lvlText w:val="%3"/>
      <w:lvlJc w:val="left"/>
      <w:pPr>
        <w:ind w:left="1800" w:hanging="180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3">
      <w:start w:val="1"/>
      <w:numFmt w:val="decimal"/>
      <w:lvlText w:val="%4"/>
      <w:lvlJc w:val="left"/>
      <w:pPr>
        <w:ind w:left="2520" w:hanging="252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4">
      <w:start w:val="1"/>
      <w:numFmt w:val="lowerLetter"/>
      <w:lvlText w:val="%5"/>
      <w:lvlJc w:val="left"/>
      <w:pPr>
        <w:ind w:left="3240" w:hanging="324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5">
      <w:start w:val="1"/>
      <w:numFmt w:val="lowerRoman"/>
      <w:lvlText w:val="%6"/>
      <w:lvlJc w:val="left"/>
      <w:pPr>
        <w:ind w:left="3960" w:hanging="396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6">
      <w:start w:val="1"/>
      <w:numFmt w:val="decimal"/>
      <w:lvlText w:val="%7"/>
      <w:lvlJc w:val="left"/>
      <w:pPr>
        <w:ind w:left="4680" w:hanging="468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7">
      <w:start w:val="1"/>
      <w:numFmt w:val="lowerLetter"/>
      <w:lvlText w:val="%8"/>
      <w:lvlJc w:val="left"/>
      <w:pPr>
        <w:ind w:left="5400" w:hanging="540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8">
      <w:start w:val="1"/>
      <w:numFmt w:val="lowerRoman"/>
      <w:lvlText w:val="%9"/>
      <w:lvlJc w:val="left"/>
      <w:pPr>
        <w:ind w:left="6120" w:hanging="612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</w:abstractNum>
  <w:abstractNum w:abstractNumId="2">
    <w:lvl w:ilvl="0">
      <w:start w:val="4"/>
      <w:numFmt w:val="decimal"/>
      <w:lvlText w:val="%1)"/>
      <w:lvlJc w:val="left"/>
      <w:pPr>
        <w:ind w:left="211" w:hanging="211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1">
      <w:start w:val="1"/>
      <w:numFmt w:val="lowerLetter"/>
      <w:lvlText w:val="%2"/>
      <w:lvlJc w:val="left"/>
      <w:pPr>
        <w:ind w:left="1080" w:hanging="108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2">
      <w:start w:val="1"/>
      <w:numFmt w:val="lowerRoman"/>
      <w:lvlText w:val="%3"/>
      <w:lvlJc w:val="left"/>
      <w:pPr>
        <w:ind w:left="1800" w:hanging="180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3">
      <w:start w:val="1"/>
      <w:numFmt w:val="decimal"/>
      <w:lvlText w:val="%4"/>
      <w:lvlJc w:val="left"/>
      <w:pPr>
        <w:ind w:left="2520" w:hanging="252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4">
      <w:start w:val="1"/>
      <w:numFmt w:val="lowerLetter"/>
      <w:lvlText w:val="%5"/>
      <w:lvlJc w:val="left"/>
      <w:pPr>
        <w:ind w:left="3240" w:hanging="324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5">
      <w:start w:val="1"/>
      <w:numFmt w:val="lowerRoman"/>
      <w:lvlText w:val="%6"/>
      <w:lvlJc w:val="left"/>
      <w:pPr>
        <w:ind w:left="3960" w:hanging="396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6">
      <w:start w:val="1"/>
      <w:numFmt w:val="decimal"/>
      <w:lvlText w:val="%7"/>
      <w:lvlJc w:val="left"/>
      <w:pPr>
        <w:ind w:left="4680" w:hanging="468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7">
      <w:start w:val="1"/>
      <w:numFmt w:val="lowerLetter"/>
      <w:lvlText w:val="%8"/>
      <w:lvlJc w:val="left"/>
      <w:pPr>
        <w:ind w:left="5400" w:hanging="540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8">
      <w:start w:val="1"/>
      <w:numFmt w:val="lowerRoman"/>
      <w:lvlText w:val="%9"/>
      <w:lvlJc w:val="left"/>
      <w:pPr>
        <w:ind w:left="6120" w:hanging="612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</w:abstractNum>
  <w:abstractNum w:abstractNumId="3">
    <w:lvl w:ilvl="0">
      <w:start w:val="1"/>
      <w:numFmt w:val="bullet"/>
      <w:lvlText w:val="➢"/>
      <w:lvlJc w:val="left"/>
      <w:pPr>
        <w:ind w:left="226" w:hanging="226"/>
      </w:pPr>
      <w:rPr>
        <w:rFonts w:ascii="Noto Sans Symbols" w:cs="Noto Sans Symbols" w:eastAsia="Noto Sans Symbols" w:hAnsi="Noto Sans Symbols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1">
      <w:start w:val="1"/>
      <w:numFmt w:val="bullet"/>
      <w:lvlText w:val="□"/>
      <w:lvlJc w:val="left"/>
      <w:pPr>
        <w:ind w:left="1080" w:hanging="1080"/>
      </w:pPr>
      <w:rPr>
        <w:rFonts w:ascii="Noto Sans Symbols" w:cs="Noto Sans Symbols" w:eastAsia="Noto Sans Symbols" w:hAnsi="Noto Sans Symbols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2">
      <w:start w:val="1"/>
      <w:numFmt w:val="bullet"/>
      <w:lvlText w:val="▪"/>
      <w:lvlJc w:val="left"/>
      <w:pPr>
        <w:ind w:left="1800" w:hanging="1800"/>
      </w:pPr>
      <w:rPr>
        <w:rFonts w:ascii="Noto Sans Symbols" w:cs="Noto Sans Symbols" w:eastAsia="Noto Sans Symbols" w:hAnsi="Noto Sans Symbols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3">
      <w:start w:val="1"/>
      <w:numFmt w:val="bullet"/>
      <w:lvlText w:val="•"/>
      <w:lvlJc w:val="left"/>
      <w:pPr>
        <w:ind w:left="2520" w:hanging="2520"/>
      </w:pPr>
      <w:rPr>
        <w:rFonts w:ascii="Noto Sans Symbols" w:cs="Noto Sans Symbols" w:eastAsia="Noto Sans Symbols" w:hAnsi="Noto Sans Symbols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4">
      <w:start w:val="1"/>
      <w:numFmt w:val="bullet"/>
      <w:lvlText w:val="□"/>
      <w:lvlJc w:val="left"/>
      <w:pPr>
        <w:ind w:left="3240" w:hanging="3240"/>
      </w:pPr>
      <w:rPr>
        <w:rFonts w:ascii="Noto Sans Symbols" w:cs="Noto Sans Symbols" w:eastAsia="Noto Sans Symbols" w:hAnsi="Noto Sans Symbols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5">
      <w:start w:val="1"/>
      <w:numFmt w:val="bullet"/>
      <w:lvlText w:val="▪"/>
      <w:lvlJc w:val="left"/>
      <w:pPr>
        <w:ind w:left="3960" w:hanging="3960"/>
      </w:pPr>
      <w:rPr>
        <w:rFonts w:ascii="Noto Sans Symbols" w:cs="Noto Sans Symbols" w:eastAsia="Noto Sans Symbols" w:hAnsi="Noto Sans Symbols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6">
      <w:start w:val="1"/>
      <w:numFmt w:val="bullet"/>
      <w:lvlText w:val="•"/>
      <w:lvlJc w:val="left"/>
      <w:pPr>
        <w:ind w:left="4680" w:hanging="4680"/>
      </w:pPr>
      <w:rPr>
        <w:rFonts w:ascii="Noto Sans Symbols" w:cs="Noto Sans Symbols" w:eastAsia="Noto Sans Symbols" w:hAnsi="Noto Sans Symbols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7">
      <w:start w:val="1"/>
      <w:numFmt w:val="bullet"/>
      <w:lvlText w:val="□"/>
      <w:lvlJc w:val="left"/>
      <w:pPr>
        <w:ind w:left="5400" w:hanging="5400"/>
      </w:pPr>
      <w:rPr>
        <w:rFonts w:ascii="Noto Sans Symbols" w:cs="Noto Sans Symbols" w:eastAsia="Noto Sans Symbols" w:hAnsi="Noto Sans Symbols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8">
      <w:start w:val="1"/>
      <w:numFmt w:val="bullet"/>
      <w:lvlText w:val="▪"/>
      <w:lvlJc w:val="left"/>
      <w:pPr>
        <w:ind w:left="6120" w:hanging="6120"/>
      </w:pPr>
      <w:rPr>
        <w:rFonts w:ascii="Noto Sans Symbols" w:cs="Noto Sans Symbols" w:eastAsia="Noto Sans Symbols" w:hAnsi="Noto Sans Symbols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</w:abstractNum>
  <w:abstractNum w:abstractNumId="4">
    <w:lvl w:ilvl="0">
      <w:start w:val="1"/>
      <w:numFmt w:val="decimal"/>
      <w:lvlText w:val="%1)"/>
      <w:lvlJc w:val="left"/>
      <w:pPr>
        <w:ind w:left="211" w:hanging="211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1">
      <w:start w:val="1"/>
      <w:numFmt w:val="lowerLetter"/>
      <w:lvlText w:val="%2"/>
      <w:lvlJc w:val="left"/>
      <w:pPr>
        <w:ind w:left="1080" w:hanging="108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2">
      <w:start w:val="1"/>
      <w:numFmt w:val="lowerRoman"/>
      <w:lvlText w:val="%3"/>
      <w:lvlJc w:val="left"/>
      <w:pPr>
        <w:ind w:left="1800" w:hanging="180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3">
      <w:start w:val="1"/>
      <w:numFmt w:val="decimal"/>
      <w:lvlText w:val="%4"/>
      <w:lvlJc w:val="left"/>
      <w:pPr>
        <w:ind w:left="2520" w:hanging="252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4">
      <w:start w:val="1"/>
      <w:numFmt w:val="lowerLetter"/>
      <w:lvlText w:val="%5"/>
      <w:lvlJc w:val="left"/>
      <w:pPr>
        <w:ind w:left="3240" w:hanging="324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5">
      <w:start w:val="1"/>
      <w:numFmt w:val="lowerRoman"/>
      <w:lvlText w:val="%6"/>
      <w:lvlJc w:val="left"/>
      <w:pPr>
        <w:ind w:left="3960" w:hanging="396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6">
      <w:start w:val="1"/>
      <w:numFmt w:val="decimal"/>
      <w:lvlText w:val="%7"/>
      <w:lvlJc w:val="left"/>
      <w:pPr>
        <w:ind w:left="4680" w:hanging="468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7">
      <w:start w:val="1"/>
      <w:numFmt w:val="lowerLetter"/>
      <w:lvlText w:val="%8"/>
      <w:lvlJc w:val="left"/>
      <w:pPr>
        <w:ind w:left="5400" w:hanging="540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8">
      <w:start w:val="1"/>
      <w:numFmt w:val="lowerRoman"/>
      <w:lvlText w:val="%9"/>
      <w:lvlJc w:val="left"/>
      <w:pPr>
        <w:ind w:left="6120" w:hanging="612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</w:abstractNum>
  <w:abstractNum w:abstractNumId="5">
    <w:lvl w:ilvl="0">
      <w:start w:val="1"/>
      <w:numFmt w:val="decimal"/>
      <w:lvlText w:val="%1)"/>
      <w:lvlJc w:val="left"/>
      <w:pPr>
        <w:ind w:left="211" w:hanging="211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1">
      <w:start w:val="1"/>
      <w:numFmt w:val="lowerLetter"/>
      <w:lvlText w:val="%2"/>
      <w:lvlJc w:val="left"/>
      <w:pPr>
        <w:ind w:left="1080" w:hanging="108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2">
      <w:start w:val="1"/>
      <w:numFmt w:val="lowerRoman"/>
      <w:lvlText w:val="%3"/>
      <w:lvlJc w:val="left"/>
      <w:pPr>
        <w:ind w:left="1800" w:hanging="180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3">
      <w:start w:val="1"/>
      <w:numFmt w:val="decimal"/>
      <w:lvlText w:val="%4"/>
      <w:lvlJc w:val="left"/>
      <w:pPr>
        <w:ind w:left="2520" w:hanging="252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4">
      <w:start w:val="1"/>
      <w:numFmt w:val="lowerLetter"/>
      <w:lvlText w:val="%5"/>
      <w:lvlJc w:val="left"/>
      <w:pPr>
        <w:ind w:left="3240" w:hanging="324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5">
      <w:start w:val="1"/>
      <w:numFmt w:val="lowerRoman"/>
      <w:lvlText w:val="%6"/>
      <w:lvlJc w:val="left"/>
      <w:pPr>
        <w:ind w:left="3960" w:hanging="396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6">
      <w:start w:val="1"/>
      <w:numFmt w:val="decimal"/>
      <w:lvlText w:val="%7"/>
      <w:lvlJc w:val="left"/>
      <w:pPr>
        <w:ind w:left="4680" w:hanging="468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7">
      <w:start w:val="1"/>
      <w:numFmt w:val="lowerLetter"/>
      <w:lvlText w:val="%8"/>
      <w:lvlJc w:val="left"/>
      <w:pPr>
        <w:ind w:left="5400" w:hanging="540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  <w:lvl w:ilvl="8">
      <w:start w:val="1"/>
      <w:numFmt w:val="lowerRoman"/>
      <w:lvlText w:val="%9"/>
      <w:lvlJc w:val="left"/>
      <w:pPr>
        <w:ind w:left="6120" w:hanging="6120"/>
      </w:pPr>
      <w:rPr>
        <w:rFonts w:ascii="Arial" w:cs="Arial" w:eastAsia="Arial" w:hAnsi="Arial"/>
        <w:b w:val="0"/>
        <w:i w:val="0"/>
        <w:strike w:val="0"/>
        <w:color w:val="000000"/>
        <w:sz w:val="22"/>
        <w:szCs w:val="22"/>
        <w:u w:val="none"/>
        <w:shd w:fill="auto" w:val="clear"/>
        <w:vertAlign w:val="baseli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sk-SK"/>
      </w:rPr>
    </w:rPrDefault>
    <w:pPrDefault>
      <w:pPr>
        <w:spacing w:after="5" w:line="249" w:lineRule="auto"/>
        <w:ind w:left="10"/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59" w:lineRule="auto"/>
      <w:ind w:left="10" w:right="145" w:hanging="10"/>
      <w:jc w:val="center"/>
    </w:pPr>
    <w:rPr>
      <w:rFonts w:ascii="Arial" w:cs="Arial" w:eastAsia="Arial" w:hAnsi="Arial"/>
      <w:b w:val="1"/>
      <w:i w:val="0"/>
      <w:smallCaps w:val="0"/>
      <w:strike w:val="0"/>
      <w:color w:val="000000"/>
      <w:sz w:val="22"/>
      <w:szCs w:val="22"/>
      <w:u w:val="singl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49.0" w:type="dxa"/>
        <w:left w:w="108.0" w:type="dxa"/>
        <w:bottom w:w="0.0" w:type="dxa"/>
        <w:right w:w="64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49.0" w:type="dxa"/>
        <w:left w:w="108.0" w:type="dxa"/>
        <w:bottom w:w="0.0" w:type="dxa"/>
        <w:right w:w="64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49.0" w:type="dxa"/>
        <w:left w:w="108.0" w:type="dxa"/>
        <w:bottom w:w="0.0" w:type="dxa"/>
        <w:right w:w="64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49.0" w:type="dxa"/>
        <w:left w:w="108.0" w:type="dxa"/>
        <w:bottom w:w="0.0" w:type="dxa"/>
        <w:right w:w="64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49.0" w:type="dxa"/>
        <w:left w:w="108.0" w:type="dxa"/>
        <w:bottom w:w="0.0" w:type="dxa"/>
        <w:right w:w="64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" Type="http://schemas.openxmlformats.org/officeDocument/2006/relationships/settings" Target="settings.xml"/><Relationship Id="rId10" Type="http://schemas.openxmlformats.org/officeDocument/2006/relationships/footer" Target="footer1.xml"/><Relationship Id="rId5" Type="http://schemas.openxmlformats.org/officeDocument/2006/relationships/styles" Target="styles.xml"/><Relationship Id="rId8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footer" Target="footer3.xml"/><Relationship Id="rId3" Type="http://schemas.openxmlformats.org/officeDocument/2006/relationships/fontTable" Target="fontTable.xml"/><Relationship Id="rId6" Type="http://schemas.openxmlformats.org/officeDocument/2006/relationships/header" Target="header3.xml"/><Relationship Id="rId11" Type="http://schemas.openxmlformats.org/officeDocument/2006/relationships/footer" Target="footer2.xml"/><Relationship Id="rId7" Type="http://schemas.openxmlformats.org/officeDocument/2006/relationships/header" Target="header2.xml"/><Relationship Id="rId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